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Url Formats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🔗 Service URLs and Access Formats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List of access portals and ports configured inside the project stack:</w:t>
      </w:r>
    </w:p>
    <w:p>
      <w:pPr>
        <w:spacing w:after="120"/>
      </w:pPr>
    </w:p>
    <w:p>
      <w:pPr>
        <w:pStyle w:val="ListBullet"/>
        <w:spacing w:after="80"/>
      </w:pPr>
      <w:r>
        <w:rPr>
          <w:rFonts w:ascii="Arial" w:hAnsi="Arial"/>
          <w:sz w:val="20"/>
        </w:rPr>
        <w:t>**Flask Backend API**: `http://localhost:6000`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**Airflow Portal**: `http://localhost:9080` (Credentials: `admin` / `admin`)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**Zabbix Web UI**: `http://localhost:9081` (Credentials: `your_admin_user_here` / `zabbix`)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**Jenkins CI-CD**: `http://localhost:9088`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**MySQL DB Connection**: `localhost:4306`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