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Arial" w:hAnsi="Arial"/>
          <w:b/>
          <w:color w:val="1A365D"/>
          <w:sz w:val="48"/>
        </w:rPr>
        <w:t>Final Report</w:t>
      </w:r>
    </w:p>
    <w:p>
      <w:pPr>
        <w:spacing w:before="360" w:after="160"/>
      </w:pPr>
      <w:r>
        <w:rPr>
          <w:rFonts w:ascii="Arial" w:hAnsi="Arial"/>
          <w:b/>
          <w:color w:val="1A365D"/>
          <w:sz w:val="36"/>
        </w:rPr>
        <w:t>📋 Final DevOps Audit Report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Project completion status, system benchmarks, and rubric compliance checkoff.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Rubric Compliance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[x] Consolidate PostgreSQL to MySQL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[x] Configure Port Offsets (Section 7 in `.env`)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[x] Dynamic smudging filters for author metadata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[x] Alerts redirection &amp; enabling controls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[x] Full WSL provisioning verification</w:t>
      </w:r>
    </w:p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