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b/>
          <w:bCs/>
          <w:color w:val="0A7B6C"/>
          <w:sz w:val="84"/>
          <w:szCs w:val="84"/>
        </w:rPr>
        <w:t xml:space="preserve">SwiftTip</w:t>
      </w:r>
    </w:p>
    <w:p>
      <w:pPr>
        <w:spacing w:after="240"/>
      </w:pPr>
      <w:r>
        <w:rPr>
          <w:i/>
          <w:iCs/>
          <w:color w:val="C4841C"/>
          <w:sz w:val="27"/>
          <w:szCs w:val="27"/>
        </w:rPr>
        <w:t xml:space="preserve">Recognise. Reward. Empower.</w:t>
      </w:r>
    </w:p>
    <w:p>
      <w:pPr>
        <w:spacing w:after="80" w:before="160"/>
      </w:pPr>
      <w:r>
        <w:rPr>
          <w:b/>
          <w:bCs/>
          <w:color w:val="1A2B2A"/>
          <w:sz w:val="54"/>
          <w:szCs w:val="54"/>
        </w:rPr>
        <w:t xml:space="preserve">Concept Document</w:t>
      </w:r>
    </w:p>
    <w:p>
      <w:pPr>
        <w:spacing w:after="30"/>
      </w:pPr>
      <w:r>
        <w:rPr>
          <w:color w:val="5A6B6A"/>
          <w:sz w:val="27"/>
          <w:szCs w:val="27"/>
        </w:rPr>
        <w:t xml:space="preserve">The Financial Identity of the Frontline Worker</w:t>
      </w:r>
    </w:p>
    <w:p>
      <w:pPr>
        <w:spacing w:after="560"/>
      </w:pPr>
      <w:r>
        <w:rPr>
          <w:color w:val="5A6B6A"/>
          <w:sz w:val="21"/>
          <w:szCs w:val="21"/>
        </w:rPr>
        <w:t xml:space="preserve">Digital Tipping → Worker Platform → Financial Inclusion</w:t>
      </w:r>
    </w:p>
    <w:p>
      <w:pPr>
        <w:pBdr>
          <w:top w:val="single" w:color="0A7B6C" w:sz="6" w:space="6"/>
        </w:pBdr>
        <w:spacing w:before="360"/>
      </w:pPr>
      <w:r>
        <w:rPr>
          <w:b/>
          <w:bCs/>
          <w:color w:val="1A2B2A"/>
          <w:sz w:val="22"/>
          <w:szCs w:val="22"/>
        </w:rPr>
        <w:t xml:space="preserve">A complete synthesis: product, strategy, financials, go-to-market &amp; design</w:t>
      </w:r>
    </w:p>
    <w:p>
      <w:pPr>
        <w:spacing w:before="160"/>
      </w:pPr>
      <w:r>
        <w:rPr>
          <w:color w:val="5A6B6A"/>
          <w:sz w:val="18"/>
          <w:szCs w:val="18"/>
        </w:rPr>
        <w:t xml:space="preserve">Version 1.0  ·  June 2026  ·  Eastern Cape, South Africa  ·  Confidential</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Concept in Brief</w:t>
      </w:r>
    </w:p>
    <w:p>
      <w:pPr>
        <w:spacing w:after="140" w:line="274"/>
      </w:pPr>
      <w:r>
        <w:rPr>
          <w:b/>
          <w:bCs/>
        </w:rPr>
        <w:t xml:space="preserve">SwiftTip is a worker-empowerment platform that uses digital tipping as its entry point. </w:t>
      </w:r>
      <w:r>
        <w:t xml:space="preserve">It lets any customer instantly reward a frontline service worker from their phone — no app, no cash — and routes the tip straight to the worker's bank account. Tipping is the wedge. The business being built underneath it is the verified financial identity of South Africa's unbanked frontline workers, unlocking access to credit, savings and insurance they cannot otherwise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0A7B6C" w:sz="24"/>
              <w:bottom w:val="single" w:color="CCCCCC" w:sz="1"/>
              <w:right w:val="single" w:color="CCCCCC" w:sz="1"/>
            </w:tcBorders>
            <w:shd w:fill="FBF6E9" w:val="clear"/>
            <w:tcMar>
              <w:top w:type="dxa" w:w="100"/>
              <w:left w:type="dxa" w:w="140"/>
              <w:bottom w:type="dxa" w:w="100"/>
              <w:right w:type="dxa" w:w="140"/>
            </w:tcMar>
          </w:tcPr>
          <w:p>
            <w:pPr>
              <w:spacing w:after="50"/>
            </w:pPr>
            <w:r>
              <w:rPr>
                <w:b/>
                <w:bCs/>
                <w:color w:val="0A7B6C"/>
                <w:sz w:val="19"/>
                <w:szCs w:val="19"/>
              </w:rPr>
              <w:t xml:space="preserve">The One-Sentence Thesis</w:t>
            </w:r>
          </w:p>
          <w:p>
            <w:pPr>
              <w:spacing w:after="140" w:line="274"/>
            </w:pPr>
            <w:r>
              <w:rPr>
                <w:i/>
                <w:iCs/>
                <w:sz w:val="20"/>
                <w:szCs w:val="20"/>
              </w:rPr>
              <w:t xml:space="preserve">SwiftTip is not a tipping app that might add financial services — it is the financial identity of the unbanked frontline worker, using tipping to acquire them at scale.</w:t>
            </w:r>
          </w:p>
        </w:tc>
      </w:tr>
    </w:tbl>
    <w:p>
      <w:pPr>
        <w:spacing w:after="140" w:line="274"/>
      </w:pPr>
      <w:r>
        <w:rPr>
          <w:b/>
          <w:bCs/>
        </w:rPr>
        <w:t xml:space="preserve">Why it matters now. </w:t>
      </w:r>
      <w:r>
        <w:t xml:space="preserve">Cash is disappearing from South African forecourts, but the goodwill to reward good service remains. Roughly 140,000 fuel attendants rely on cash tips that are vanishing. Digital tipping platforms report 30–40% increases in worker gratuities. The demand is proven; the market is live but not yet won.</w:t>
      </w:r>
    </w:p>
    <w:p>
      <w:pPr>
        <w:pStyle w:val="Heading1"/>
      </w:pPr>
      <w:r>
        <w:t xml:space="preserve">2. The Problem</w:t>
      </w:r>
    </w:p>
    <w:p>
      <w:pPr>
        <w:pStyle w:val="Heading2"/>
      </w:pPr>
      <w:r>
        <w:t xml:space="preserve">2.1 The vanishing tip</w:t>
      </w:r>
    </w:p>
    <w:p>
      <w:pPr>
        <w:spacing w:after="140" w:line="274"/>
      </w:pPr>
      <w:r>
        <w:t xml:space="preserve">As South Africa goes cashless, the tip income that frontline workers relied on is disappearing — not because customers are unwilling, but because they no longer carry cash. The goodwill survives; the mechanism died.</w:t>
      </w:r>
    </w:p>
    <w:p>
      <w:pPr>
        <w:pStyle w:val="Heading2"/>
      </w:pPr>
      <w:r>
        <w:t xml:space="preserve">2.2 The invisible worker</w:t>
      </w:r>
    </w:p>
    <w:p>
      <w:pPr>
        <w:spacing w:after="140" w:line="274"/>
      </w:pPr>
      <w:r>
        <w:t xml:space="preserve">These same workers are financially invisible — ‘thin-file’, with no formal income record, so no access to fair credit, savings or insurance. SwiftTip solves both at once: it restores the lost tip income digitally, and in doing so creates the verified income record that makes the worker financially visible for the first time.</w:t>
      </w:r>
    </w:p>
    <w:p>
      <w:pPr>
        <w:pStyle w:val="Heading1"/>
      </w:pPr>
      <w:r>
        <w:t xml:space="preserve">3. The Solution &amp; Product</w:t>
      </w:r>
    </w:p>
    <w:p>
      <w:pPr>
        <w:pStyle w:val="Heading2"/>
      </w:pPr>
      <w:r>
        <w:t xml:space="preserve">3.1 How it works</w:t>
      </w:r>
    </w:p>
    <w:p>
      <w:pPr>
        <w:spacing w:after="140" w:line="274"/>
      </w:pPr>
      <w:r>
        <w:t xml:space="preserve">The worker wears a SwiftTip QR badge (lanyard card or armband). A customer scans it with their phone camera, chooses an amount, and pays with their existing banking app — no download, seconds to complete. The tip routes directly to the worker's own bank account. The worker sees it arrive; the employer sees aggregate activity on a dashboard.</w:t>
      </w:r>
    </w:p>
    <w:p>
      <w:pPr>
        <w:pStyle w:val="Heading2"/>
      </w:pPr>
      <w:r>
        <w:t xml:space="preserve">3.2 The pass-through model (no wallet)</w:t>
      </w:r>
    </w:p>
    <w:p>
      <w:pPr>
        <w:spacing w:after="140" w:line="274"/>
      </w:pPr>
      <w:r>
        <w:t xml:space="preserve">Tips pay straight through a licensed payment partner to the worker's existing bank account. </w:t>
      </w:r>
      <w:r>
        <w:rPr>
          <w:b/>
          <w:bCs/>
        </w:rPr>
        <w:t xml:space="preserve">SwiftTip never holds the worker's money</w:t>
      </w:r>
      <w:r>
        <w:t xml:space="preserve"> — there is no wallet to build and no consumer funds held, which is the cleanest regulatory position. The worker dashboard shows a record of what has been paid, not a balance to withdraw.</w:t>
      </w:r>
    </w:p>
    <w:p>
      <w:pPr>
        <w:pStyle w:val="Heading2"/>
      </w:pPr>
      <w:r>
        <w:t xml:space="preserve">3.3 Build approach</w:t>
      </w:r>
    </w:p>
    <w:p>
      <w:pPr>
        <w:spacing w:after="140" w:line="274"/>
      </w:pPr>
      <w:r>
        <w:t xml:space="preserve">A </w:t>
      </w:r>
      <w:r>
        <w:rPr>
          <w:b/>
          <w:bCs/>
        </w:rPr>
        <w:t xml:space="preserve">Progressive Web App (PWA)</w:t>
      </w:r>
      <w:r>
        <w:t xml:space="preserve">, not a native app. The customer must never install anything; the worker gets an installable home-screen experience without app-store friction. One codebase serves all three audiences — essential for a bootstrapped build, and suited to the entry-level Android and data-conscious reality of the market. Currently being built on Lovable with Supabase (owning the data, which is the moat).</w:t>
      </w:r>
    </w:p>
    <w:p>
      <w:pPr>
        <w:pStyle w:val="Heading2"/>
      </w:pPr>
      <w:r>
        <w:t xml:space="preserve">3.4 Two surfaces, never blurred</w:t>
      </w:r>
    </w:p>
    <w:p>
      <w:pPr>
        <w:pStyle w:val="ListParagraph"/>
        <w:numPr>
          <w:ilvl w:val="0"/>
          <w:numId w:val="2"/>
        </w:numPr>
        <w:spacing w:after="64" w:line="262"/>
      </w:pPr>
      <w:r>
        <w:rPr>
          <w:b/>
          <w:bCs/>
        </w:rPr>
        <w:t xml:space="preserve">The customer tip page (/tip/:workerId) — </w:t>
      </w:r>
      <w:r>
        <w:t xml:space="preserve">a standalone, login-free page reached by scanning a QR. Worker identity + amount + pay. Ruthlessly single-purpose; ~90% of all usage.</w:t>
      </w:r>
    </w:p>
    <w:p>
      <w:pPr>
        <w:pStyle w:val="ListParagraph"/>
        <w:numPr>
          <w:ilvl w:val="0"/>
          <w:numId w:val="2"/>
        </w:numPr>
        <w:spacing w:after="64" w:line="262"/>
      </w:pPr>
      <w:r>
        <w:rPr>
          <w:b/>
          <w:bCs/>
        </w:rPr>
        <w:t xml:space="preserve">The worker/employer app — </w:t>
      </w:r>
      <w:r>
        <w:t xml:space="preserve">authenticated, for returning workers and dealers. Login/dashboard is the primary action here; customers never see this screen.</w:t>
      </w:r>
    </w:p>
    <w:p>
      <w:pPr>
        <w:pStyle w:val="Heading1"/>
      </w:pPr>
      <w:r>
        <w:t xml:space="preserve">4. Market Opportunity</w:t>
      </w:r>
    </w:p>
    <w:p>
      <w:pPr>
        <w:pStyle w:val="Heading2"/>
      </w:pPr>
      <w:r>
        <w:t xml:space="preserve">4.1 Sizing (fuel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CCCCCC" w:sz="1"/>
              <w:left w:val="single" w:color="CCCCCC" w:sz="1"/>
              <w:bottom w:val="single" w:color="CCCCCC" w:sz="1"/>
              <w:right w:val="single" w:color="CCCCCC" w:sz="1"/>
            </w:tcBorders>
            <w:shd w:fill="1A2B2A" w:val="clear"/>
            <w:tcMar>
              <w:top w:type="dxa" w:w="60"/>
              <w:left w:type="dxa" w:w="90"/>
              <w:bottom w:type="dxa" w:w="60"/>
              <w:right w:type="dxa" w:w="90"/>
            </w:tcMar>
          </w:tcPr>
          <w:p>
            <w:pPr>
              <w:jc w:val="left"/>
            </w:pPr>
            <w:r>
              <w:rPr>
                <w:b/>
                <w:bCs/>
                <w:color w:val="FFFFFF"/>
                <w:sz w:val="17"/>
                <w:szCs w:val="17"/>
              </w:rPr>
              <w:t xml:space="preserve">Layer</w:t>
            </w:r>
          </w:p>
        </w:tc>
        <w:tc>
          <w:tcPr>
            <w:tcW w:type="dxa" w:w="4400"/>
            <w:tcBorders>
              <w:top w:val="single" w:color="CCCCCC" w:sz="1"/>
              <w:left w:val="single" w:color="CCCCCC" w:sz="1"/>
              <w:bottom w:val="single" w:color="CCCCCC" w:sz="1"/>
              <w:right w:val="single" w:color="CCCCCC" w:sz="1"/>
            </w:tcBorders>
            <w:shd w:fill="1A2B2A" w:val="clear"/>
            <w:tcMar>
              <w:top w:type="dxa" w:w="60"/>
              <w:left w:type="dxa" w:w="90"/>
              <w:bottom w:type="dxa" w:w="60"/>
              <w:right w:type="dxa" w:w="90"/>
            </w:tcMar>
          </w:tcPr>
          <w:p>
            <w:pPr>
              <w:jc w:val="left"/>
            </w:pPr>
            <w:r>
              <w:rPr>
                <w:b/>
                <w:bCs/>
                <w:color w:val="FFFFFF"/>
                <w:sz w:val="17"/>
                <w:szCs w:val="17"/>
              </w:rPr>
              <w:t xml:space="preserve">Definition</w:t>
            </w:r>
          </w:p>
        </w:tc>
        <w:tc>
          <w:tcPr>
            <w:tcW w:type="dxa" w:w="2760"/>
            <w:tcBorders>
              <w:top w:val="single" w:color="CCCCCC" w:sz="1"/>
              <w:left w:val="single" w:color="CCCCCC" w:sz="1"/>
              <w:bottom w:val="single" w:color="CCCCCC" w:sz="1"/>
              <w:right w:val="single" w:color="CCCCCC" w:sz="1"/>
            </w:tcBorders>
            <w:shd w:fill="1A2B2A" w:val="clear"/>
            <w:tcMar>
              <w:top w:type="dxa" w:w="60"/>
              <w:left w:type="dxa" w:w="90"/>
              <w:bottom w:type="dxa" w:w="60"/>
              <w:right w:type="dxa" w:w="90"/>
            </w:tcMar>
          </w:tcPr>
          <w:p>
            <w:pPr>
              <w:jc w:val="left"/>
            </w:pPr>
            <w:r>
              <w:rPr>
                <w:b/>
                <w:bCs/>
                <w:color w:val="FFFFFF"/>
                <w:sz w:val="17"/>
                <w:szCs w:val="17"/>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TAM</w:t>
            </w:r>
          </w:p>
        </w:tc>
        <w:tc>
          <w:tcPr>
            <w:tcW w:type="dxa" w:w="4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All tippable SA frontline workers, digital tips</w:t>
            </w:r>
          </w:p>
        </w:tc>
        <w:tc>
          <w:tcPr>
            <w:tcW w:type="dxa" w:w="27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R4–6bn/yr in tips</w:t>
            </w:r>
          </w:p>
        </w:tc>
      </w:tr>
      <w:tr>
        <w:tc>
          <w:tcPr>
            <w:tcW w:type="dxa" w:w="22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SAM</w:t>
            </w:r>
          </w:p>
        </w:tc>
        <w:tc>
          <w:tcPr>
            <w:tcW w:type="dxa" w:w="44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Non-Sasol forecourts (~104,000 workers)</w:t>
            </w:r>
          </w:p>
        </w:tc>
        <w:tc>
          <w:tcPr>
            <w:tcW w:type="dxa" w:w="276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~R1.3bn/yr in tips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SOM (Yr 3)</w:t>
            </w:r>
          </w:p>
        </w:tc>
        <w:tc>
          <w:tcPr>
            <w:tcW w:type="dxa" w:w="4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Realistic capture by Year 3</w:t>
            </w:r>
          </w:p>
        </w:tc>
        <w:tc>
          <w:tcPr>
            <w:tcW w:type="dxa" w:w="27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~12,950 workers</w:t>
            </w:r>
          </w:p>
        </w:tc>
      </w:tr>
    </w:tbl>
    <w:p>
      <w:pPr>
        <w:pStyle w:val="Heading2"/>
      </w:pPr>
      <w:r>
        <w:t xml:space="preserve">4.2 Beyond fuel — the path to scale</w:t>
      </w:r>
    </w:p>
    <w:p>
      <w:pPr>
        <w:spacing w:after="140" w:line="274"/>
      </w:pPr>
      <w:r>
        <w:t xml:space="preserve">Fuel alone realistically yields a few hundred sites. Reaching 500–1,000 means a multi-sector footprint with fuel as the proven beachhead: car washes, hospitality, golf clubs (caddies), security/estates. The same product redeploys across all of them. This also de-risks the long-term EV transition that threatens a fuel-only model.</w:t>
      </w:r>
    </w:p>
    <w:p>
      <w:pPr>
        <w:pStyle w:val="Heading1"/>
      </w:pPr>
      <w:r>
        <w:t xml:space="preserve">5. Competitive Landscape</w:t>
      </w:r>
    </w:p>
    <w:p>
      <w:pPr>
        <w:spacing w:after="140" w:line="274"/>
      </w:pPr>
      <w:r>
        <w:t xml:space="preserve">The category has moved from emerging to land-grab. Tipping itself is now a commodity feature; the category is being won on distribution and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CCCCCC" w:sz="1"/>
              <w:left w:val="single" w:color="CCCCCC" w:sz="1"/>
              <w:bottom w:val="single" w:color="CCCCCC" w:sz="1"/>
              <w:right w:val="single" w:color="CCCCCC" w:sz="1"/>
            </w:tcBorders>
            <w:shd w:fill="1A2B2A" w:val="clear"/>
            <w:tcMar>
              <w:top w:type="dxa" w:w="60"/>
              <w:left w:type="dxa" w:w="90"/>
              <w:bottom w:type="dxa" w:w="60"/>
              <w:right w:type="dxa" w:w="90"/>
            </w:tcMar>
          </w:tcPr>
          <w:p>
            <w:pPr>
              <w:jc w:val="left"/>
            </w:pPr>
            <w:r>
              <w:rPr>
                <w:b/>
                <w:bCs/>
                <w:color w:val="FFFFFF"/>
                <w:sz w:val="17"/>
                <w:szCs w:val="17"/>
              </w:rPr>
              <w:t xml:space="preserve">Player</w:t>
            </w:r>
          </w:p>
        </w:tc>
        <w:tc>
          <w:tcPr>
            <w:tcW w:type="dxa" w:w="4400"/>
            <w:tcBorders>
              <w:top w:val="single" w:color="CCCCCC" w:sz="1"/>
              <w:left w:val="single" w:color="CCCCCC" w:sz="1"/>
              <w:bottom w:val="single" w:color="CCCCCC" w:sz="1"/>
              <w:right w:val="single" w:color="CCCCCC" w:sz="1"/>
            </w:tcBorders>
            <w:shd w:fill="1A2B2A" w:val="clear"/>
            <w:tcMar>
              <w:top w:type="dxa" w:w="60"/>
              <w:left w:type="dxa" w:w="90"/>
              <w:bottom w:type="dxa" w:w="60"/>
              <w:right w:type="dxa" w:w="90"/>
            </w:tcMar>
          </w:tcPr>
          <w:p>
            <w:pPr>
              <w:jc w:val="left"/>
            </w:pPr>
            <w:r>
              <w:rPr>
                <w:b/>
                <w:bCs/>
                <w:color w:val="FFFFFF"/>
                <w:sz w:val="17"/>
                <w:szCs w:val="17"/>
              </w:rPr>
              <w:t xml:space="preserve">Positioning</w:t>
            </w:r>
          </w:p>
        </w:tc>
        <w:tc>
          <w:tcPr>
            <w:tcW w:type="dxa" w:w="2960"/>
            <w:tcBorders>
              <w:top w:val="single" w:color="CCCCCC" w:sz="1"/>
              <w:left w:val="single" w:color="CCCCCC" w:sz="1"/>
              <w:bottom w:val="single" w:color="CCCCCC" w:sz="1"/>
              <w:right w:val="single" w:color="CCCCCC" w:sz="1"/>
            </w:tcBorders>
            <w:shd w:fill="1A2B2A" w:val="clear"/>
            <w:tcMar>
              <w:top w:type="dxa" w:w="60"/>
              <w:left w:type="dxa" w:w="90"/>
              <w:bottom w:type="dxa" w:w="60"/>
              <w:right w:type="dxa" w:w="90"/>
            </w:tcMar>
          </w:tcPr>
          <w:p>
            <w:pPr>
              <w:jc w:val="left"/>
            </w:pPr>
            <w:r>
              <w:rPr>
                <w:b/>
                <w:bCs/>
                <w:color w:val="FFFFFF"/>
                <w:sz w:val="17"/>
                <w:szCs w:val="17"/>
              </w:rPr>
              <w:t xml:space="preserve">Gap SwiftTip exploits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Tappy</w:t>
            </w:r>
          </w:p>
        </w:tc>
        <w:tc>
          <w:tcPr>
            <w:tcW w:type="dxa" w:w="4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Payments infrastructure; 50,000 NFC devices, SARB-approved, retail distribution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Broad but shallow — no depth per worker</w:t>
            </w:r>
          </w:p>
        </w:tc>
      </w:tr>
      <w:tr>
        <w:tc>
          <w:tcPr>
            <w:tcW w:type="dxa" w:w="20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Tipped™</w:t>
            </w:r>
          </w:p>
        </w:tc>
        <w:tc>
          <w:tcPr>
            <w:tcW w:type="dxa" w:w="44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Tipping + wallet; exclusive Sasol deal, ~307 sites, ~R30 avg tip</w:t>
            </w:r>
          </w:p>
        </w:tc>
        <w:tc>
          <w:tcPr>
            <w:tcW w:type="dxa" w:w="296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Sasol-locked; no financial layer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Tap2Tip</w:t>
            </w:r>
          </w:p>
        </w:tc>
        <w:tc>
          <w:tcPr>
            <w:tcW w:type="dxa" w:w="4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Tipping in POS; pivoted to hospitality, 5% fee</w:t>
            </w:r>
          </w:p>
        </w:tc>
        <w:tc>
          <w:tcPr>
            <w:tcW w:type="dxa" w:w="29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Left the forecourt open</w:t>
            </w:r>
          </w:p>
        </w:tc>
      </w:tr>
      <w:tr>
        <w:tc>
          <w:tcPr>
            <w:tcW w:type="dxa" w:w="20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Banks/rails</w:t>
            </w:r>
          </w:p>
        </w:tc>
        <w:tc>
          <w:tcPr>
            <w:tcW w:type="dxa" w:w="44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SnapScan, Zapper, VodaPay, Masterpass — substitutes</w:t>
            </w:r>
          </w:p>
        </w:tc>
        <w:tc>
          <w:tcPr>
            <w:tcW w:type="dxa" w:w="296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Won't build worker identity or GTM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B83232" w:sz="24"/>
              <w:bottom w:val="single" w:color="CCCCCC" w:sz="1"/>
              <w:right w:val="single" w:color="CCCCCC" w:sz="1"/>
            </w:tcBorders>
            <w:shd w:fill="FBF6E9" w:val="clear"/>
            <w:tcMar>
              <w:top w:type="dxa" w:w="100"/>
              <w:left w:type="dxa" w:w="140"/>
              <w:bottom w:type="dxa" w:w="100"/>
              <w:right w:type="dxa" w:w="140"/>
            </w:tcMar>
          </w:tcPr>
          <w:p>
            <w:pPr>
              <w:spacing w:after="50"/>
            </w:pPr>
            <w:r>
              <w:rPr>
                <w:b/>
                <w:bCs/>
                <w:color w:val="B83232"/>
                <w:sz w:val="19"/>
                <w:szCs w:val="19"/>
              </w:rPr>
              <w:t xml:space="preserve">The Hard Truth</w:t>
            </w:r>
          </w:p>
          <w:p>
            <w:pPr>
              <w:spacing w:after="140" w:line="274"/>
            </w:pPr>
            <w:r>
              <w:t xml:space="preserve">SwiftTip cannot win on the tipping feature — it is matchable. The war competitors are fighting (cashless tipping) is not the war that matters (worker financial inclusion). They are acquiring the worker; none is advancing the worker. That layer sits unclaimed.</w:t>
            </w:r>
          </w:p>
        </w:tc>
      </w:tr>
    </w:tbl>
    <w:p>
      <w:pPr>
        <w:pStyle w:val="Heading1"/>
      </w:pPr>
      <w:r>
        <w:t xml:space="preserve">6. The Moat — Why SwiftTip Becomes Defensible</w:t>
      </w:r>
    </w:p>
    <w:p>
      <w:pPr>
        <w:spacing w:after="140" w:line="274"/>
      </w:pPr>
      <w:r>
        <w:t xml:space="preserve">Four reinforcing layers, in order of strength:</w:t>
      </w:r>
    </w:p>
    <w:p>
      <w:pPr>
        <w:pStyle w:val="Heading3"/>
      </w:pPr>
      <w:r>
        <w:t xml:space="preserve">Layer 1 — Verified, portable worker identity</w:t>
      </w:r>
    </w:p>
    <w:p>
      <w:pPr>
        <w:spacing w:after="140" w:line="274"/>
      </w:pPr>
      <w:r>
        <w:t xml:space="preserve">A persistent profile — ID, employment history, service ratings, tip-income record — that travels with the worker between employers. Loyalty attaches to SwiftTip, not the dealer. The data accumulates and cannot be copied. No competitor has built this.</w:t>
      </w:r>
    </w:p>
    <w:p>
      <w:pPr>
        <w:pStyle w:val="Heading3"/>
      </w:pPr>
      <w:r>
        <w:t xml:space="preserve">Layer 2 — Tip income as a credit proxy</w:t>
      </w:r>
    </w:p>
    <w:p>
      <w:pPr>
        <w:spacing w:after="140" w:line="274"/>
      </w:pPr>
      <w:r>
        <w:t xml:space="preserve">Verified income history makes the thin-file worker assessable, unlocking micro-credit, funeral cover and savings via a bank/lender partner — shifting revenue from cents-per-tip to high-margin financial-product referral. This escapes the low-tip-value trap and is where the real economics live.</w:t>
      </w:r>
    </w:p>
    <w:p>
      <w:pPr>
        <w:pStyle w:val="Heading3"/>
      </w:pPr>
      <w:r>
        <w:t xml:space="preserve">Layer 3 — Two-sided data asset</w:t>
      </w:r>
    </w:p>
    <w:p>
      <w:pPr>
        <w:spacing w:after="140" w:line="274"/>
      </w:pPr>
      <w:r>
        <w:t xml:space="preserve">Identity, income and ratings across thousands of workers become a dataset employers buy (recognition/retention) and institutions buy (verified access to an unreachable segment). More valuable with every worker and tip.</w:t>
      </w:r>
    </w:p>
    <w:p>
      <w:pPr>
        <w:pStyle w:val="Heading3"/>
      </w:pPr>
      <w:r>
        <w:t xml:space="preserve">Layer 4 — Distribution lock</w:t>
      </w:r>
    </w:p>
    <w:p>
      <w:pPr>
        <w:spacing w:after="140" w:line="274"/>
      </w:pPr>
      <w:r>
        <w:t xml:space="preserve">Onboarding whole workforces through dealer relationships creates switching costs that competitors signing individuals cannot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0A7B6C" w:sz="24"/>
              <w:bottom w:val="single" w:color="CCCCCC" w:sz="1"/>
              <w:right w:val="single" w:color="CCCCCC" w:sz="1"/>
            </w:tcBorders>
            <w:shd w:fill="FBF6E9" w:val="clear"/>
            <w:tcMar>
              <w:top w:type="dxa" w:w="100"/>
              <w:left w:type="dxa" w:w="140"/>
              <w:bottom w:type="dxa" w:w="100"/>
              <w:right w:type="dxa" w:w="140"/>
            </w:tcMar>
          </w:tcPr>
          <w:p>
            <w:pPr>
              <w:spacing w:after="50"/>
            </w:pPr>
            <w:r>
              <w:rPr>
                <w:b/>
                <w:bCs/>
                <w:color w:val="0A7B6C"/>
                <w:sz w:val="19"/>
                <w:szCs w:val="19"/>
              </w:rPr>
              <w:t xml:space="preserve">Three Asymmetric Moves</w:t>
            </w:r>
          </w:p>
          <w:p>
            <w:pPr>
              <w:spacing w:after="140" w:line="274"/>
            </w:pPr>
            <w:r>
              <w:rPr>
                <w:b/>
                <w:bCs/>
              </w:rPr>
              <w:t xml:space="preserve">1. Build the worker financial-identity layer Tappy structurally won't </w:t>
            </w:r>
            <w:r>
              <w:t xml:space="preserve">— they chase device breadth; depth is off-strategy for them.</w:t>
            </w:r>
          </w:p>
          <w:p>
            <w:pPr>
              <w:spacing w:after="140" w:line="274"/>
            </w:pPr>
            <w:r>
              <w:rPr>
                <w:b/>
                <w:bCs/>
              </w:rPr>
              <w:t xml:space="preserve">2. Take non-Sasol forecourts bottom-up, dealer by dealer </w:t>
            </w:r>
            <w:r>
              <w:t xml:space="preserve">— a thousand small sales conversations contradict the incumbents' big-partnership playbook.</w:t>
            </w:r>
          </w:p>
          <w:p>
            <w:pPr>
              <w:spacing w:after="140" w:line="274"/>
            </w:pPr>
            <w:r>
              <w:rPr>
                <w:b/>
                <w:bCs/>
              </w:rPr>
              <w:t xml:space="preserve">3. Promise “worker keeps 100%” </w:t>
            </w:r>
            <w:r>
              <w:t xml:space="preserve">— competitors are financially structured to take a cut; copying it breaks their model.</w:t>
            </w:r>
          </w:p>
        </w:tc>
      </w:tr>
    </w:tbl>
    <w:p>
      <w:pPr>
        <w:pStyle w:val="Heading1"/>
      </w:pPr>
      <w:r>
        <w:t xml:space="preserve">7. Revenue Model &amp; Economics</w:t>
      </w:r>
    </w:p>
    <w:p>
      <w:pPr>
        <w:pStyle w:val="Heading2"/>
      </w:pPr>
      <w:r>
        <w:t xml:space="preserve">7.1 How SwiftTip makes money</w:t>
      </w:r>
    </w:p>
    <w:p>
      <w:pPr>
        <w:spacing w:after="140" w:line="274"/>
      </w:pPr>
      <w:r>
        <w:rPr>
          <w:b/>
          <w:bCs/>
        </w:rPr>
        <w:t xml:space="preserve">The engine is a R2 flat service fee, paid by the customer, on every tip. </w:t>
      </w:r>
      <w:r>
        <w:t xml:space="preserve">The worker keeps 100% of their tip; the customer covers the small fee (R20 tip → R22 paid). This collects automatically at the point of payment — the revenue collects itself.</w:t>
      </w:r>
    </w:p>
    <w:p>
      <w:pPr>
        <w:pStyle w:val="Heading2"/>
      </w:pPr>
      <w:r>
        <w:t xml:space="preserve">7.2 What was deliberately dropped</w:t>
      </w:r>
    </w:p>
    <w:p>
      <w:pPr>
        <w:pStyle w:val="ListParagraph"/>
        <w:numPr>
          <w:ilvl w:val="0"/>
          <w:numId w:val="2"/>
        </w:numPr>
        <w:spacing w:after="64" w:line="262"/>
      </w:pPr>
      <w:r>
        <w:rPr>
          <w:b/>
          <w:bCs/>
        </w:rPr>
        <w:t xml:space="preserve">Worker subscription — dropped. </w:t>
      </w:r>
      <w:r>
        <w:t xml:space="preserve">Hard to collect, contradicts “keep 100%”, charges the lowest-income party, and a barrier to sign-up. The R2 fee more than replaces it.</w:t>
      </w:r>
    </w:p>
    <w:p>
      <w:pPr>
        <w:pStyle w:val="ListParagraph"/>
        <w:numPr>
          <w:ilvl w:val="0"/>
          <w:numId w:val="2"/>
        </w:numPr>
        <w:spacing w:after="64" w:line="262"/>
      </w:pPr>
      <w:r>
        <w:rPr>
          <w:b/>
          <w:bCs/>
        </w:rPr>
        <w:t xml:space="preserve">Employer fees — not charged. </w:t>
      </w:r>
      <w:r>
        <w:t xml:space="preserve">The dealer's cooperation is what you can least afford to lose. He pays nothing and gets the data (e.g. Employee of the Month) as a reason to champion SwiftTip. A free dashboard buys a free salesforce.</w:t>
      </w:r>
    </w:p>
    <w:p>
      <w:pPr>
        <w:pStyle w:val="Heading2"/>
      </w:pPr>
      <w:r>
        <w:t xml:space="preserve">7.3 The cost question that decides everything</w:t>
      </w:r>
    </w:p>
    <w:p>
      <w:pPr>
        <w:spacing w:after="140" w:line="274"/>
      </w:pPr>
      <w:r>
        <w:t xml:space="preserve">Net margin depends on payment-partner cost per tip. With a R2 fee and a ~R1 cost, SwiftTip nets ~R1/tip — profitable on every tip regardless of size. </w:t>
      </w:r>
      <w:r>
        <w:rPr>
          <w:b/>
          <w:bCs/>
        </w:rPr>
        <w:t xml:space="preserve">The critical levers are the payout cost and whether payouts can be batched</w:t>
      </w:r>
      <w:r>
        <w:t xml:space="preserve"> (settling daily rather than per-tip collapses cost dramatically). Ozow is the likely low-cost pay-in rail; the pay-out provider is to be confirmed by quote. Push for split-at-source so SwiftTip never holds funds.</w:t>
      </w:r>
    </w:p>
    <w:p>
      <w:pPr>
        <w:pStyle w:val="Heading2"/>
      </w:pPr>
      <w:r>
        <w:t xml:space="preserve">7.4 Revenue scenarios (Year 3, 500 stations)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0A7B6C" w:val="clear"/>
            <w:tcMar>
              <w:top w:type="dxa" w:w="60"/>
              <w:left w:type="dxa" w:w="90"/>
              <w:bottom w:type="dxa" w:w="60"/>
              <w:right w:type="dxa" w:w="90"/>
            </w:tcMar>
          </w:tcPr>
          <w:p>
            <w:pPr>
              <w:jc w:val="left"/>
            </w:pPr>
            <w:r>
              <w:rPr>
                <w:b/>
                <w:bCs/>
                <w:color w:val="FFFFFF"/>
                <w:sz w:val="17"/>
                <w:szCs w:val="17"/>
              </w:rPr>
              <w:t xml:space="preserve">Scenario</w:t>
            </w:r>
          </w:p>
        </w:tc>
        <w:tc>
          <w:tcPr>
            <w:tcW w:type="dxa" w:w="3760"/>
            <w:tcBorders>
              <w:top w:val="single" w:color="CCCCCC" w:sz="1"/>
              <w:left w:val="single" w:color="CCCCCC" w:sz="1"/>
              <w:bottom w:val="single" w:color="CCCCCC" w:sz="1"/>
              <w:right w:val="single" w:color="CCCCCC" w:sz="1"/>
            </w:tcBorders>
            <w:shd w:fill="0A7B6C" w:val="clear"/>
            <w:tcMar>
              <w:top w:type="dxa" w:w="60"/>
              <w:left w:type="dxa" w:w="90"/>
              <w:bottom w:type="dxa" w:w="60"/>
              <w:right w:type="dxa" w:w="90"/>
            </w:tcMar>
          </w:tcPr>
          <w:p>
            <w:pPr>
              <w:jc w:val="left"/>
            </w:pPr>
            <w:r>
              <w:rPr>
                <w:b/>
                <w:bCs/>
                <w:color w:val="FFFFFF"/>
                <w:sz w:val="17"/>
                <w:szCs w:val="17"/>
              </w:rPr>
              <w:t xml:space="preserve">Assumptions</w:t>
            </w:r>
          </w:p>
        </w:tc>
        <w:tc>
          <w:tcPr>
            <w:tcW w:type="dxa" w:w="2480"/>
            <w:tcBorders>
              <w:top w:val="single" w:color="CCCCCC" w:sz="1"/>
              <w:left w:val="single" w:color="CCCCCC" w:sz="1"/>
              <w:bottom w:val="single" w:color="CCCCCC" w:sz="1"/>
              <w:right w:val="single" w:color="CCCCCC" w:sz="1"/>
            </w:tcBorders>
            <w:shd w:fill="0A7B6C" w:val="clear"/>
            <w:tcMar>
              <w:top w:type="dxa" w:w="60"/>
              <w:left w:type="dxa" w:w="90"/>
              <w:bottom w:type="dxa" w:w="60"/>
              <w:right w:type="dxa" w:w="90"/>
            </w:tcMar>
          </w:tcPr>
          <w:p>
            <w:pPr>
              <w:jc w:val="center"/>
            </w:pPr>
            <w:r>
              <w:rPr>
                <w:b/>
                <w:bCs/>
                <w:color w:val="FFFFFF"/>
                <w:sz w:val="17"/>
                <w:szCs w:val="17"/>
              </w:rPr>
              <w:t xml:space="preserve">Annual Revenue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Conservative</w:t>
            </w:r>
          </w:p>
        </w:tc>
        <w:tc>
          <w:tcPr>
            <w:tcW w:type="dxa" w:w="37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2 tips/worker/day, R25 avg, high cost</w:t>
            </w:r>
          </w:p>
        </w:tc>
        <w:tc>
          <w:tcPr>
            <w:tcW w:type="dxa" w:w="24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b/>
                <w:bCs/>
                <w:color w:val="1A2B2A"/>
                <w:sz w:val="17"/>
                <w:szCs w:val="17"/>
              </w:rPr>
              <w:t xml:space="preserve">~R5.8M</w:t>
            </w:r>
          </w:p>
        </w:tc>
      </w:tr>
      <w:tr>
        <w:tc>
          <w:tcPr>
            <w:tcW w:type="dxa" w:w="312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Base</w:t>
            </w:r>
          </w:p>
        </w:tc>
        <w:tc>
          <w:tcPr>
            <w:tcW w:type="dxa" w:w="376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3 tips/worker/day, R30 avg, mid cost</w:t>
            </w:r>
          </w:p>
        </w:tc>
        <w:tc>
          <w:tcPr>
            <w:tcW w:type="dxa" w:w="248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center"/>
            </w:pPr>
            <w:r>
              <w:rPr>
                <w:b/>
                <w:bCs/>
                <w:color w:val="1E7A4C"/>
                <w:sz w:val="17"/>
                <w:szCs w:val="17"/>
              </w:rPr>
              <w:t xml:space="preserve">~R14.8M</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Bull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4 tips/worker/day, R35 avg, low cost</w:t>
            </w:r>
          </w:p>
        </w:tc>
        <w:tc>
          <w:tcPr>
            <w:tcW w:type="dxa" w:w="24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b/>
                <w:bCs/>
                <w:color w:val="1E7A4C"/>
                <w:sz w:val="17"/>
                <w:szCs w:val="17"/>
              </w:rPr>
              <w:t xml:space="preserve">~R25.8M</w:t>
            </w:r>
          </w:p>
        </w:tc>
      </w:tr>
    </w:tbl>
    <w:p>
      <w:pPr>
        <w:spacing w:after="140" w:line="274"/>
      </w:pPr>
      <w:r>
        <w:rPr>
          <w:b/>
          <w:bCs/>
        </w:rPr>
        <w:t xml:space="preserve">Bootstrap economics: </w:t>
      </w:r>
      <w:r>
        <w:t xml:space="preserve">~R220K startup capital, self-funded, founder salary foregone. Break-even ~Month 12–14 at ~1,400 active workers. The single biggest unknown is the customer tipping rate — to be validated by a forecourt intercept test before scaling.</w:t>
      </w:r>
    </w:p>
    <w:p>
      <w:pPr>
        <w:pStyle w:val="Heading1"/>
      </w:pPr>
      <w:r>
        <w:t xml:space="preserve">8. Regulatory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B83232" w:sz="24"/>
              <w:bottom w:val="single" w:color="CCCCCC" w:sz="1"/>
              <w:right w:val="single" w:color="CCCCCC" w:sz="1"/>
            </w:tcBorders>
            <w:shd w:fill="FBF6E9" w:val="clear"/>
            <w:tcMar>
              <w:top w:type="dxa" w:w="100"/>
              <w:left w:type="dxa" w:w="140"/>
              <w:bottom w:type="dxa" w:w="100"/>
              <w:right w:type="dxa" w:w="140"/>
            </w:tcMar>
          </w:tcPr>
          <w:p>
            <w:pPr>
              <w:spacing w:after="50"/>
            </w:pPr>
            <w:r>
              <w:rPr>
                <w:b/>
                <w:bCs/>
                <w:color w:val="B83232"/>
                <w:sz w:val="19"/>
                <w:szCs w:val="19"/>
              </w:rPr>
              <w:t xml:space="preserve">The Critical Gate</w:t>
            </w:r>
          </w:p>
          <w:p>
            <w:pPr>
              <w:spacing w:after="140" w:line="274"/>
            </w:pPr>
            <w:r>
              <w:rPr>
                <w:b/>
                <w:bCs/>
              </w:rPr>
              <w:t xml:space="preserve">Holding a customer's tip to pass to a worker makes SwiftTip a Third Party Payment Provider under SARB Directive 1 of 2007. </w:t>
            </w:r>
            <w:r>
              <w:t xml:space="preserve">Solution: ride a licensed payment partner who collects and disburses, so SwiftTip provides only technology and never holds funds. This clears the gate cheaply and is the launch structure.</w:t>
            </w:r>
          </w:p>
        </w:tc>
      </w:tr>
    </w:tbl>
    <w:p>
      <w:pPr>
        <w:spacing w:after="140" w:line="274"/>
      </w:pPr>
      <w:r>
        <w:t xml:space="preserve">Other obligations from day one: FICA/KYC (ID + bank account, under the partner's umbrella); a POPIA framework; and a SARS tip-treatment ruling (copying TiPJAR's HMRC playbook) confirming worker-direct tips are not employer payroll — which de-risks dealers and becomes a sales asset. A dedicated SwiftTip Pty Ltd should be registered before collecting real revenue — not run under another entity.</w:t>
      </w:r>
    </w:p>
    <w:p>
      <w:pPr>
        <w:pStyle w:val="Heading1"/>
      </w:pPr>
      <w:r>
        <w:t xml:space="preserve">9. Go-to-Market Strategy</w:t>
      </w:r>
    </w:p>
    <w:p>
      <w:pPr>
        <w:pStyle w:val="Heading2"/>
      </w:pPr>
      <w:r>
        <w:t xml:space="preserve">9.1 The governing principle</w:t>
      </w:r>
    </w:p>
    <w:p>
      <w:pPr>
        <w:spacing w:after="140" w:line="274"/>
      </w:pPr>
      <w:r>
        <w:rPr>
          <w:b/>
          <w:bCs/>
        </w:rPr>
        <w:t xml:space="preserve">Depth before breadth. </w:t>
      </w:r>
      <w:r>
        <w:t xml:space="preserve">Win one forecourt completely before touching the second. SwiftTip has a three-sided adoption problem (dealers allow, workers use, customers tip); the GTM sequences these in a contained space small enough to win before spreading.</w:t>
      </w:r>
    </w:p>
    <w:p>
      <w:pPr>
        <w:pStyle w:val="Heading2"/>
      </w:pPr>
      <w:r>
        <w:t xml:space="preserve">9.2 The sequence</w:t>
      </w:r>
    </w:p>
    <w:p>
      <w:pPr>
        <w:pStyle w:val="ListParagraph"/>
        <w:numPr>
          <w:ilvl w:val="0"/>
          <w:numId w:val="3"/>
        </w:numPr>
        <w:spacing w:after="64" w:line="262"/>
      </w:pPr>
      <w:r>
        <w:rPr>
          <w:b/>
          <w:bCs/>
        </w:rPr>
        <w:t xml:space="preserve">Land the dealer </w:t>
      </w:r>
      <w:r>
        <w:t xml:space="preserve">— walk in, lead with the operator's case (less cash, lower crime risk, motivated staff, free 90-day pilot, all cost and risk on SwiftTip).</w:t>
      </w:r>
    </w:p>
    <w:p>
      <w:pPr>
        <w:pStyle w:val="ListParagraph"/>
        <w:numPr>
          <w:ilvl w:val="0"/>
          <w:numId w:val="3"/>
        </w:numPr>
        <w:spacing w:after="64" w:line="262"/>
      </w:pPr>
      <w:r>
        <w:rPr>
          <w:b/>
          <w:bCs/>
        </w:rPr>
        <w:t xml:space="preserve">Acquire the workers </w:t>
      </w:r>
      <w:r>
        <w:t xml:space="preserve">— sign the most respected attendant first; peer proof converts the rest. Lead with “you keep 100%”. Onboarding under 5 minutes, ID + bank only. Engineer a fast, visible first payout.</w:t>
      </w:r>
    </w:p>
    <w:p>
      <w:pPr>
        <w:pStyle w:val="ListParagraph"/>
        <w:numPr>
          <w:ilvl w:val="0"/>
          <w:numId w:val="3"/>
        </w:numPr>
        <w:spacing w:after="64" w:line="262"/>
      </w:pPr>
      <w:r>
        <w:rPr>
          <w:b/>
          <w:bCs/>
        </w:rPr>
        <w:t xml:space="preserve">Activate the customers </w:t>
      </w:r>
      <w:r>
        <w:t xml:space="preserve">— win the tip at the moment of service through QR placement and the attendant's spoken ask.</w:t>
      </w:r>
    </w:p>
    <w:p>
      <w:pPr>
        <w:pStyle w:val="Heading2"/>
      </w:pPr>
      <w:r>
        <w:t xml:space="preserve">9.3 Geographic phasing — concentric circles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tcBorders>
              <w:top w:val="single" w:color="CCCCCC" w:sz="1"/>
              <w:left w:val="single" w:color="CCCCCC" w:sz="1"/>
              <w:bottom w:val="single" w:color="CCCCCC" w:sz="1"/>
              <w:right w:val="single" w:color="CCCCCC" w:sz="1"/>
            </w:tcBorders>
            <w:shd w:fill="1A2B2A" w:val="clear"/>
            <w:tcMar>
              <w:top w:type="dxa" w:w="60"/>
              <w:left w:type="dxa" w:w="90"/>
              <w:bottom w:type="dxa" w:w="60"/>
              <w:right w:type="dxa" w:w="90"/>
            </w:tcMar>
          </w:tcPr>
          <w:p>
            <w:pPr>
              <w:jc w:val="left"/>
            </w:pPr>
            <w:r>
              <w:rPr>
                <w:b/>
                <w:bCs/>
                <w:color w:val="FFFFFF"/>
                <w:sz w:val="17"/>
                <w:szCs w:val="17"/>
              </w:rPr>
              <w:t xml:space="preserve">Ring</w:t>
            </w:r>
          </w:p>
        </w:tc>
        <w:tc>
          <w:tcPr>
            <w:tcW w:type="dxa" w:w="3360"/>
            <w:tcBorders>
              <w:top w:val="single" w:color="CCCCCC" w:sz="1"/>
              <w:left w:val="single" w:color="CCCCCC" w:sz="1"/>
              <w:bottom w:val="single" w:color="CCCCCC" w:sz="1"/>
              <w:right w:val="single" w:color="CCCCCC" w:sz="1"/>
            </w:tcBorders>
            <w:shd w:fill="1A2B2A" w:val="clear"/>
            <w:tcMar>
              <w:top w:type="dxa" w:w="60"/>
              <w:left w:type="dxa" w:w="90"/>
              <w:bottom w:type="dxa" w:w="60"/>
              <w:right w:type="dxa" w:w="90"/>
            </w:tcMar>
          </w:tcPr>
          <w:p>
            <w:pPr>
              <w:jc w:val="left"/>
            </w:pPr>
            <w:r>
              <w:rPr>
                <w:b/>
                <w:bCs/>
                <w:color w:val="FFFFFF"/>
                <w:sz w:val="17"/>
                <w:szCs w:val="17"/>
              </w:rPr>
              <w:t xml:space="preserve">Advantage</w:t>
            </w:r>
          </w:p>
        </w:tc>
        <w:tc>
          <w:tcPr>
            <w:tcW w:type="dxa" w:w="3400"/>
            <w:tcBorders>
              <w:top w:val="single" w:color="CCCCCC" w:sz="1"/>
              <w:left w:val="single" w:color="CCCCCC" w:sz="1"/>
              <w:bottom w:val="single" w:color="CCCCCC" w:sz="1"/>
              <w:right w:val="single" w:color="CCCCCC" w:sz="1"/>
            </w:tcBorders>
            <w:shd w:fill="1A2B2A" w:val="clear"/>
            <w:tcMar>
              <w:top w:type="dxa" w:w="60"/>
              <w:left w:type="dxa" w:w="90"/>
              <w:bottom w:type="dxa" w:w="60"/>
              <w:right w:type="dxa" w:w="90"/>
            </w:tcMar>
          </w:tcPr>
          <w:p>
            <w:pPr>
              <w:jc w:val="left"/>
            </w:pPr>
            <w:r>
              <w:rPr>
                <w:b/>
                <w:bCs/>
                <w:color w:val="FFFFFF"/>
                <w:sz w:val="17"/>
                <w:szCs w:val="17"/>
              </w:rPr>
              <w:t xml:space="preserve">Timing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Buffalo City (Mdantsane)</w:t>
            </w:r>
          </w:p>
        </w:tc>
        <w:tc>
          <w:tcPr>
            <w:tcW w:type="dxa" w:w="33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Home; deep community trust</w:t>
            </w:r>
          </w:p>
        </w:tc>
        <w:tc>
          <w:tcPr>
            <w:tcW w:type="dxa" w:w="3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Phase 1 — prove the model</w:t>
            </w:r>
          </w:p>
        </w:tc>
      </w:tr>
      <w:tr>
        <w:tc>
          <w:tcPr>
            <w:tcW w:type="dxa" w:w="26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Eastern Cape corridors</w:t>
            </w:r>
          </w:p>
        </w:tc>
        <w:tc>
          <w:tcPr>
            <w:tcW w:type="dxa" w:w="336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Existing standing (Mthatha, Gqeberha)</w:t>
            </w:r>
          </w:p>
        </w:tc>
        <w:tc>
          <w:tcPr>
            <w:tcW w:type="dxa" w:w="34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Phase 2 — build the base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KZN &amp; Western Cape</w:t>
            </w:r>
          </w:p>
        </w:tc>
        <w:tc>
          <w:tcPr>
            <w:tcW w:type="dxa" w:w="33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Proven playbook + track record</w:t>
            </w:r>
          </w:p>
        </w:tc>
        <w:tc>
          <w:tcPr>
            <w:tcW w:type="dxa" w:w="3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Phase 3 — expand on strength</w:t>
            </w:r>
          </w:p>
        </w:tc>
      </w:tr>
      <w:tr>
        <w:tc>
          <w:tcPr>
            <w:tcW w:type="dxa" w:w="26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Gauteng / national</w:t>
            </w:r>
          </w:p>
        </w:tc>
        <w:tc>
          <w:tcPr>
            <w:tcW w:type="dxa" w:w="336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None — cold, competitive market</w:t>
            </w:r>
          </w:p>
        </w:tc>
        <w:tc>
          <w:tcPr>
            <w:tcW w:type="dxa" w:w="34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Phase 4 — last, with resources</w:t>
            </w:r>
          </w:p>
        </w:tc>
      </w:tr>
    </w:tbl>
    <w:p>
      <w:pPr>
        <w:spacing w:after="140" w:line="274"/>
      </w:pPr>
      <w:r>
        <w:rPr>
          <w:b/>
          <w:bCs/>
        </w:rPr>
        <w:t xml:space="preserve">The discipline: </w:t>
      </w:r>
      <w:r>
        <w:t xml:space="preserve">spend home-ground advantage where it is worth most (early), enter hostile Gauteng last and strongest, and put competitive urgency into depth, not distance. Density is the strategy; spread is the trap.</w:t>
      </w:r>
    </w:p>
    <w:p>
      <w:pPr>
        <w:pStyle w:val="Heading1"/>
      </w:pPr>
      <w:r>
        <w:t xml:space="preserve">10. Marketing Strategy</w:t>
      </w:r>
    </w:p>
    <w:p>
      <w:pPr>
        <w:spacing w:after="140" w:line="274"/>
      </w:pPr>
      <w:r>
        <w:rPr>
          <w:b/>
          <w:bCs/>
        </w:rPr>
        <w:t xml:space="preserve">SwiftTip is distribution-led, not marketing-led. </w:t>
      </w:r>
      <w:r>
        <w:t xml:space="preserve">Most energy goes into getting onto forecourts and activating the people already there — not advertising to the public. Of three audiences, only customers warrant anything like traditional marketing, and even then it is point-of-service prompting, not ads.</w:t>
      </w:r>
    </w:p>
    <w:p>
      <w:pPr>
        <w:pStyle w:val="ListParagraph"/>
        <w:numPr>
          <w:ilvl w:val="0"/>
          <w:numId w:val="2"/>
        </w:numPr>
        <w:spacing w:after="64" w:line="262"/>
      </w:pPr>
      <w:r>
        <w:rPr>
          <w:b/>
          <w:bCs/>
        </w:rPr>
        <w:t xml:space="preserve">Point-of-service conversion (highest ROI) </w:t>
      </w:r>
      <w:r>
        <w:t xml:space="preserve">— the collateral system and, above all, training the attendant to say “you can tip cashless here, no app needed.” A spoken ask out-converts any advertisement.</w:t>
      </w:r>
    </w:p>
    <w:p>
      <w:pPr>
        <w:pStyle w:val="ListParagraph"/>
        <w:numPr>
          <w:ilvl w:val="0"/>
          <w:numId w:val="2"/>
        </w:numPr>
        <w:spacing w:after="64" w:line="262"/>
      </w:pPr>
      <w:r>
        <w:rPr>
          <w:b/>
          <w:bCs/>
        </w:rPr>
        <w:t xml:space="preserve">Worker word of mouth </w:t>
      </w:r>
      <w:r>
        <w:t xml:space="preserve">— the “keep 100%” wedge and the first-payout moment turn workers into evangelists across forecourts.</w:t>
      </w:r>
    </w:p>
    <w:p>
      <w:pPr>
        <w:pStyle w:val="ListParagraph"/>
        <w:numPr>
          <w:ilvl w:val="0"/>
          <w:numId w:val="2"/>
        </w:numPr>
        <w:spacing w:after="64" w:line="262"/>
      </w:pPr>
      <w:r>
        <w:rPr>
          <w:b/>
          <w:bCs/>
        </w:rPr>
        <w:t xml:space="preserve">Dealer credibility </w:t>
      </w:r>
      <w:r>
        <w:t xml:space="preserve">— website, a one-page case study, and the “courtesy of SwiftTip” board that turns existing dealers into advocates.</w:t>
      </w:r>
    </w:p>
    <w:p>
      <w:pPr>
        <w:pStyle w:val="ListParagraph"/>
        <w:numPr>
          <w:ilvl w:val="0"/>
          <w:numId w:val="2"/>
        </w:numPr>
        <w:spacing w:after="64" w:line="262"/>
      </w:pPr>
      <w:r>
        <w:rPr>
          <w:b/>
          <w:bCs/>
        </w:rPr>
        <w:t xml:space="preserve">Earned media / PR (proven in this category) </w:t>
      </w:r>
      <w:r>
        <w:t xml:space="preserve">— a local-founder, financial-inclusion story that SA media loves; how tipped™ grew, at near-zero cost.</w:t>
      </w:r>
    </w:p>
    <w:p>
      <w:pPr>
        <w:pStyle w:val="ListParagraph"/>
        <w:numPr>
          <w:ilvl w:val="0"/>
          <w:numId w:val="2"/>
        </w:numPr>
        <w:spacing w:after="64" w:line="262"/>
      </w:pPr>
      <w:r>
        <w:rPr>
          <w:b/>
          <w:bCs/>
        </w:rPr>
        <w:t xml:space="preserve">The mission as marketing </w:t>
      </w:r>
      <w:r>
        <w:t xml:space="preserve">— dignity and inclusion for frontline workers earns media, resonates with ESG-minded dealers, and differentiates emotionally.</w:t>
      </w:r>
    </w:p>
    <w:p>
      <w:pPr>
        <w:spacing w:after="140" w:line="274"/>
      </w:pPr>
      <w:r>
        <w:rPr>
          <w:b/>
          <w:bCs/>
        </w:rPr>
        <w:t xml:space="preserve">What to avoid early: </w:t>
      </w:r>
      <w:r>
        <w:t xml:space="preserve">consumer brand advertising, slick national campaigns, and app-install marketing — all premature before the point-of-service experience is saturated.</w:t>
      </w:r>
    </w:p>
    <w:p>
      <w:pPr>
        <w:pStyle w:val="Heading1"/>
      </w:pPr>
      <w:r>
        <w:t xml:space="preserve">11. The Physical Forecourt System</w:t>
      </w:r>
    </w:p>
    <w:p>
      <w:pPr>
        <w:spacing w:after="140" w:line="274"/>
      </w:pPr>
      <w:r>
        <w:t xml:space="preserve">Almost all go-to-market hardware is cheap printed collateral, designed as one reinforcing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CCCCCC" w:sz="1"/>
              <w:left w:val="single" w:color="CCCCCC" w:sz="1"/>
              <w:bottom w:val="single" w:color="CCCCCC" w:sz="1"/>
              <w:right w:val="single" w:color="CCCCCC" w:sz="1"/>
            </w:tcBorders>
            <w:shd w:fill="0A7B6C" w:val="clear"/>
            <w:tcMar>
              <w:top w:type="dxa" w:w="60"/>
              <w:left w:type="dxa" w:w="90"/>
              <w:bottom w:type="dxa" w:w="60"/>
              <w:right w:type="dxa" w:w="90"/>
            </w:tcMar>
          </w:tcPr>
          <w:p>
            <w:pPr>
              <w:jc w:val="left"/>
            </w:pPr>
            <w:r>
              <w:rPr>
                <w:b/>
                <w:bCs/>
                <w:color w:val="FFFFFF"/>
                <w:sz w:val="17"/>
                <w:szCs w:val="17"/>
              </w:rPr>
              <w:t xml:space="preserve">Piece</w:t>
            </w:r>
          </w:p>
        </w:tc>
        <w:tc>
          <w:tcPr>
            <w:tcW w:type="dxa" w:w="2960"/>
            <w:tcBorders>
              <w:top w:val="single" w:color="CCCCCC" w:sz="1"/>
              <w:left w:val="single" w:color="CCCCCC" w:sz="1"/>
              <w:bottom w:val="single" w:color="CCCCCC" w:sz="1"/>
              <w:right w:val="single" w:color="CCCCCC" w:sz="1"/>
            </w:tcBorders>
            <w:shd w:fill="0A7B6C" w:val="clear"/>
            <w:tcMar>
              <w:top w:type="dxa" w:w="60"/>
              <w:left w:type="dxa" w:w="90"/>
              <w:bottom w:type="dxa" w:w="60"/>
              <w:right w:type="dxa" w:w="90"/>
            </w:tcMar>
          </w:tcPr>
          <w:p>
            <w:pPr>
              <w:jc w:val="left"/>
            </w:pPr>
            <w:r>
              <w:rPr>
                <w:b/>
                <w:bCs/>
                <w:color w:val="FFFFFF"/>
                <w:sz w:val="17"/>
                <w:szCs w:val="17"/>
              </w:rPr>
              <w:t xml:space="preserve">Where</w:t>
            </w:r>
          </w:p>
        </w:tc>
        <w:tc>
          <w:tcPr>
            <w:tcW w:type="dxa" w:w="3600"/>
            <w:tcBorders>
              <w:top w:val="single" w:color="CCCCCC" w:sz="1"/>
              <w:left w:val="single" w:color="CCCCCC" w:sz="1"/>
              <w:bottom w:val="single" w:color="CCCCCC" w:sz="1"/>
              <w:right w:val="single" w:color="CCCCCC" w:sz="1"/>
            </w:tcBorders>
            <w:shd w:fill="0A7B6C" w:val="clear"/>
            <w:tcMar>
              <w:top w:type="dxa" w:w="60"/>
              <w:left w:type="dxa" w:w="90"/>
              <w:bottom w:type="dxa" w:w="60"/>
              <w:right w:type="dxa" w:w="90"/>
            </w:tcMar>
          </w:tcPr>
          <w:p>
            <w:pPr>
              <w:jc w:val="left"/>
            </w:pPr>
            <w:r>
              <w:rPr>
                <w:b/>
                <w:bCs/>
                <w:color w:val="FFFFFF"/>
                <w:sz w:val="17"/>
                <w:szCs w:val="17"/>
              </w:rPr>
              <w:t xml:space="preserve">Job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Lanyard card / armband</w:t>
            </w:r>
          </w:p>
        </w:tc>
        <w:tc>
          <w:tcPr>
            <w:tcW w:type="dxa" w:w="29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On the worker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Identity, trust, personal scan point</w:t>
            </w:r>
          </w:p>
        </w:tc>
      </w:tr>
      <w:tr>
        <w:tc>
          <w:tcPr>
            <w:tcW w:type="dxa" w:w="28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Pump QR sign</w:t>
            </w:r>
          </w:p>
        </w:tc>
        <w:tc>
          <w:tcPr>
            <w:tcW w:type="dxa" w:w="296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At the pump</w:t>
            </w:r>
          </w:p>
        </w:tc>
        <w:tc>
          <w:tcPr>
            <w:tcW w:type="dxa" w:w="36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The scan-while-waiting moment (biggest converter)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Affiliated-retailer decal</w:t>
            </w:r>
          </w:p>
        </w:tc>
        <w:tc>
          <w:tcPr>
            <w:tcW w:type="dxa" w:w="29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Entrance / shop door</w:t>
            </w:r>
          </w:p>
        </w:tc>
        <w:tc>
          <w:tcPr>
            <w:tcW w:type="dxa" w:w="3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Pre-warms the customer, re-establishes the tipping prompt</w:t>
            </w:r>
          </w:p>
        </w:tc>
      </w:tr>
      <w:tr>
        <w:tc>
          <w:tcPr>
            <w:tcW w:type="dxa" w:w="28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Employee of the Month board</w:t>
            </w:r>
          </w:p>
        </w:tc>
        <w:tc>
          <w:tcPr>
            <w:tcW w:type="dxa" w:w="296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Inside the shop</w:t>
            </w:r>
          </w:p>
        </w:tc>
        <w:tc>
          <w:tcPr>
            <w:tcW w:type="dxa" w:w="36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Dealer advocacy, worker motivation, in-store brand</w:t>
            </w:r>
          </w:p>
        </w:tc>
      </w:tr>
    </w:tbl>
    <w:p>
      <w:pPr>
        <w:spacing w:after="140" w:line="274"/>
      </w:pPr>
      <w:r>
        <w:rPr>
          <w:b/>
          <w:bCs/>
        </w:rPr>
        <w:t xml:space="preserve">Design principles: </w:t>
      </w:r>
      <w:r>
        <w:t xml:space="preserve">QR as the hero element with a clear “scan to tip” prompt; the lanyard avoids the uniform-approval risk of the armband; station-level QR on fixed signage lets customers pick the attendant even if they’ve walked away; print everything matte, not gloss, to defeat forecourt sun-glare. The Employee of the Month board is framed as service recognition (not earnings ranking) and features workers only with consent, for POPIA.</w:t>
      </w:r>
    </w:p>
    <w:p>
      <w:pPr>
        <w:pStyle w:val="Heading1"/>
      </w:pPr>
      <w:r>
        <w:t xml:space="preserve">12. Key Risks &amp;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tcBorders>
              <w:top w:val="single" w:color="CCCCCC" w:sz="1"/>
              <w:left w:val="single" w:color="CCCCCC" w:sz="1"/>
              <w:bottom w:val="single" w:color="CCCCCC" w:sz="1"/>
              <w:right w:val="single" w:color="CCCCCC" w:sz="1"/>
            </w:tcBorders>
            <w:shd w:fill="1A2B2A" w:val="clear"/>
            <w:tcMar>
              <w:top w:type="dxa" w:w="60"/>
              <w:left w:type="dxa" w:w="90"/>
              <w:bottom w:type="dxa" w:w="60"/>
              <w:right w:type="dxa" w:w="90"/>
            </w:tcMar>
          </w:tcPr>
          <w:p>
            <w:pPr>
              <w:jc w:val="left"/>
            </w:pPr>
            <w:r>
              <w:rPr>
                <w:b/>
                <w:bCs/>
                <w:color w:val="FFFFFF"/>
                <w:sz w:val="17"/>
                <w:szCs w:val="17"/>
              </w:rPr>
              <w:t xml:space="preserve">Gate / Risk</w:t>
            </w:r>
          </w:p>
        </w:tc>
        <w:tc>
          <w:tcPr>
            <w:tcW w:type="dxa" w:w="6240"/>
            <w:tcBorders>
              <w:top w:val="single" w:color="CCCCCC" w:sz="1"/>
              <w:left w:val="single" w:color="CCCCCC" w:sz="1"/>
              <w:bottom w:val="single" w:color="CCCCCC" w:sz="1"/>
              <w:right w:val="single" w:color="CCCCCC" w:sz="1"/>
            </w:tcBorders>
            <w:shd w:fill="1A2B2A" w:val="clear"/>
            <w:tcMar>
              <w:top w:type="dxa" w:w="60"/>
              <w:left w:type="dxa" w:w="90"/>
              <w:bottom w:type="dxa" w:w="60"/>
              <w:right w:type="dxa" w:w="90"/>
            </w:tcMar>
          </w:tcPr>
          <w:p>
            <w:pPr>
              <w:jc w:val="left"/>
            </w:pPr>
            <w:r>
              <w:rPr>
                <w:b/>
                <w:bCs/>
                <w:color w:val="FFFFFF"/>
                <w:sz w:val="17"/>
                <w:szCs w:val="17"/>
              </w:rPr>
              <w:t xml:space="preserve">Mitigation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B83232"/>
                <w:sz w:val="17"/>
                <w:szCs w:val="17"/>
              </w:rPr>
              <w:t xml:space="preserve">Payments regulation</w:t>
            </w:r>
          </w:p>
        </w:tc>
        <w:tc>
          <w:tcPr>
            <w:tcW w:type="dxa" w:w="62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Ride a licensed PSP; never hold funds at launch</w:t>
            </w:r>
          </w:p>
        </w:tc>
      </w:tr>
      <w:tr>
        <w:tc>
          <w:tcPr>
            <w:tcW w:type="dxa" w:w="312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B83232"/>
                <w:sz w:val="17"/>
                <w:szCs w:val="17"/>
              </w:rPr>
              <w:t xml:space="preserve">Worker trust / payout</w:t>
            </w:r>
          </w:p>
        </w:tc>
        <w:tc>
          <w:tcPr>
            <w:tcW w:type="dxa" w:w="624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Instant, guaranteed, visible payout from day one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B83232"/>
                <w:sz w:val="17"/>
                <w:szCs w:val="17"/>
              </w:rPr>
              <w:t xml:space="preserve">Average tip &amp; tipping rate</w:t>
            </w:r>
          </w:p>
        </w:tc>
        <w:tc>
          <w:tcPr>
            <w:tcW w:type="dxa" w:w="62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Forecourt intercept test before scaling</w:t>
            </w:r>
          </w:p>
        </w:tc>
      </w:tr>
      <w:tr>
        <w:tc>
          <w:tcPr>
            <w:tcW w:type="dxa" w:w="312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B83232"/>
                <w:sz w:val="17"/>
                <w:szCs w:val="17"/>
              </w:rPr>
              <w:t xml:space="preserve">Retailer / uniform approval</w:t>
            </w:r>
          </w:p>
        </w:tc>
        <w:tc>
          <w:tcPr>
            <w:tcW w:type="dxa" w:w="624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Lanyard (off-uniform) + confirm approval path with first dealer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B83232"/>
                <w:sz w:val="17"/>
                <w:szCs w:val="17"/>
              </w:rPr>
              <w:t xml:space="preserve">Competitor moves first</w:t>
            </w:r>
          </w:p>
        </w:tc>
        <w:tc>
          <w:tcPr>
            <w:tcW w:type="dxa" w:w="62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Move now on a contained beachhead; build the moat early</w:t>
            </w:r>
          </w:p>
        </w:tc>
      </w:tr>
      <w:tr>
        <w:tc>
          <w:tcPr>
            <w:tcW w:type="dxa" w:w="312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B83232"/>
                <w:sz w:val="17"/>
                <w:szCs w:val="17"/>
              </w:rPr>
              <w:t xml:space="preserve">Payment cost on micro-tips</w:t>
            </w:r>
          </w:p>
        </w:tc>
        <w:tc>
          <w:tcPr>
            <w:tcW w:type="dxa" w:w="624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Batch payouts; cheapest rail per leg (Ozow/Stitch)</w:t>
            </w:r>
          </w:p>
        </w:tc>
      </w:tr>
    </w:tbl>
    <w:p>
      <w:pPr>
        <w:pStyle w:val="Heading1"/>
      </w:pPr>
      <w:r>
        <w:t xml:space="preserve">13. Roadmap &amp; Immediate Next Steps</w:t>
      </w:r>
    </w:p>
    <w:p>
      <w:pPr>
        <w:pStyle w:val="Heading2"/>
      </w:pPr>
      <w:r>
        <w:t xml:space="preserve">13.1 Quick wins (do first)</w:t>
      </w:r>
    </w:p>
    <w:p>
      <w:pPr>
        <w:pStyle w:val="ListParagraph"/>
        <w:numPr>
          <w:ilvl w:val="0"/>
          <w:numId w:val="2"/>
        </w:numPr>
        <w:spacing w:after="64" w:line="262"/>
      </w:pPr>
      <w:r>
        <w:rPr>
          <w:b/>
          <w:bCs/>
        </w:rPr>
        <w:t xml:space="preserve">Run the forecourt intercept test </w:t>
      </w:r>
      <w:r>
        <w:t xml:space="preserve">(under R2,000) — validate the tipping rate, the single most sensitive number.</w:t>
      </w:r>
    </w:p>
    <w:p>
      <w:pPr>
        <w:pStyle w:val="ListParagraph"/>
        <w:numPr>
          <w:ilvl w:val="0"/>
          <w:numId w:val="2"/>
        </w:numPr>
        <w:spacing w:after="64" w:line="262"/>
      </w:pPr>
      <w:r>
        <w:rPr>
          <w:b/>
          <w:bCs/>
        </w:rPr>
        <w:t xml:space="preserve">Get payment-partner quotes </w:t>
      </w:r>
      <w:r>
        <w:t xml:space="preserve">from Ozow and Stitch — pay-in, pay-out, batching, split-at-source.</w:t>
      </w:r>
    </w:p>
    <w:p>
      <w:pPr>
        <w:pStyle w:val="ListParagraph"/>
        <w:numPr>
          <w:ilvl w:val="0"/>
          <w:numId w:val="2"/>
        </w:numPr>
        <w:spacing w:after="64" w:line="262"/>
      </w:pPr>
      <w:r>
        <w:rPr>
          <w:b/>
          <w:bCs/>
        </w:rPr>
        <w:t xml:space="preserve">Register SwiftTip (Pty) Ltd </w:t>
      </w:r>
      <w:r>
        <w:t xml:space="preserve">— a clean entity before any real revenue.</w:t>
      </w:r>
    </w:p>
    <w:p>
      <w:pPr>
        <w:pStyle w:val="ListParagraph"/>
        <w:numPr>
          <w:ilvl w:val="0"/>
          <w:numId w:val="2"/>
        </w:numPr>
        <w:spacing w:after="64" w:line="262"/>
      </w:pPr>
      <w:r>
        <w:rPr>
          <w:b/>
          <w:bCs/>
        </w:rPr>
        <w:t xml:space="preserve">Land one free 90-day Mdantsane pilot </w:t>
      </w:r>
      <w:r>
        <w:t xml:space="preserve">— the actual blocker; everything else is ready.</w:t>
      </w:r>
    </w:p>
    <w:p>
      <w:pPr>
        <w:pStyle w:val="Heading2"/>
      </w:pPr>
      <w:r>
        <w:t xml:space="preserve">13.2 Phased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CCCCCC" w:sz="1"/>
              <w:left w:val="single" w:color="CCCCCC" w:sz="1"/>
              <w:bottom w:val="single" w:color="CCCCCC" w:sz="1"/>
              <w:right w:val="single" w:color="CCCCCC" w:sz="1"/>
            </w:tcBorders>
            <w:shd w:fill="0A7B6C" w:val="clear"/>
            <w:tcMar>
              <w:top w:type="dxa" w:w="60"/>
              <w:left w:type="dxa" w:w="90"/>
              <w:bottom w:type="dxa" w:w="60"/>
              <w:right w:type="dxa" w:w="90"/>
            </w:tcMar>
          </w:tcPr>
          <w:p>
            <w:pPr>
              <w:jc w:val="left"/>
            </w:pPr>
            <w:r>
              <w:rPr>
                <w:b/>
                <w:bCs/>
                <w:color w:val="FFFFFF"/>
                <w:sz w:val="17"/>
                <w:szCs w:val="17"/>
              </w:rPr>
              <w:t xml:space="preserve">Phase</w:t>
            </w:r>
          </w:p>
        </w:tc>
        <w:tc>
          <w:tcPr>
            <w:tcW w:type="dxa" w:w="4200"/>
            <w:tcBorders>
              <w:top w:val="single" w:color="CCCCCC" w:sz="1"/>
              <w:left w:val="single" w:color="CCCCCC" w:sz="1"/>
              <w:bottom w:val="single" w:color="CCCCCC" w:sz="1"/>
              <w:right w:val="single" w:color="CCCCCC" w:sz="1"/>
            </w:tcBorders>
            <w:shd w:fill="0A7B6C" w:val="clear"/>
            <w:tcMar>
              <w:top w:type="dxa" w:w="60"/>
              <w:left w:type="dxa" w:w="90"/>
              <w:bottom w:type="dxa" w:w="60"/>
              <w:right w:type="dxa" w:w="90"/>
            </w:tcMar>
          </w:tcPr>
          <w:p>
            <w:pPr>
              <w:jc w:val="left"/>
            </w:pPr>
            <w:r>
              <w:rPr>
                <w:b/>
                <w:bCs/>
                <w:color w:val="FFFFFF"/>
                <w:sz w:val="17"/>
                <w:szCs w:val="17"/>
              </w:rPr>
              <w:t xml:space="preserve">Focus</w:t>
            </w:r>
          </w:p>
        </w:tc>
        <w:tc>
          <w:tcPr>
            <w:tcW w:type="dxa" w:w="2760"/>
            <w:tcBorders>
              <w:top w:val="single" w:color="CCCCCC" w:sz="1"/>
              <w:left w:val="single" w:color="CCCCCC" w:sz="1"/>
              <w:bottom w:val="single" w:color="CCCCCC" w:sz="1"/>
              <w:right w:val="single" w:color="CCCCCC" w:sz="1"/>
            </w:tcBorders>
            <w:shd w:fill="0A7B6C" w:val="clear"/>
            <w:tcMar>
              <w:top w:type="dxa" w:w="60"/>
              <w:left w:type="dxa" w:w="90"/>
              <w:bottom w:type="dxa" w:w="60"/>
              <w:right w:type="dxa" w:w="90"/>
            </w:tcMar>
          </w:tcPr>
          <w:p>
            <w:pPr>
              <w:jc w:val="left"/>
            </w:pPr>
            <w:r>
              <w:rPr>
                <w:b/>
                <w:bCs/>
                <w:color w:val="FFFFFF"/>
                <w:sz w:val="17"/>
                <w:szCs w:val="17"/>
              </w:rPr>
              <w:t xml:space="preserve">Milestone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Phase 1 (M1–6)</w:t>
            </w:r>
          </w:p>
        </w:tc>
        <w:tc>
          <w:tcPr>
            <w:tcW w:type="dxa" w:w="4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Validate + pilot the Mdantsane cluster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First real tips flowing</w:t>
            </w:r>
          </w:p>
        </w:tc>
      </w:tr>
      <w:tr>
        <w:tc>
          <w:tcPr>
            <w:tcW w:type="dxa" w:w="24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Phase 2 (M7–18)</w:t>
            </w:r>
          </w:p>
        </w:tc>
        <w:tc>
          <w:tcPr>
            <w:tcW w:type="dxa" w:w="42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Expand Buffalo City + open EC corridors</w:t>
            </w:r>
          </w:p>
        </w:tc>
        <w:tc>
          <w:tcPr>
            <w:tcW w:type="dxa" w:w="276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preserve">Break-even ~M12–14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Phase 3 (Yr 2–3)</w:t>
            </w:r>
          </w:p>
        </w:tc>
        <w:tc>
          <w:tcPr>
            <w:tcW w:type="dxa" w:w="4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Scale + launch financial-services layer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preserve">Moat activated</w:t>
            </w:r>
          </w:p>
        </w:tc>
      </w:tr>
    </w:tbl>
    <w:p>
      <w:pPr>
        <w:pStyle w:val="Heading1"/>
      </w:pPr>
      <w:r>
        <w:t xml:space="preserve">14. Conclusion</w:t>
      </w:r>
    </w:p>
    <w:p>
      <w:pPr>
        <w:spacing w:after="140" w:line="274"/>
      </w:pPr>
      <w:r>
        <w:t xml:space="preserve">SwiftTip is feasible as a bootstrapped, partnership-led worker platform. The product is simple, the market is proven, and the regulatory gate is clearable by riding a licensed partner. The base case breaks even in Year 2 on tipping alone. But the enduring value is the moat: by becoming the verified financial identity of the frontline worker, SwiftTip turns a commodity tipping feature into a defensible platform that delivers financial inclusion at scale.</w:t>
      </w:r>
    </w:p>
    <w:p>
      <w:pPr>
        <w:spacing w:after="140" w:line="274"/>
      </w:pPr>
      <w:r>
        <w:rPr>
          <w:b/>
          <w:bCs/>
        </w:rPr>
        <w:t xml:space="preserve">The window is open but not indefinite. </w:t>
      </w:r>
      <w:r>
        <w:t xml:space="preserve">Competitors are moving on the commodity feature; the advantage goes to whoever builds the worker-identity layer first — from a position of local trust, disciplined economics, and the clear understanding that tipping is the way in, not the business. The next move is the one no document can make: landing the first dealer.</w:t>
      </w:r>
    </w:p>
    <w:p>
      <w:pPr>
        <w:spacing w:before="220"/>
      </w:pPr>
      <w:r>
        <w:rPr>
          <w:b/>
          <w:bCs/>
          <w:color w:val="0A7B6C"/>
          <w:sz w:val="24"/>
          <w:szCs w:val="24"/>
        </w:rPr>
        <w:t xml:space="preserve">SwiftTip — Recognise. Reward. Empower.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color w:val="5A6B6A"/>
        <w:sz w:val="15"/>
        <w:szCs w:val="15"/>
      </w:rPr>
      <w:t xml:space="preserve">Confidential</w:t>
    </w:r>
    <w:r>
      <w:rPr>
        <w:sz w:val="15"/>
        <w:szCs w:val="15"/>
      </w:rPr>
      <w:t xml:space="preserve">	</w:t>
    </w:r>
    <w:r>
      <w:rPr>
        <w:color w:val="5A6B6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7B6C" w:sz="6" w:space="4"/>
      </w:pBdr>
    </w:pPr>
    <w:r>
      <w:rPr>
        <w:b/>
        <w:bCs/>
        <w:color w:val="0A7B6C"/>
        <w:sz w:val="18"/>
        <w:szCs w:val="18"/>
      </w:rPr>
      <w:t xml:space="preserve">SwiftTip</w:t>
    </w:r>
    <w:r>
      <w:rPr>
        <w:color w:val="5A6B6A"/>
        <w:sz w:val="16"/>
        <w:szCs w:val="16"/>
      </w:rPr>
      <w:t xml:space="preserve">   Concept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A7B6C" w:sz="6" w:space="4"/>
      </w:pBdr>
      <w:spacing w:after="160" w:before="320"/>
      <w:outlineLvl w:val="0"/>
    </w:pPr>
    <w:rPr>
      <w:rFonts w:ascii="Calibri" w:cs="Calibri" w:eastAsia="Calibri" w:hAnsi="Calibri"/>
      <w:b/>
      <w:bCs/>
      <w:color w:val="0A7B6C"/>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A2B2A"/>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C4841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2026-06-26T22:48:34.242Z</dcterms:created>
  <dcterms:modified xsi:type="dcterms:W3CDTF">2026-06-26T22:48:34.254Z</dcterms:modified>
</cp:coreProperties>
</file>

<file path=docProps/custom.xml><?xml version="1.0" encoding="utf-8"?>
<Properties xmlns="http://schemas.openxmlformats.org/officeDocument/2006/custom-properties" xmlns:vt="http://schemas.openxmlformats.org/officeDocument/2006/docPropsVTypes"/>
</file>