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3.png" ContentType="image/png"/>
  <Override PartName="/word/media/rId89.png" ContentType="image/png"/>
  <Override PartName="/word/media/rId66.png" ContentType="image/png"/>
  <Override PartName="/word/media/rId97.png" ContentType="image/png"/>
  <Override PartName="/word/media/rId126.png" ContentType="image/png"/>
  <Override PartName="/word/media/rId130.png" ContentType="image/png"/>
  <Override PartName="/word/media/rId104.png" ContentType="image/png"/>
  <Override PartName="/word/media/rId81.png" ContentType="image/png"/>
  <Override PartName="/word/media/rId77.png" ContentType="image/png"/>
  <Override PartName="/word/media/rId120.png" ContentType="image/png"/>
  <Override PartName="/word/media/rId123.png" ContentType="image/png"/>
  <Override PartName="/word/media/rId136.png" ContentType="image/png"/>
  <Override PartName="/word/media/rId133.png" ContentType="image/png"/>
  <Override PartName="/word/media/rId114.png" ContentType="image/png"/>
  <Override PartName="/word/media/rId111.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Non è vero !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w:t>
      </w:r>
    </w:p>
    <w:p>
      <w:pPr>
        <w:pStyle w:val="BodyText"/>
      </w:pPr>
      <w:r>
        <w:t xml:space="preserve">…Include average annual catch statistics, description of most productive municipalities, species catch compositions, catch values,</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w:t>
      </w:r>
      <w:r>
        <w:t xml:space="preserve">0.3</w:t>
      </w:r>
      <w:r>
        <w:t xml:space="preserve">).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w:t>
            </w:r>
          </w:p>
          <w:p>
            <w:pPr>
              <w:jc w:val="center"/>
            </w:pPr>
            <w:r>
              <w:t xml:space="preserve">44 (23.9%)</w:t>
            </w:r>
          </w:p>
        </w:tc>
        <w:tc>
          <w:tcPr/>
          <w:p>
            <w:pPr>
              <w:jc w:val="center"/>
            </w:pPr>
            <w:r>
              <w:t xml:space="preserve">49 (26.6%) /</w:t>
            </w:r>
          </w:p>
          <w:p>
            <w:pPr>
              <w:jc w:val="center"/>
            </w:pPr>
            <w:r>
              <w:t xml:space="preserve">117 (63.6%)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8"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80"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p>
      <w:pPr>
        <w:pStyle w:val="CaptionedFigure"/>
      </w:pPr>
      <w:r>
        <w:drawing>
          <wp:inline>
            <wp:extent cx="5334000" cy="3282461"/>
            <wp:effectExtent b="0" l="0" r="0" t="0"/>
            <wp:docPr descr="Figure 0.7: Estimated total number of trips per week.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 title="" id="78" name="Picture"/>
            <a:graphic>
              <a:graphicData uri="http://schemas.openxmlformats.org/drawingml/2006/picture">
                <pic:pic>
                  <pic:nvPicPr>
                    <pic:cNvPr descr="/Users/lore/My%20Drive/WorldFish/timor.report/inst/timor_report_files/figure-docx/TripWeek-1.png" id="79" name="Picture"/>
                    <pic:cNvPicPr>
                      <a:picLocks noChangeArrowheads="1" noChangeAspect="1"/>
                    </pic:cNvPicPr>
                  </pic:nvPicPr>
                  <pic:blipFill>
                    <a:blip r:embed="rId7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Estimated total number of trips per week</w:t>
      </w:r>
      <w:r>
        <w:t xml:space="preserve">.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w:t>
      </w:r>
    </w:p>
    <w:bookmarkEnd w:id="80"/>
    <w:bookmarkStart w:id="84"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0.8</w:t>
      </w:r>
      <w:r>
        <w:t xml:space="preserve">a). The trip effort mostly ranges between five to ten fisher-hours, with a peaks reaching up to 30 fisher-hours in the South Coast. There seems to be no clear trends in trip effort over time among the regions (fig. </w:t>
      </w:r>
      <w:r>
        <w:t xml:space="preserve">0.8</w:t>
      </w:r>
      <w:r>
        <w:t xml:space="preserve">b).</w:t>
      </w:r>
    </w:p>
    <w:p>
      <w:pPr>
        <w:pStyle w:val="CaptionedFigure"/>
      </w:pPr>
      <w:r>
        <w:drawing>
          <wp:inline>
            <wp:extent cx="5334000" cy="5744307"/>
            <wp:effectExtent b="0" l="0" r="0" t="0"/>
            <wp:docPr descr="Figure 0.8: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 title="" id="82" name="Picture"/>
            <a:graphic>
              <a:graphicData uri="http://schemas.openxmlformats.org/drawingml/2006/picture">
                <pic:pic>
                  <pic:nvPicPr>
                    <pic:cNvPr descr="/Users/lore/My%20Drive/WorldFish/timor.report/inst/timor_report_files/figure-docx/TripEffort-1.png" id="83" name="Picture"/>
                    <pic:cNvPicPr>
                      <a:picLocks noChangeArrowheads="1" noChangeAspect="1"/>
                    </pic:cNvPicPr>
                  </pic:nvPicPr>
                  <pic:blipFill>
                    <a:blip r:embed="rId81"/>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w:t>
      </w:r>
    </w:p>
    <w:bookmarkEnd w:id="84"/>
    <w:bookmarkStart w:id="88"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w:t>
      </w:r>
    </w:p>
    <w:p>
      <w:pPr>
        <w:pStyle w:val="BodyText"/>
      </w:pPr>
      <w:r>
        <w:t xml:space="preserve">The CPUE (kg) of Atauro island and the north coast are quite similar, whereas the north coast has more high peaks (fig. </w:t>
      </w:r>
      <w:r>
        <w:t xml:space="preserve">0.9</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9: Mean CPUE. 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 title="" id="86" name="Picture"/>
            <a:graphic>
              <a:graphicData uri="http://schemas.openxmlformats.org/drawingml/2006/picture">
                <pic:pic>
                  <pic:nvPicPr>
                    <pic:cNvPr descr="/Users/lore/My%20Drive/WorldFish/timor.report/inst/timor_report_files/figure-docx/CatchEffort-1.png" id="87" name="Picture"/>
                    <pic:cNvPicPr>
                      <a:picLocks noChangeArrowheads="1" noChangeAspect="1"/>
                    </pic:cNvPicPr>
                  </pic:nvPicPr>
                  <pic:blipFill>
                    <a:blip r:embed="rId85"/>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w:t>
      </w:r>
    </w:p>
    <w:bookmarkEnd w:id="88"/>
    <w:bookmarkStart w:id="101"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0.10</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0.11</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92"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10: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90" name="Picture"/>
            <a:graphic>
              <a:graphicData uri="http://schemas.openxmlformats.org/drawingml/2006/picture">
                <pic:pic>
                  <pic:nvPicPr>
                    <pic:cNvPr descr="/Users/lore/My%20Drive/WorldFish/timor.report/inst/timor_report_files/figure-docx/IRIFishGroups-1.png" id="91" name="Picture"/>
                    <pic:cNvPicPr>
                      <a:picLocks noChangeArrowheads="1" noChangeAspect="1"/>
                    </pic:cNvPicPr>
                  </pic:nvPicPr>
                  <pic:blipFill>
                    <a:blip r:embed="rId8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92"/>
    <w:bookmarkStart w:id="96"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1: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4" name="Picture"/>
            <a:graphic>
              <a:graphicData uri="http://schemas.openxmlformats.org/drawingml/2006/picture">
                <pic:pic>
                  <pic:nvPicPr>
                    <pic:cNvPr descr="/Users/lore/My%20Drive/WorldFish/timor.report/inst/timor_report_files/figure-docx/IRIFishGear-1.png" id="95" name="Picture"/>
                    <pic:cNvPicPr>
                      <a:picLocks noChangeArrowheads="1" noChangeAspect="1"/>
                    </pic:cNvPicPr>
                  </pic:nvPicPr>
                  <pic:blipFill>
                    <a:blip r:embed="rId93"/>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6"/>
    <w:bookmarkStart w:id="100"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0.12</w:t>
      </w:r>
      <w:r>
        <w:t xml:space="preserve">).</w:t>
      </w:r>
    </w:p>
    <w:p>
      <w:pPr>
        <w:pStyle w:val="CaptionedFigure"/>
      </w:pPr>
      <w:r>
        <w:drawing>
          <wp:inline>
            <wp:extent cx="5334000" cy="5334000"/>
            <wp:effectExtent b="0" l="0" r="0" t="0"/>
            <wp:docPr descr="Figure 0.12: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8" name="Picture"/>
            <a:graphic>
              <a:graphicData uri="http://schemas.openxmlformats.org/drawingml/2006/picture">
                <pic:pic>
                  <pic:nvPicPr>
                    <pic:cNvPr descr="/Users/lore/My%20Drive/WorldFish/timor.report/inst/timor_report_files/figure-docx/LengthArea-1.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100"/>
    <w:bookmarkEnd w:id="101"/>
    <w:bookmarkStart w:id="107"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0.13</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102">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102">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3">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w:t>
      </w:r>
    </w:p>
    <w:p>
      <w:pPr>
        <w:pStyle w:val="BodyText"/>
      </w:pPr>
      <w:r>
        <w:br/>
      </w:r>
    </w:p>
    <w:p>
      <w:pPr>
        <w:pStyle w:val="CaptionedFigure"/>
      </w:pPr>
      <w:r>
        <w:drawing>
          <wp:inline>
            <wp:extent cx="5334000" cy="5744307"/>
            <wp:effectExtent b="0" l="0" r="0" t="0"/>
            <wp:docPr descr="Figure 0.13: Estimate of total monthly catch (tons). Estimate of the total monthly catch (tons) for Atauro island (grey), north coast (red) and south coast (light blue), during the period of January 2019 to December 2021, with the regions plotted (a) together in one plot and (b) separately, where the y axis has free scaling. Bold lines and shaded areas represent the local polynomial regression with 95% confidence interval. The grey shaded area defines the COVID-19 pandemic period, starting from the lockdown on 28 March 2020." title="" id="105" name="Picture"/>
            <a:graphic>
              <a:graphicData uri="http://schemas.openxmlformats.org/drawingml/2006/picture">
                <pic:pic>
                  <pic:nvPicPr>
                    <pic:cNvPr descr="/Users/lore/My%20Drive/WorldFish/timor.report/inst/timor_report_files/figure-docx/MonthlyCatch-1.png" id="106" name="Picture"/>
                    <pic:cNvPicPr>
                      <a:picLocks noChangeArrowheads="1" noChangeAspect="1"/>
                    </pic:cNvPicPr>
                  </pic:nvPicPr>
                  <pic:blipFill>
                    <a:blip r:embed="rId104"/>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Estimate of total monthly catch (tons).</w:t>
      </w:r>
      <w:r>
        <w:t xml:space="preserve"> </w:t>
      </w:r>
      <w:r>
        <w:t xml:space="preserve">Estimate of the total monthly catch (tons) for Atauro island (grey), north coast (red) and south coast (light blue), during the period of January 2019 to December 2021, with the regions plotted (a) together in one plot and (b) separately, where the y axis has free scaling. Bold lines and shaded areas represent the local polynomial regression with 95% confidence interval. The grey shaded area defines the COVID-19 pandemic period, starting from the lockdown on 28 March 2020.</w:t>
      </w:r>
    </w:p>
    <w:bookmarkEnd w:id="107"/>
    <w:bookmarkStart w:id="117"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0.14</w:t>
      </w:r>
      <w:r>
        <w:t xml:space="preserve">; fig. </w:t>
      </w:r>
      <w:r>
        <w:t xml:space="preserve">0.15</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8">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9">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10">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4: Seasonality of trips per week Box plots of the estimated number of trips per week for every month (2018-2021) for Atauro island, north coast, and south coast. The y-axis has a free scale for each region. The dashed line shows a loess regression with 95% confidence intervals." title="" id="112" name="Picture"/>
            <a:graphic>
              <a:graphicData uri="http://schemas.openxmlformats.org/drawingml/2006/picture">
                <pic:pic>
                  <pic:nvPicPr>
                    <pic:cNvPr descr="/Users/lore/My%20Drive/WorldFish/timor.report/inst/timor_report_files/figure-docx/WeekTrips-1.png" id="113" name="Picture"/>
                    <pic:cNvPicPr>
                      <a:picLocks noChangeArrowheads="1" noChangeAspect="1"/>
                    </pic:cNvPicPr>
                  </pic:nvPicPr>
                  <pic:blipFill>
                    <a:blip r:embed="rId111"/>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0.14:</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5: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15" name="Picture"/>
            <a:graphic>
              <a:graphicData uri="http://schemas.openxmlformats.org/drawingml/2006/picture">
                <pic:pic>
                  <pic:nvPicPr>
                    <pic:cNvPr descr="/Users/lore/My%20Drive/WorldFish/timor.report/inst/timor_report_files/figure-docx/WeekCatch-1.png" id="116" name="Picture"/>
                    <pic:cNvPicPr>
                      <a:picLocks noChangeArrowheads="1" noChangeAspect="1"/>
                    </pic:cNvPicPr>
                  </pic:nvPicPr>
                  <pic:blipFill>
                    <a:blip r:embed="rId114"/>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0.15:</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7"/>
    <w:bookmarkEnd w:id="118"/>
    <w:bookmarkStart w:id="140" w:name="market"/>
    <w:p>
      <w:pPr>
        <w:pStyle w:val="Heading1"/>
      </w:pPr>
      <w:r>
        <w:rPr>
          <w:rStyle w:val="SectionNumber"/>
        </w:rPr>
        <w:t xml:space="preserve">5</w:t>
      </w:r>
      <w:r>
        <w:tab/>
      </w:r>
      <w:r>
        <w:t xml:space="preserve">Market</w:t>
      </w:r>
    </w:p>
    <w:bookmarkStart w:id="129"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9">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 title="" id="121" name="Picture"/>
            <a:graphic>
              <a:graphicData uri="http://schemas.openxmlformats.org/drawingml/2006/picture">
                <pic:pic>
                  <pic:nvPicPr>
                    <pic:cNvPr descr="/Users/lore/My%20Drive/WorldFish/timor.report/inst/timor_report_files/figure-docx/Usage-1.png" id="122" name="Picture"/>
                    <pic:cNvPicPr>
                      <a:picLocks noChangeArrowheads="1" noChangeAspect="1"/>
                    </pic:cNvPicPr>
                  </pic:nvPicPr>
                  <pic:blipFill>
                    <a:blip r:embed="rId1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24" name="Picture"/>
            <a:graphic>
              <a:graphicData uri="http://schemas.openxmlformats.org/drawingml/2006/picture">
                <pic:pic>
                  <pic:nvPicPr>
                    <pic:cNvPr descr="/Users/lore/My%20Drive/WorldFish/timor.report/inst/timor_report_files/figure-docx/UsageProp-1.png" id="125" name="Picture"/>
                    <pic:cNvPicPr>
                      <a:picLocks noChangeArrowheads="1" noChangeAspect="1"/>
                    </pic:cNvPicPr>
                  </pic:nvPicPr>
                  <pic:blipFill>
                    <a:blip r:embed="rId123"/>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title="" id="127" name="Picture"/>
            <a:graphic>
              <a:graphicData uri="http://schemas.openxmlformats.org/drawingml/2006/picture">
                <pic:pic>
                  <pic:nvPicPr>
                    <pic:cNvPr descr="/Users/lore/My%20Drive/WorldFish/timor.report/inst/timor_report_files/figure-docx/LengthUsage-1.png" id="128" name="Picture"/>
                    <pic:cNvPicPr>
                      <a:picLocks noChangeArrowheads="1" noChangeAspect="1"/>
                    </pic:cNvPicPr>
                  </pic:nvPicPr>
                  <pic:blipFill>
                    <a:blip r:embed="rId126"/>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w:t>
      </w:r>
    </w:p>
    <w:bookmarkEnd w:id="129"/>
    <w:bookmarkStart w:id="139"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9">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itle="" id="131" name="Picture"/>
            <a:graphic>
              <a:graphicData uri="http://schemas.openxmlformats.org/drawingml/2006/picture">
                <pic:pic>
                  <pic:nvPicPr>
                    <pic:cNvPr descr="/Users/lore/My%20Drive/WorldFish/timor.report/inst/timor_report_files/figure-docx/MarketValue-1.png" id="132" name="Picture"/>
                    <pic:cNvPicPr>
                      <a:picLocks noChangeArrowheads="1" noChangeAspect="1"/>
                    </pic:cNvPicPr>
                  </pic:nvPicPr>
                  <pic:blipFill>
                    <a:blip r:embed="rId130"/>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 title="" id="134" name="Picture"/>
            <a:graphic>
              <a:graphicData uri="http://schemas.openxmlformats.org/drawingml/2006/picture">
                <pic:pic>
                  <pic:nvPicPr>
                    <pic:cNvPr descr="/Users/lore/My%20Drive/WorldFish/timor.report/inst/timor_report_files/figure-docx/ValueGear-1.png" id="135" name="Picture"/>
                    <pic:cNvPicPr>
                      <a:picLocks noChangeArrowheads="1" noChangeAspect="1"/>
                    </pic:cNvPicPr>
                  </pic:nvPicPr>
                  <pic:blipFill>
                    <a:blip r:embed="rId133"/>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 title="" id="137" name="Picture"/>
            <a:graphic>
              <a:graphicData uri="http://schemas.openxmlformats.org/drawingml/2006/picture">
                <pic:pic>
                  <pic:nvPicPr>
                    <pic:cNvPr descr="/Users/lore/My%20Drive/WorldFish/timor.report/inst/timor_report_files/figure-docx/ValueFish-1.png" id="138" name="Picture"/>
                    <pic:cNvPicPr>
                      <a:picLocks noChangeArrowheads="1" noChangeAspect="1"/>
                    </pic:cNvPicPr>
                  </pic:nvPicPr>
                  <pic:blipFill>
                    <a:blip r:embed="rId1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w:t>
      </w:r>
    </w:p>
    <w:bookmarkEnd w:id="139"/>
    <w:bookmarkEnd w:id="140"/>
    <w:bookmarkStart w:id="155"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41">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42">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43">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44">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45">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6">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7">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8">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9">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50">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51">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52">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53">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54">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54">
        <w:r>
          <w:rPr>
            <w:rStyle w:val="Hyperlink"/>
          </w:rPr>
          <w:t xml:space="preserve">(Timor-Leste Department of Food Security et al., 2020)</w:t>
        </w:r>
      </w:hyperlink>
      <w:r>
        <w:t xml:space="preserve">.</w:t>
      </w:r>
    </w:p>
    <w:bookmarkEnd w:id="155"/>
    <w:bookmarkStart w:id="159" w:name="conclusion"/>
    <w:p>
      <w:pPr>
        <w:pStyle w:val="Heading1"/>
      </w:pPr>
      <w:r>
        <w:rPr>
          <w:rStyle w:val="SectionNumber"/>
        </w:rPr>
        <w:t xml:space="preserve">7</w:t>
      </w:r>
      <w:r>
        <w:tab/>
      </w:r>
      <w:r>
        <w:rPr>
          <w:bCs/>
          <w:b/>
        </w:rPr>
        <w:t xml:space="preserve">Conclusion</w:t>
      </w:r>
    </w:p>
    <w:bookmarkStart w:id="158"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6">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6">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7">
        <w:r>
          <w:rPr>
            <w:rStyle w:val="Hyperlink"/>
          </w:rPr>
          <w:t xml:space="preserve">(Un Rco, 2021)</w:t>
        </w:r>
      </w:hyperlink>
      <w:r>
        <w:t xml:space="preserve">. These calamities will have had a serious impact on the health and economy of the country, and the impact on the fisheries should be closely monitored.</w:t>
      </w:r>
    </w:p>
    <w:bookmarkEnd w:id="158"/>
    <w:bookmarkEnd w:id="159"/>
    <w:bookmarkStart w:id="160" w:name="references"/>
    <w:p>
      <w:pPr>
        <w:pStyle w:val="Heading1"/>
      </w:pPr>
      <w:r>
        <w:rPr>
          <w:rStyle w:val="SectionNumber"/>
        </w:rPr>
        <w:t xml:space="preserve">8</w:t>
      </w:r>
      <w:r>
        <w:tab/>
      </w:r>
      <w:r>
        <w:rPr>
          <w:bCs/>
          <w:b/>
        </w:rPr>
        <w:t xml:space="preserve">References</w:t>
      </w:r>
    </w:p>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66" Target="media/rId66.png" /><Relationship Type="http://schemas.openxmlformats.org/officeDocument/2006/relationships/image" Id="rId97" Target="media/rId97.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04" Target="media/rId104.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42"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10" Target="https://paperpile.com/c/Yw05cY/3tCT" TargetMode="External" /><Relationship Type="http://schemas.openxmlformats.org/officeDocument/2006/relationships/hyperlink" Id="rId108"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52"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4"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3"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4" Target="https://paperpile.com/c/Yw05cY/Suhk" TargetMode="External" /><Relationship Type="http://schemas.openxmlformats.org/officeDocument/2006/relationships/hyperlink" Id="rId148"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51" Target="https://paperpile.com/c/Yw05cY/Yzoo" TargetMode="External" /><Relationship Type="http://schemas.openxmlformats.org/officeDocument/2006/relationships/hyperlink" Id="rId150" Target="https://paperpile.com/c/Yw05cY/Yzoo+6IkW" TargetMode="External" /><Relationship Type="http://schemas.openxmlformats.org/officeDocument/2006/relationships/hyperlink" Id="rId149" Target="https://paperpile.com/c/Yw05cY/aFtM+Yzoo" TargetMode="External" /><Relationship Type="http://schemas.openxmlformats.org/officeDocument/2006/relationships/hyperlink" Id="rId109" Target="https://paperpile.com/c/Yw05cY/bxXs" TargetMode="External" /><Relationship Type="http://schemas.openxmlformats.org/officeDocument/2006/relationships/hyperlink" Id="rId145"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9" Target="https://paperpile.com/c/Yw05cY/kST0" TargetMode="External" /><Relationship Type="http://schemas.openxmlformats.org/officeDocument/2006/relationships/hyperlink" Id="rId153"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7" Target="https://paperpile.com/c/Yw05cY/pbYG+0gp6+rHVd" TargetMode="External" /><Relationship Type="http://schemas.openxmlformats.org/officeDocument/2006/relationships/hyperlink" Id="rId146" Target="https://paperpile.com/c/Yw05cY/pbYG+4Ng6+eEmT+aFtM+e01u+0gp6+Yzoo+rHVd" TargetMode="External" /><Relationship Type="http://schemas.openxmlformats.org/officeDocument/2006/relationships/hyperlink" Id="rId157"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41"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6"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42"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10" Target="https://paperpile.com/c/Yw05cY/3tCT" TargetMode="External" /><Relationship Type="http://schemas.openxmlformats.org/officeDocument/2006/relationships/hyperlink" Id="rId108"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52"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4"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3"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4" Target="https://paperpile.com/c/Yw05cY/Suhk" TargetMode="External" /><Relationship Type="http://schemas.openxmlformats.org/officeDocument/2006/relationships/hyperlink" Id="rId148"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51" Target="https://paperpile.com/c/Yw05cY/Yzoo" TargetMode="External" /><Relationship Type="http://schemas.openxmlformats.org/officeDocument/2006/relationships/hyperlink" Id="rId150" Target="https://paperpile.com/c/Yw05cY/Yzoo+6IkW" TargetMode="External" /><Relationship Type="http://schemas.openxmlformats.org/officeDocument/2006/relationships/hyperlink" Id="rId149" Target="https://paperpile.com/c/Yw05cY/aFtM+Yzoo" TargetMode="External" /><Relationship Type="http://schemas.openxmlformats.org/officeDocument/2006/relationships/hyperlink" Id="rId109" Target="https://paperpile.com/c/Yw05cY/bxXs" TargetMode="External" /><Relationship Type="http://schemas.openxmlformats.org/officeDocument/2006/relationships/hyperlink" Id="rId145"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9" Target="https://paperpile.com/c/Yw05cY/kST0" TargetMode="External" /><Relationship Type="http://schemas.openxmlformats.org/officeDocument/2006/relationships/hyperlink" Id="rId153"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7" Target="https://paperpile.com/c/Yw05cY/pbYG+0gp6+rHVd" TargetMode="External" /><Relationship Type="http://schemas.openxmlformats.org/officeDocument/2006/relationships/hyperlink" Id="rId146" Target="https://paperpile.com/c/Yw05cY/pbYG+4Ng6+eEmT+aFtM+e01u+0gp6+Yzoo+rHVd" TargetMode="External" /><Relationship Type="http://schemas.openxmlformats.org/officeDocument/2006/relationships/hyperlink" Id="rId157"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41"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6"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2022-05-16T22:10:03Z</dcterms:created>
  <dcterms:modified xsi:type="dcterms:W3CDTF">2022-05-16T22:10:03Z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