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90.png" ContentType="image/png"/>
  <Override PartName="/word/media/rId86.png" ContentType="image/png"/>
  <Override PartName="/word/media/rId66.png" ContentType="image/png"/>
  <Override PartName="/word/media/rId94.png" ContentType="image/png"/>
  <Override PartName="/word/media/rId120.png" ContentType="image/png"/>
  <Override PartName="/word/media/rId124.png" ContentType="image/png"/>
  <Override PartName="/word/media/rId78.png" ContentType="image/png"/>
  <Override PartName="/word/media/rId114.png" ContentType="image/png"/>
  <Override PartName="/word/media/rId117.png" ContentType="image/png"/>
  <Override PartName="/word/media/rId130.png" ContentType="image/png"/>
  <Override PartName="/word/media/rId127.png" ContentType="image/png"/>
  <Override PartName="/word/media/rId108.png" ContentType="image/png"/>
  <Override PartName="/word/media/rId105.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vertAlign w:val="superscript"/>
        </w:rPr>
        <w:t xml:space="preserve">1</w:t>
      </w:r>
      <w:r>
        <w:t xml:space="preserve"> </w:t>
      </w:r>
      <w:r>
        <w:t xml:space="preserve">University of Bergen,</w:t>
      </w:r>
      <w:r>
        <w:t xml:space="preserve"> </w:t>
      </w:r>
      <w:r>
        <w:rPr>
          <w:vertAlign w:val="superscript"/>
        </w:rPr>
        <w:t xml:space="preserve">2</w:t>
      </w:r>
      <w:r>
        <w:t xml:space="preserve"> </w:t>
      </w:r>
      <w:r>
        <w:t xml:space="preserve">WorldFish, Penang, Malaysia,</w:t>
      </w:r>
      <w:r>
        <w:t xml:space="preserve"> </w:t>
      </w:r>
      <w:r>
        <w:rPr>
          <w:vertAlign w:val="superscript"/>
        </w:rPr>
        <w:t xml:space="preserve">3</w:t>
      </w:r>
      <w:r>
        <w:t xml:space="preserve">Università degli Studi di Ferrara, Italy</w:t>
      </w:r>
    </w:p>
    <w:bookmarkStart w:id="20" w:name="executive-summary"/>
    <w:p>
      <w:pPr>
        <w:pStyle w:val="Heading1"/>
      </w:pPr>
      <w:r>
        <w:rPr>
          <w:bCs/>
          <w:b/>
        </w:rPr>
        <w:t xml:space="preserve">Executive Summary</w:t>
      </w:r>
    </w:p>
    <w:p>
      <w:pPr>
        <w:pStyle w:val="FirstParagraph"/>
      </w:pPr>
      <w:r>
        <w:t xml:space="preserve">Small-scale fisheries (SSF)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 </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 </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 </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 </w:t>
      </w:r>
    </w:p>
    <w:p>
      <w:pPr>
        <w:pStyle w:val="BodyText"/>
      </w:pPr>
      <w:r>
        <w:t xml:space="preserve">…Include average annual catch statistics, description of most productive municipalities, species catch compositions, catch values,   </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 </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 </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 </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 </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w:t>
      </w:r>
      <w:r>
        <w:t xml:space="preserve">0.1</w:t>
      </w:r>
      <w:r>
        <w:t xml:space="preserve">).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w:t>
      </w:r>
      <w:r>
        <w:t xml:space="preserve">0.2</w:t>
      </w:r>
      <w:r>
        <w:t xml:space="preserve">)</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w:t>
      </w:r>
      <w:r>
        <w:t xml:space="preserve">0.1</w:t>
      </w:r>
      <w:r>
        <w:t xml:space="preserve">)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w:t>
      </w:r>
      <w:r>
        <w:t xml:space="preserve">0.3</w:t>
      </w:r>
      <w:r>
        <w:t xml:space="preserve">).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 </w:t>
      </w:r>
    </w:p>
    <w:p>
      <w:pPr>
        <w:pStyle w:val="BodyText"/>
      </w:pPr>
      <w:r>
        <w:t xml:space="preserve">For the purpose of this study, the coastal municipalities were grouped into three statistical areas: Atauro island, the north coast, and the south coast (fig. </w:t>
      </w:r>
      <w:r>
        <w:t xml:space="preserve">0.4</w:t>
      </w:r>
      <w:r>
        <w:t xml:space="preserve">: grey, red, and light blue, respectively). The landing sites of Manatuto and Lautém are located on the north coast and have therefore been assigned to the north coast region,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s/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maps/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maps/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aps/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 1). The 323 sampled boats include both motorboats with in- or outboard motor and paddle canoes (tab.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BodyText"/>
      </w:pPr>
      <w:r>
        <w:t xml:space="preserve">Table 1:</w:t>
      </w:r>
      <w:r>
        <w:t xml:space="preserve"> </w:t>
      </w:r>
      <w:r>
        <w:rPr>
          <w:bCs/>
          <w:b/>
        </w:rPr>
        <w:t xml:space="preserve">Total number of sampled and registered fishing boats per region.</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Pr>
      <w:tblGrid>
        <w:gridCol w:w="1667"/>
        <w:gridCol w:w="1667"/>
        <w:gridCol w:w="2917"/>
        <w:gridCol w:w="1667"/>
      </w:tblGrid>
      <w:tr>
        <w:tc>
          <w:tcPr/>
          <w:p>
            <w:pPr>
              <w:pStyle w:val="Compact"/>
              <w:jc w:val="center"/>
            </w:pPr>
            <w:r>
              <w:t xml:space="preserve">Region</w:t>
            </w:r>
          </w:p>
        </w:tc>
        <w:tc>
          <w:tcPr/>
          <w:p>
            <w:pPr>
              <w:pStyle w:val="Compact"/>
              <w:jc w:val="center"/>
            </w:pPr>
            <w:r>
              <w:t xml:space="preserve">Sampled boats</w:t>
            </w:r>
          </w:p>
        </w:tc>
        <w:tc>
          <w:tcPr/>
          <w:p>
            <w:pPr>
              <w:pStyle w:val="Compact"/>
              <w:jc w:val="center"/>
            </w:pPr>
            <w:r>
              <w:t xml:space="preserve">Registered fishing boats </w:t>
            </w:r>
          </w:p>
        </w:tc>
        <w:tc>
          <w:tcPr/>
          <w:p>
            <w:pPr>
              <w:pStyle w:val="Compact"/>
              <w:jc w:val="center"/>
            </w:pPr>
            <w: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Pr>
        <w:pStyle w:val="BodyText"/>
      </w:pPr>
      <w:r>
        <w:t xml:space="preserve">Table 2: 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Pr>
      <w:tblGrid>
        <w:gridCol w:w="891"/>
        <w:gridCol w:w="990"/>
        <w:gridCol w:w="792"/>
        <w:gridCol w:w="1089"/>
        <w:gridCol w:w="1435"/>
        <w:gridCol w:w="1336"/>
        <w:gridCol w:w="1386"/>
      </w:tblGrid>
      <w:tr>
        <w:trPr>
          <w:tblHeader w:val="true"/>
        </w:trP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Boat type</w:t>
            </w:r>
          </w:p>
        </w:tc>
        <w:tc>
          <w:tcPr/>
          <w:p>
            <w:pPr>
              <w:pStyle w:val="Compact"/>
              <w:jc w:val="center"/>
            </w:pPr>
            <w:r>
              <w:rPr>
                <w:bCs/>
                <w:b/>
              </w:rPr>
              <w:t xml:space="preserve">Number of boats</w:t>
            </w:r>
          </w:p>
        </w:tc>
        <w:tc>
          <w:tcPr/>
          <w:p>
            <w:pPr>
              <w:pStyle w:val="Compact"/>
              <w:jc w:val="center"/>
            </w:pPr>
            <w:r>
              <w:rPr>
                <w:bCs/>
                <w:b/>
              </w:rPr>
              <w:t xml:space="preserve">Median boat length (m)</w:t>
            </w:r>
          </w:p>
        </w:tc>
        <w:tc>
          <w:tcPr/>
          <w:p>
            <w:pPr>
              <w:jc w:val="center"/>
            </w:pPr>
            <w:r>
              <w:rPr>
                <w:bCs/>
                <w:b/>
              </w:rPr>
              <w:t xml:space="preserve">Boat material</w:t>
            </w:r>
          </w:p>
          <w:p>
            <w:pPr>
              <w:pStyle w:val="Compact"/>
              <w:jc w:val="center"/>
            </w:pPr>
            <w:r>
              <w:t xml:space="preserve">Fibreglass/Wood /Unknown</w:t>
            </w:r>
          </w:p>
        </w:tc>
        <w:tc>
          <w:tcPr/>
          <w:p>
            <w:pPr>
              <w:jc w:val="center"/>
            </w:pPr>
            <w:r>
              <w:rPr>
                <w:bCs/>
                <w:b/>
              </w:rPr>
              <w:t xml:space="preserve">Motor type</w:t>
            </w:r>
          </w:p>
          <w:p>
            <w:pPr>
              <w:pStyle w:val="Compact"/>
              <w:jc w:val="center"/>
            </w:pPr>
            <w:r>
              <w:t xml:space="preserve">Inboard/Outboard /Unknown</w:t>
            </w:r>
          </w:p>
        </w:tc>
      </w:tr>
      <w:tr>
        <w:tc>
          <w:tcPr/>
          <w:p>
            <w:pPr>
              <w:pStyle w:val="Compact"/>
              <w:jc w:val="center"/>
            </w:pPr>
            <w:r>
              <w:rPr>
                <w:bCs/>
                <w:b/>
              </w:rPr>
              <w:t xml:space="preserve">Atauro</w:t>
            </w:r>
          </w:p>
        </w:tc>
        <w:tc>
          <w:tcPr/>
          <w:p>
            <w:pPr>
              <w:pStyle w:val="Compact"/>
              <w:jc w:val="center"/>
            </w:pPr>
            <w:r>
              <w:t xml:space="preserve">89 </w:t>
            </w:r>
          </w:p>
        </w:tc>
        <w:tc>
          <w:tcPr/>
          <w:p>
            <w:pPr>
              <w:pStyle w:val="Compact"/>
              <w:jc w:val="center"/>
            </w:pPr>
            <w:r>
              <w:t xml:space="preserve">Motorboat</w:t>
            </w:r>
          </w:p>
        </w:tc>
        <w:tc>
          <w:tcPr/>
          <w:p>
            <w:pPr>
              <w:pStyle w:val="Compact"/>
              <w:jc w:val="center"/>
            </w:pPr>
            <w:r>
              <w:t xml:space="preserve">48 (54%)</w:t>
            </w:r>
          </w:p>
        </w:tc>
        <w:tc>
          <w:tcPr/>
          <w:p>
            <w:pPr>
              <w:pStyle w:val="Compact"/>
              <w:jc w:val="center"/>
            </w:pPr>
            <w:r>
              <w:t xml:space="preserve">8.0</w:t>
            </w:r>
          </w:p>
        </w:tc>
        <w:tc>
          <w:tcPr/>
          <w:p>
            <w:pPr>
              <w:jc w:val="center"/>
            </w:pPr>
            <w:r>
              <w:t xml:space="preserve">3 (6.3%) /</w:t>
            </w:r>
          </w:p>
          <w:p>
            <w:pPr>
              <w:jc w:val="center"/>
            </w:pPr>
            <w:r>
              <w:t xml:space="preserve">24 (50.0%) /</w:t>
            </w:r>
          </w:p>
          <w:p>
            <w:pPr>
              <w:jc w:val="center"/>
            </w:pPr>
            <w:r>
              <w:t xml:space="preserve">21 (43.7%)</w:t>
            </w:r>
          </w:p>
        </w:tc>
        <w:tc>
          <w:tcPr/>
          <w:p>
            <w:pPr>
              <w:jc w:val="center"/>
            </w:pPr>
            <w:r>
              <w:t xml:space="preserve">2 (4.2%) /</w:t>
            </w:r>
          </w:p>
          <w:p>
            <w:pPr>
              <w:jc w:val="center"/>
            </w:pPr>
            <w:r>
              <w:t xml:space="preserve">46 (95.8%) /</w:t>
            </w:r>
          </w:p>
          <w:p>
            <w:pPr>
              <w:jc w:val="center"/>
            </w:pPr>
            <w:r>
              <w:t xml:space="preserve">0 (0%)</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41 (46%)</w:t>
            </w:r>
          </w:p>
        </w:tc>
        <w:tc>
          <w:tcPr/>
          <w:p>
            <w:pPr>
              <w:pStyle w:val="Compact"/>
              <w:jc w:val="center"/>
            </w:pPr>
            <w:r>
              <w:t xml:space="preserve">5.0</w:t>
            </w:r>
          </w:p>
        </w:tc>
        <w:tc>
          <w:tcPr/>
          <w:p>
            <w:pPr>
              <w:jc w:val="center"/>
            </w:pPr>
            <w:r>
              <w:t xml:space="preserve">1 (2.4%) /</w:t>
            </w:r>
          </w:p>
          <w:p>
            <w:pPr>
              <w:jc w:val="center"/>
            </w:pPr>
            <w:r>
              <w:t xml:space="preserve">31 (75.6%) / </w:t>
            </w:r>
          </w:p>
          <w:p>
            <w:pPr>
              <w:jc w:val="center"/>
            </w:pPr>
            <w:r>
              <w:t xml:space="preserve">9 (22.0%)</w:t>
            </w:r>
          </w:p>
        </w:tc>
        <w:tc>
          <w:tcPr/>
          <w:p>
            <w:pPr>
              <w:pStyle w:val="Compact"/>
              <w:jc w:val="center"/>
            </w:pPr>
            <w:r>
              <w:t xml:space="preserve">NA</w:t>
            </w:r>
          </w:p>
        </w:tc>
        <w:tc>
          <w:tcPr/>
          <w:p>
            <w:pPr>
              <w:pStyle w:val="Compact"/>
            </w:pPr>
          </w:p>
        </w:tc>
      </w:tr>
      <w:tr>
        <w:tc>
          <w:tcPr/>
          <w:p>
            <w:pPr>
              <w:pStyle w:val="Compact"/>
              <w:jc w:val="center"/>
            </w:pPr>
            <w:r>
              <w:rPr>
                <w:bCs/>
                <w:b/>
              </w:rPr>
              <w:t xml:space="preserve">North Coast</w:t>
            </w:r>
          </w:p>
        </w:tc>
        <w:tc>
          <w:tcPr/>
          <w:p>
            <w:pPr>
              <w:pStyle w:val="Compact"/>
              <w:jc w:val="center"/>
            </w:pPr>
            <w:r>
              <w:t xml:space="preserve">129 </w:t>
            </w:r>
          </w:p>
        </w:tc>
        <w:tc>
          <w:tcPr/>
          <w:p>
            <w:pPr>
              <w:pStyle w:val="Compact"/>
              <w:jc w:val="center"/>
            </w:pPr>
            <w:r>
              <w:t xml:space="preserve">Motorboat</w:t>
            </w:r>
          </w:p>
        </w:tc>
        <w:tc>
          <w:tcPr/>
          <w:p>
            <w:pPr>
              <w:pStyle w:val="Compact"/>
              <w:jc w:val="center"/>
            </w:pPr>
            <w:r>
              <w:t xml:space="preserve">103 (80%)</w:t>
            </w:r>
          </w:p>
        </w:tc>
        <w:tc>
          <w:tcPr/>
          <w:p>
            <w:pPr>
              <w:pStyle w:val="Compact"/>
              <w:jc w:val="center"/>
            </w:pPr>
            <w:r>
              <w:t xml:space="preserve">6.0</w:t>
            </w:r>
          </w:p>
        </w:tc>
        <w:tc>
          <w:tcPr/>
          <w:p>
            <w:pPr>
              <w:jc w:val="center"/>
            </w:pPr>
            <w:r>
              <w:t xml:space="preserve">34 (33.0%) /</w:t>
            </w:r>
          </w:p>
          <w:p>
            <w:pPr>
              <w:jc w:val="center"/>
            </w:pPr>
            <w:r>
              <w:t xml:space="preserve">55 (53.4%) / </w:t>
            </w:r>
          </w:p>
          <w:p>
            <w:pPr>
              <w:jc w:val="center"/>
            </w:pPr>
            <w:r>
              <w:t xml:space="preserve">14 (13.6%)</w:t>
            </w:r>
          </w:p>
        </w:tc>
        <w:tc>
          <w:tcPr/>
          <w:p>
            <w:pPr>
              <w:jc w:val="center"/>
            </w:pPr>
            <w:r>
              <w:t xml:space="preserve">35 (34.0%) /</w:t>
            </w:r>
          </w:p>
          <w:p>
            <w:pPr>
              <w:jc w:val="center"/>
            </w:pPr>
            <w:r>
              <w:t xml:space="preserve">57 (55.3%) /</w:t>
            </w:r>
          </w:p>
          <w:p>
            <w:pPr>
              <w:jc w:val="center"/>
            </w:pPr>
            <w:r>
              <w:t xml:space="preserve">11 (10.7%)</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26 (20%)</w:t>
            </w:r>
          </w:p>
        </w:tc>
        <w:tc>
          <w:tcPr/>
          <w:p>
            <w:pPr>
              <w:pStyle w:val="Compact"/>
              <w:jc w:val="center"/>
            </w:pPr>
            <w:r>
              <w:t xml:space="preserve">4.5</w:t>
            </w:r>
          </w:p>
        </w:tc>
        <w:tc>
          <w:tcPr/>
          <w:p>
            <w:pPr>
              <w:jc w:val="center"/>
            </w:pPr>
            <w:r>
              <w:t xml:space="preserve">0 (0%) /</w:t>
            </w:r>
          </w:p>
          <w:p>
            <w:pPr>
              <w:jc w:val="center"/>
            </w:pPr>
            <w:r>
              <w:t xml:space="preserve">21 (80.8%) /</w:t>
            </w:r>
          </w:p>
          <w:p>
            <w:pPr>
              <w:jc w:val="center"/>
            </w:pPr>
            <w:r>
              <w:t xml:space="preserve">5 (19.2%)</w:t>
            </w:r>
          </w:p>
        </w:tc>
        <w:tc>
          <w:tcPr/>
          <w:p>
            <w:pPr>
              <w:pStyle w:val="Compact"/>
              <w:jc w:val="center"/>
            </w:pPr>
            <w:r>
              <w:t xml:space="preserve">NA</w:t>
            </w:r>
          </w:p>
        </w:tc>
        <w:tc>
          <w:tcPr/>
          <w:p>
            <w:pPr>
              <w:pStyle w:val="Compact"/>
            </w:pPr>
          </w:p>
        </w:tc>
      </w:tr>
      <w:tr>
        <w:tc>
          <w:tcPr/>
          <w:p>
            <w:pPr>
              <w:pStyle w:val="Compact"/>
              <w:jc w:val="center"/>
            </w:pPr>
            <w:r>
              <w:rPr>
                <w:bCs/>
                <w:b/>
              </w:rPr>
              <w:t xml:space="preserve">South Coast</w:t>
            </w:r>
          </w:p>
        </w:tc>
        <w:tc>
          <w:tcPr/>
          <w:p>
            <w:pPr>
              <w:pStyle w:val="Compact"/>
              <w:jc w:val="center"/>
            </w:pPr>
            <w:r>
              <w:t xml:space="preserve">105 </w:t>
            </w:r>
          </w:p>
        </w:tc>
        <w:tc>
          <w:tcPr/>
          <w:p>
            <w:pPr>
              <w:pStyle w:val="Compact"/>
              <w:jc w:val="center"/>
            </w:pPr>
            <w:r>
              <w:t xml:space="preserve">Motorboat</w:t>
            </w:r>
          </w:p>
        </w:tc>
        <w:tc>
          <w:tcPr/>
          <w:p>
            <w:pPr>
              <w:pStyle w:val="Compact"/>
              <w:jc w:val="center"/>
            </w:pPr>
            <w:r>
              <w:t xml:space="preserve">30 (29%)</w:t>
            </w:r>
          </w:p>
        </w:tc>
        <w:tc>
          <w:tcPr/>
          <w:p>
            <w:pPr>
              <w:pStyle w:val="Compact"/>
              <w:jc w:val="center"/>
            </w:pPr>
            <w:r>
              <w:t xml:space="preserve">5.0</w:t>
            </w:r>
          </w:p>
        </w:tc>
        <w:tc>
          <w:tcPr/>
          <w:p>
            <w:pPr>
              <w:jc w:val="center"/>
            </w:pPr>
            <w:r>
              <w:t xml:space="preserve">4 (13.3%) /</w:t>
            </w:r>
          </w:p>
          <w:p>
            <w:pPr>
              <w:jc w:val="center"/>
            </w:pPr>
            <w:r>
              <w:t xml:space="preserve">20 (66.7%) /</w:t>
            </w:r>
          </w:p>
          <w:p>
            <w:pPr>
              <w:jc w:val="center"/>
            </w:pPr>
            <w:r>
              <w:t xml:space="preserve">6 (20%)</w:t>
            </w:r>
          </w:p>
        </w:tc>
        <w:tc>
          <w:tcPr/>
          <w:p>
            <w:pPr>
              <w:jc w:val="center"/>
            </w:pPr>
            <w:r>
              <w:t xml:space="preserve">12 (40.0%) /</w:t>
            </w:r>
          </w:p>
          <w:p>
            <w:pPr>
              <w:jc w:val="center"/>
            </w:pPr>
            <w:r>
              <w:t xml:space="preserve">14 (46.7%) /</w:t>
            </w:r>
          </w:p>
          <w:p>
            <w:pPr>
              <w:jc w:val="center"/>
            </w:pPr>
            <w:r>
              <w:t xml:space="preserve">4 (13.3%)</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75 (71%)</w:t>
            </w:r>
          </w:p>
        </w:tc>
        <w:tc>
          <w:tcPr/>
          <w:p>
            <w:pPr>
              <w:pStyle w:val="Compact"/>
              <w:jc w:val="center"/>
            </w:pPr>
            <w:r>
              <w:t xml:space="preserve">4.0</w:t>
            </w:r>
          </w:p>
        </w:tc>
        <w:tc>
          <w:tcPr/>
          <w:p>
            <w:pPr>
              <w:jc w:val="center"/>
            </w:pPr>
            <w:r>
              <w:t xml:space="preserve">0 (0%) /</w:t>
            </w:r>
          </w:p>
          <w:p>
            <w:pPr>
              <w:jc w:val="center"/>
            </w:pPr>
            <w:r>
              <w:t xml:space="preserve">65 (86.7%) /</w:t>
            </w:r>
          </w:p>
          <w:p>
            <w:pPr>
              <w:jc w:val="center"/>
            </w:pPr>
            <w:r>
              <w:t xml:space="preserve">10 (13.3%)</w:t>
            </w:r>
          </w:p>
        </w:tc>
        <w:tc>
          <w:tcPr/>
          <w:p>
            <w:pPr>
              <w:pStyle w:val="Compact"/>
              <w:jc w:val="center"/>
            </w:pPr>
            <w:r>
              <w:t xml:space="preserve">NA</w:t>
            </w:r>
          </w:p>
        </w:tc>
        <w:tc>
          <w:tcPr/>
          <w:p>
            <w:pPr>
              <w:pStyle w:val="Compact"/>
            </w:pPr>
          </w:p>
        </w:tc>
      </w:tr>
      <w:tr>
        <w:tc>
          <w:tcPr/>
          <w:p>
            <w:pPr>
              <w:pStyle w:val="Compact"/>
              <w:jc w:val="center"/>
            </w:pPr>
            <w:r>
              <w:rPr>
                <w:bCs/>
                <w:b/>
              </w:rPr>
              <w:t xml:space="preserve">Total</w:t>
            </w:r>
          </w:p>
        </w:tc>
        <w:tc>
          <w:tcPr/>
          <w:p>
            <w:pPr>
              <w:pStyle w:val="Compact"/>
              <w:jc w:val="center"/>
            </w:pPr>
            <w:r>
              <w:t xml:space="preserve">323 </w:t>
            </w:r>
          </w:p>
        </w:tc>
        <w:tc>
          <w:tcPr/>
          <w:p>
            <w:pPr>
              <w:pStyle w:val="Compact"/>
              <w:jc w:val="center"/>
            </w:pPr>
            <w:r>
              <w:t xml:space="preserve">Motorboat</w:t>
            </w:r>
          </w:p>
        </w:tc>
        <w:tc>
          <w:tcPr/>
          <w:p>
            <w:pPr>
              <w:pStyle w:val="Compact"/>
              <w:jc w:val="center"/>
            </w:pPr>
            <w:r>
              <w:t xml:space="preserve">181 (56%)</w:t>
            </w:r>
          </w:p>
        </w:tc>
        <w:tc>
          <w:tcPr/>
          <w:p>
            <w:pPr>
              <w:pStyle w:val="Compact"/>
              <w:jc w:val="center"/>
            </w:pPr>
            <w:r>
              <w:t xml:space="preserve">6.5</w:t>
            </w:r>
          </w:p>
        </w:tc>
        <w:tc>
          <w:tcPr/>
          <w:p>
            <w:pPr>
              <w:jc w:val="center"/>
            </w:pPr>
            <w:r>
              <w:t xml:space="preserve">41 (22.3%) /</w:t>
            </w:r>
          </w:p>
          <w:p>
            <w:pPr>
              <w:jc w:val="center"/>
            </w:pPr>
            <w:r>
              <w:t xml:space="preserve">99 (53.8%) / </w:t>
            </w:r>
          </w:p>
          <w:p>
            <w:pPr>
              <w:jc w:val="center"/>
            </w:pPr>
            <w:r>
              <w:t xml:space="preserve">44 (23.9%)</w:t>
            </w:r>
          </w:p>
        </w:tc>
        <w:tc>
          <w:tcPr/>
          <w:p>
            <w:pPr>
              <w:jc w:val="center"/>
            </w:pPr>
            <w:r>
              <w:t xml:space="preserve">49 (26.6%) / </w:t>
            </w:r>
          </w:p>
          <w:p>
            <w:pPr>
              <w:jc w:val="center"/>
            </w:pPr>
            <w:r>
              <w:t xml:space="preserve">117 (63.6%) / </w:t>
            </w:r>
          </w:p>
          <w:p>
            <w:pPr>
              <w:jc w:val="center"/>
            </w:pPr>
            <w:r>
              <w:t xml:space="preserve">18 (9.8%)</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142 (44%)</w:t>
            </w:r>
          </w:p>
        </w:tc>
        <w:tc>
          <w:tcPr/>
          <w:p>
            <w:pPr>
              <w:pStyle w:val="Compact"/>
              <w:jc w:val="center"/>
            </w:pPr>
            <w:r>
              <w:t xml:space="preserve">4.0</w:t>
            </w:r>
          </w:p>
        </w:tc>
        <w:tc>
          <w:tcPr/>
          <w:p>
            <w:pPr>
              <w:jc w:val="center"/>
            </w:pPr>
            <w:r>
              <w:t xml:space="preserve">1 (0.7%) /</w:t>
            </w:r>
          </w:p>
          <w:p>
            <w:pPr>
              <w:jc w:val="center"/>
            </w:pPr>
            <w:r>
              <w:t xml:space="preserve">117 (82.4%) /</w:t>
            </w:r>
          </w:p>
          <w:p>
            <w:pPr>
              <w:jc w:val="center"/>
            </w:pPr>
            <w:r>
              <w:t xml:space="preserve">24 (16.9%)</w:t>
            </w:r>
          </w:p>
        </w:tc>
        <w:tc>
          <w:tcPr/>
          <w:p>
            <w:pPr>
              <w:pStyle w:val="Compact"/>
              <w:jc w:val="center"/>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the North Coast, including Atauro island (fig. </w:t>
      </w:r>
      <w:r>
        <w:t xml:space="preserve">0.5</w:t>
      </w:r>
      <w:r>
        <w:t xml:space="preserve">) reaching the highest percentage of the catch in weight (92% and 56%, respectively) and numbers (96% and ~76%, respectively). Spear guns, seine nets and hand lines also play a part in the fishery of Atauro island, collectively yielding around 40% of the total weight of the catch and 20% of the total catch in numbers. Hand lines are used somewhat frequently (12%), but only results in a small part of the yield. On the south coast long lines are the most frequently used gear, catching 22% of the total catch in weight and 26% of the total catch in numbers. In addition, 2% and 73% of the total catch in weight and 5% and 66%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2"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(fig. </w:t>
      </w:r>
      <w:r>
        <w:t xml:space="preserve">0.6</w:t>
      </w:r>
      <w:r>
        <w:t xml:space="preserve">).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timor_maps/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77"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1):</w:t>
      </w:r>
    </w:p>
    <w:p>
      <w:pPr>
        <w:pStyle w:val="BodyText"/>
      </w:pPr>
      <m:oMathPara>
        <m:oMathParaPr>
          <m:jc m:val="center"/>
        </m:oMathParaPr>
        <m:oMath>
          <m:r>
            <m:rPr>
              <m:nor/>
              <m:sty m:val="p"/>
            </m:rPr>
            <m:t>(1) </m:t>
          </m:r>
          <m:r>
            <m:rPr>
              <m:nor/>
              <m:sty m:val="p"/>
            </m:rPr>
            <m:t> Total number of trips per week</m:t>
          </m:r>
          <m:r>
            <m:rPr>
              <m:sty m:val="p"/>
            </m:rPr>
            <m:t>=</m:t>
          </m:r>
          <m:f>
            <m:fPr>
              <m:type m:val="bar"/>
            </m:fPr>
            <m:num>
              <m:r>
                <m:rPr>
                  <m:nor/>
                  <m:sty m:val="p"/>
                </m:rPr>
                <m:t>Number of trips tracked per week</m:t>
              </m:r>
            </m:num>
            <m:den>
              <m:r>
                <m:rPr>
                  <m:nor/>
                  <m:sty m:val="p"/>
                </m:rPr>
                <m:t>Percentage of boats being tracked</m:t>
              </m:r>
            </m:den>
          </m:f>
          <m:r>
            <m:rPr>
              <m:sty m:val="p"/>
            </m:rPr>
            <m:t>·</m:t>
          </m:r>
          <m:r>
            <m:t>100</m:t>
          </m:r>
        </m:oMath>
      </m:oMathPara>
    </w:p>
    <w:p>
      <w:pPr>
        <w:pStyle w:val="FirstParagraph"/>
      </w:pPr>
      <w:r>
        <w:t xml:space="preserve">There are considerably more fishing trips taken per week on the north coast than on Atauro island and the south coast (fig. X).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region the number of fishing trips taken per week appear to remain quite constant over time.</w:t>
      </w:r>
    </w:p>
    <w:bookmarkEnd w:id="77"/>
    <w:bookmarkStart w:id="81"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regions appears to be quite similar (fig. </w:t>
      </w:r>
      <w:r>
        <w:t xml:space="preserve">0.7</w:t>
      </w:r>
      <w:r>
        <w:t xml:space="preserve">a). The trip effort mostly ranges between five to ten fisher-hours, with a peaks reaching up to 30 fisher-hours in the South Coast. There seems to be no clear trends in trip effort over time among the regions (fig. </w:t>
      </w:r>
      <w:r>
        <w:t xml:space="preserve">0.7</w:t>
      </w:r>
      <w:r>
        <w:t xml:space="preserve">b).</w:t>
      </w:r>
    </w:p>
    <w:p>
      <w:pPr>
        <w:pStyle w:val="CaptionedFigure"/>
      </w:pPr>
      <w:r>
        <w:drawing>
          <wp:inline>
            <wp:extent cx="5334000" cy="5744307"/>
            <wp:effectExtent b="0" l="0" r="0" t="0"/>
            <wp:docPr descr="Figure 0.7: Mean trip effort. 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tdefine the pandemic period starting from the COVID-19 lockdown on 28 March 2020." title="" id="79" name="Picture"/>
            <a:graphic>
              <a:graphicData uri="http://schemas.openxmlformats.org/drawingml/2006/picture">
                <pic:pic>
                  <pic:nvPicPr>
                    <pic:cNvPr descr="/Users/lore/My%20Drive/WorldFish/timor.report/inst/timor_report_files/figure-docx/TripEffort-1.png" id="80" name="Picture"/>
                    <pic:cNvPicPr>
                      <a:picLocks noChangeArrowheads="1" noChangeAspect="1"/>
                    </pic:cNvPicPr>
                  </pic:nvPicPr>
                  <pic:blipFill>
                    <a:blip r:embed="rId78"/>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Mean trip effort.</w:t>
      </w:r>
      <w:r>
        <w:t xml:space="preserve"> </w:t>
      </w:r>
      <w:r>
        <w:t xml:space="preserve">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tdefine the pandemic period starting from the COVID-19 lockdown on 28 March 2020.</w:t>
      </w:r>
    </w:p>
    <w:bookmarkEnd w:id="81"/>
    <w:bookmarkStart w:id="85"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  </w:t>
      </w:r>
    </w:p>
    <w:p>
      <w:pPr>
        <w:pStyle w:val="BodyText"/>
      </w:pPr>
      <w:r>
        <w:t xml:space="preserve">The CPUE (kg) of Atauro island and the north coast are quite similar, whereas the north coast has more high peaks (fig. </w:t>
      </w:r>
      <w:r>
        <w:t xml:space="preserve">0.8</w:t>
      </w:r>
      <w:r>
        <w:t xml:space="preserve">). The south coast appears to generally have a lower CPUE (kg) than Atauro island and the north coast. The CPUE (kg) of Atauro island seems to increase over time, while the north and south coasts show no apparent change of CPUE over time.</w:t>
      </w:r>
    </w:p>
    <w:p>
      <w:pPr>
        <w:pStyle w:val="CaptionedFigure"/>
      </w:pPr>
      <w:r>
        <w:drawing>
          <wp:inline>
            <wp:extent cx="5334000" cy="5744307"/>
            <wp:effectExtent b="0" l="0" r="0" t="0"/>
            <wp:docPr descr="Figure 0.8: Mean CPUE. 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 title="" id="83" name="Picture"/>
            <a:graphic>
              <a:graphicData uri="http://schemas.openxmlformats.org/drawingml/2006/picture">
                <pic:pic>
                  <pic:nvPicPr>
                    <pic:cNvPr descr="/Users/lore/My%20Drive/WorldFish/timor.report/inst/timor_report_files/figure-docx/CatchEffort-1.png" id="84" name="Picture"/>
                    <pic:cNvPicPr>
                      <a:picLocks noChangeArrowheads="1" noChangeAspect="1"/>
                    </pic:cNvPicPr>
                  </pic:nvPicPr>
                  <pic:blipFill>
                    <a:blip r:embed="rId82"/>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CPUE.</w:t>
      </w:r>
      <w:r>
        <w:t xml:space="preserve"> </w:t>
      </w:r>
      <w:r>
        <w:t xml:space="preserve">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w:t>
      </w:r>
    </w:p>
    <w:bookmarkEnd w:id="85"/>
    <w:bookmarkStart w:id="98" w:name="catch-composition"/>
    <w:p>
      <w:pPr>
        <w:pStyle w:val="Heading2"/>
      </w:pPr>
      <w:r>
        <w:rPr>
          <w:rStyle w:val="SectionNumber"/>
        </w:rPr>
        <w:t xml:space="preserve">4.5</w:t>
      </w:r>
      <w:r>
        <w:tab/>
      </w:r>
      <w:r>
        <w:rPr>
          <w:bCs/>
          <w:b/>
        </w:rP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demersals, large demersal, sharks and rays, crustaceans, shrimps, cephalopods, molluscs and unknown (See Appendix B for a detailed list of the species classification).</w:t>
      </w:r>
      <w:r>
        <w:br/>
      </w:r>
      <w:r>
        <w:br/>
      </w:r>
      <w:r>
        <w:t xml:space="preserve">Atauro island shows the most diverse catch composition of the three sampling regions (fig. </w:t>
      </w:r>
      <w:r>
        <w:t xml:space="preserve">0.9</w:t>
      </w:r>
      <w:r>
        <w:t xml:space="preserve">). It is dominated by small pelagics in weight and numbers, while small demersals are the most frequently caught. The catch composition of the north and the south coast are both dominated by small pelagic species. In the north and south coast the large pelagics are also caught relatively frequently and contribute to 13% and 9% of the weight of the catch respectively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w:t>
      </w:r>
      <w:r>
        <w:t xml:space="preserve">0.10</w:t>
      </w:r>
      <w:r>
        <w:t xml:space="preserve">). The weight of the catch of the hand line is dominated by large pelagics and large demersals, whereas the small pelagics dominate the catch in numbers. When long lines are used pelagic fish are primarily caught, of which large fish account for most of the weight of the catch, and small fish account for most of the catch in numbers. The catch of spear guns consists largely of demersal fish, with again the large fish accounting for most of the weight of the catch, and small fish accounting for most of the catch in numbers. Cephalopods are caught in almost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bookmarkStart w:id="89"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9: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87" name="Picture"/>
            <a:graphic>
              <a:graphicData uri="http://schemas.openxmlformats.org/drawingml/2006/picture">
                <pic:pic>
                  <pic:nvPicPr>
                    <pic:cNvPr descr="/Users/lore/My%20Drive/WorldFish/timor.report/inst/timor_report_files/figure-docx/IRIFishGroups-1.png" id="88" name="Picture"/>
                    <pic:cNvPicPr>
                      <a:picLocks noChangeArrowheads="1" noChangeAspect="1"/>
                    </pic:cNvPicPr>
                  </pic:nvPicPr>
                  <pic:blipFill>
                    <a:blip r:embed="rId8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89"/>
    <w:bookmarkStart w:id="93"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0: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1" name="Picture"/>
            <a:graphic>
              <a:graphicData uri="http://schemas.openxmlformats.org/drawingml/2006/picture">
                <pic:pic>
                  <pic:nvPicPr>
                    <pic:cNvPr descr="/Users/lore/My%20Drive/WorldFish/timor.report/inst/timor_report_files/figure-docx/IRIFishGear-1.png" id="92" name="Picture"/>
                    <pic:cNvPicPr>
                      <a:picLocks noChangeArrowheads="1" noChangeAspect="1"/>
                    </pic:cNvPicPr>
                  </pic:nvPicPr>
                  <pic:blipFill>
                    <a:blip r:embed="rId9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3"/>
    <w:bookmarkStart w:id="97"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demersals, and the cephalopods caught on Atauro island appear to be marginally bigger than on the north and south coast, whereas the large demersal caught on the south coast seem slightly bigger than on Atauro island and the north coast (fig. </w:t>
      </w:r>
      <w:r>
        <w:t xml:space="preserve">0.11</w:t>
      </w:r>
      <w:r>
        <w:t xml:space="preserve">).</w:t>
      </w:r>
    </w:p>
    <w:p>
      <w:pPr>
        <w:pStyle w:val="CaptionedFigure"/>
      </w:pPr>
      <w:r>
        <w:drawing>
          <wp:inline>
            <wp:extent cx="5334000" cy="5334000"/>
            <wp:effectExtent b="0" l="0" r="0" t="0"/>
            <wp:docPr descr="Figure 0.11: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5" name="Picture"/>
            <a:graphic>
              <a:graphicData uri="http://schemas.openxmlformats.org/drawingml/2006/picture">
                <pic:pic>
                  <pic:nvPicPr>
                    <pic:cNvPr descr="/Users/lore/My%20Drive/WorldFish/timor.report/inst/timor_report_files/figure-docx/LengthArea-1.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97"/>
    <w:bookmarkEnd w:id="98"/>
    <w:bookmarkStart w:id="101"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w:t>
      </w:r>
      <w:r>
        <w:t xml:space="preserve">??</w:t>
      </w:r>
      <w:r>
        <w:t xml:space="preserve">).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99">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99">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0">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 </w:t>
      </w:r>
    </w:p>
    <w:p>
      <w:pPr>
        <w:pStyle w:val="BodyText"/>
      </w:pPr>
      <w:r>
        <w:br/>
      </w:r>
    </w:p>
    <w:bookmarkEnd w:id="101"/>
    <w:bookmarkStart w:id="111"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total monthly landings in all three regions, with the strongest trend seen in the south coast (fig. </w:t>
      </w:r>
      <w:r>
        <w:t xml:space="preserve">0.12</w:t>
      </w:r>
      <w:r>
        <w:t xml:space="preserve">; fig. </w:t>
      </w:r>
      <w:r>
        <w:t xml:space="preserve">0.13</w:t>
      </w:r>
      <w:r>
        <w:t xml:space="preserve">). The total number of trips per week decreased at the beginning of the year and increased during August/September reaching the peaks around October and December.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2">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3">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04">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2: Seasonality of trips per week Box plots of the estimated number of trips per week for every month (2018-2021) for Atauro island, north coast, and south coast. The y-axis has a free scale for each region. The dashed line shows a loess regression with 95% confidence intervals." title="" id="106" name="Picture"/>
            <a:graphic>
              <a:graphicData uri="http://schemas.openxmlformats.org/drawingml/2006/picture">
                <pic:pic>
                  <pic:nvPicPr>
                    <pic:cNvPr descr="/Users/lore/My%20Drive/WorldFish/timor.report/inst/timor_report_files/figure-docx/WeekTrips-1.png" id="107" name="Picture"/>
                    <pic:cNvPicPr>
                      <a:picLocks noChangeArrowheads="1" noChangeAspect="1"/>
                    </pic:cNvPicPr>
                  </pic:nvPicPr>
                  <pic:blipFill>
                    <a:blip r:embed="rId105"/>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region. The dashed line shows a loess regression with 95% confidence intervals.</w:t>
      </w:r>
    </w:p>
    <w:p>
      <w:pPr>
        <w:pStyle w:val="CaptionedFigure"/>
      </w:pPr>
      <w:r>
        <w:drawing>
          <wp:inline>
            <wp:extent cx="5334000" cy="5926666"/>
            <wp:effectExtent b="0" l="0" r="0" t="0"/>
            <wp:docPr descr="Figure 0.13: Seasonality of total monthly catch (tons). Box plots of the estimated total catch (tons) for every month (2018-2021) for Atauro island, north coast, and south coast. The y-axis has a free scale for each region. The dashed line shows the loess regression with 95% confidence intervals." title="" id="109" name="Picture"/>
            <a:graphic>
              <a:graphicData uri="http://schemas.openxmlformats.org/drawingml/2006/picture">
                <pic:pic>
                  <pic:nvPicPr>
                    <pic:cNvPr descr="/Users/lore/My%20Drive/WorldFish/timor.report/inst/timor_report_files/figure-docx/WeekCatch-1.png" id="110" name="Picture"/>
                    <pic:cNvPicPr>
                      <a:picLocks noChangeArrowheads="1" noChangeAspect="1"/>
                    </pic:cNvPicPr>
                  </pic:nvPicPr>
                  <pic:blipFill>
                    <a:blip r:embed="rId108"/>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region. The dashed line shows the loess regression with 95% confidence intervals.</w:t>
      </w:r>
    </w:p>
    <w:bookmarkEnd w:id="111"/>
    <w:bookmarkEnd w:id="112"/>
    <w:bookmarkStart w:id="134" w:name="market"/>
    <w:p>
      <w:pPr>
        <w:pStyle w:val="Heading1"/>
      </w:pPr>
      <w:r>
        <w:rPr>
          <w:rStyle w:val="SectionNumber"/>
        </w:rPr>
        <w:t xml:space="preserve">5</w:t>
      </w:r>
      <w:r>
        <w:tab/>
      </w:r>
      <w:r>
        <w:t xml:space="preserve">Market</w:t>
      </w:r>
    </w:p>
    <w:bookmarkStart w:id="123"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3">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85.5% of the sampled catch on Atauro island is sold on the market, 14.1% is kept for own consumption and 0.4% is used for both. On the north coast, 66.2% goes to the market, 18.4% is used for own consumption and 15.4% is used for both. On the south coast 80.4% is sold on the market, 10.7% is kept for own consumption and 8.87% is used for both. On the temporal scale the market selling showed a slight increase in all the regions, and especially in Atauro, whereas own consumption and both trends were quite stable in all the regions (fig. </w:t>
      </w:r>
      <w:r>
        <w:t xml:space="preserve">5.1</w:t>
      </w:r>
      <w:r>
        <w:t xml:space="preserve">).</w:t>
      </w:r>
    </w:p>
    <w:p>
      <w:pPr>
        <w:pStyle w:val="BodyText"/>
      </w:pPr>
      <w:r>
        <w:t xml:space="preserve">An interesting difference between the regions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regions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 </w:t>
      </w:r>
    </w:p>
    <w:p>
      <w:pPr>
        <w:pStyle w:val="BodyText"/>
      </w:pPr>
      <w:r>
        <w:t xml:space="preserve">Most of the fish being kept for own consumption is smaller sized fish and fish species, with some exceptions such as the Cobia (Rachycentron canadum) and the Moray eel (Gymnothorax spp.) (fig. </w:t>
      </w:r>
      <w:r>
        <w:t xml:space="preserve">5.2</w:t>
      </w:r>
      <w:r>
        <w:t xml:space="preserve">; fig. </w:t>
      </w:r>
      <w:r>
        <w:t xml:space="preserve">5.3</w:t>
      </w:r>
      <w:r>
        <w:t xml:space="preserve">). Large-size fish and fish species are often easier to sell, as they look more appetising and are in demand by the restaurants and urban population (Venugopa &amp; Shahidi, 1995). </w:t>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grey), north coast (red), and south coast (light blue) in the period of September 2016 to March 2021. The dotted red line signifies the start of the COVID-19 lockdown on 28 March 2020. The y-axis has free scaling." title="" id="115" name="Picture"/>
            <a:graphic>
              <a:graphicData uri="http://schemas.openxmlformats.org/drawingml/2006/picture">
                <pic:pic>
                  <pic:nvPicPr>
                    <pic:cNvPr descr="/Users/lore/My%20Drive/WorldFish/timor.report/inst/timor_report_files/figure-docx/Usage-1.png" id="116" name="Picture"/>
                    <pic:cNvPicPr>
                      <a:picLocks noChangeArrowheads="1" noChangeAspect="1"/>
                    </pic:cNvPicPr>
                  </pic:nvPicPr>
                  <pic:blipFill>
                    <a:blip r:embed="rId11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(grey), north coast (red), and south coast (light blue) in the period of September 2016 to March 2021. The dotted red line signifies the start of the COVID-19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18" name="Picture"/>
            <a:graphic>
              <a:graphicData uri="http://schemas.openxmlformats.org/drawingml/2006/picture">
                <pic:pic>
                  <pic:nvPicPr>
                    <pic:cNvPr descr="/Users/lore/My%20Drive/WorldFish/timor.report/inst/timor_report_files/figure-docx/UsageProp-1.png" id="119" name="Picture"/>
                    <pic:cNvPicPr>
                      <a:picLocks noChangeArrowheads="1" noChangeAspect="1"/>
                    </pic:cNvPicPr>
                  </pic:nvPicPr>
                  <pic:blipFill>
                    <a:blip r:embed="rId117"/>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CaptionedFigure"/>
      </w:pPr>
      <w:r>
        <w:drawing>
          <wp:inline>
            <wp:extent cx="5334000" cy="4923692"/>
            <wp:effectExtent b="0" l="0" r="0" t="0"/>
            <wp:docPr descr="Figure 5.3: Bar plot of the destination of the catch per length groups. (a) Percentage of the catch and (b) weight (kg) of the catch being used to sell on market (brown), for own consumption (light green), or both (grey) versus the size (cm) of the fish caught. The catch is divided into 50 length groups. Entries without any information on the destination of the catch are shown in red." title="" id="121" name="Picture"/>
            <a:graphic>
              <a:graphicData uri="http://schemas.openxmlformats.org/drawingml/2006/picture">
                <pic:pic>
                  <pic:nvPicPr>
                    <pic:cNvPr descr="/Users/lore/My%20Drive/WorldFish/timor.report/inst/timor_report_files/figure-docx/LengthUsage-1.png" id="122" name="Picture"/>
                    <pic:cNvPicPr>
                      <a:picLocks noChangeArrowheads="1" noChangeAspect="1"/>
                    </pic:cNvPicPr>
                  </pic:nvPicPr>
                  <pic:blipFill>
                    <a:blip r:embed="rId120"/>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(brown), for own consumption (light green), or both (grey) versus the size (cm) of the fish caught. The catch is divided into 50 length groups. Entries without any information on the destination of the catch are shown in red.</w:t>
      </w:r>
    </w:p>
    <w:bookmarkEnd w:id="123"/>
    <w:bookmarkStart w:id="133"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 </w:t>
      </w:r>
    </w:p>
    <w:p>
      <w:pPr>
        <w:pStyle w:val="BodyText"/>
      </w:pPr>
      <w:r>
        <w:t xml:space="preserve">The catch in hand lines yields the highest price (USD) per kg of the different gear types, followed by long lines (fig. </w:t>
      </w:r>
      <w:r>
        <w:t xml:space="preserve">5.5</w:t>
      </w:r>
      <w:r>
        <w:t xml:space="preserve">).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characterized by a catch consisting of a single fish group (77.23% of total trips).</w:t>
      </w:r>
    </w:p>
    <w:p>
      <w:pPr>
        <w:pStyle w:val="BodyText"/>
      </w:pPr>
      <w:r>
        <w:t xml:space="preserve">This considering, the large pelagics and large demersal yield the highest price (USD) per kg of the different functional groups (fig. </w:t>
      </w:r>
      <w:r>
        <w:t xml:space="preserve">5.6</w:t>
      </w:r>
      <w:r>
        <w:t xml:space="preserve">). The cephalopods and sharks bring in the lowest price per kg, followed by the small pelagics and small demersals. As larger-sized fish look more appetising and are more in demand, it makes sense that they would sell for the highest price per kg. A consistent positive trend in price per kg is evident in the North Coast, involving both the demersals and the large pelagics.</w:t>
      </w:r>
    </w:p>
    <w:p>
      <w:pPr>
        <w:pStyle w:val="BodyText"/>
      </w:pPr>
      <w:r>
        <w:t xml:space="preserve">Before Covid, the selling price per kg of catch was slight higher in the South Coast, followed by the North coast and lastly Atauro island (fig. </w:t>
      </w:r>
      <w:r>
        <w:t xml:space="preserve">5.4</w:t>
      </w:r>
      <w:r>
        <w:t xml:space="preserve">).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3">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regions, as there have been differences in how the enumerators record the pricing between the areas and over time.</w:t>
      </w:r>
    </w:p>
    <w:p>
      <w:pPr>
        <w:pStyle w:val="BodyText"/>
      </w:pPr>
      <w:r>
        <w:t xml:space="preserve">After Covid, both the South and North coasts were characterized by a consistent increase in the price per kg of catch, but while in the North the trend kept increasing, the South Coast showed a quick drop in the average price.</w:t>
      </w:r>
    </w:p>
    <w:p>
      <w:pPr>
        <w:pStyle w:val="CaptionedFigure"/>
      </w:pPr>
      <w:r>
        <w:drawing>
          <wp:inline>
            <wp:extent cx="5334000" cy="2872153"/>
            <wp:effectExtent b="0" l="0" r="0" t="0"/>
            <wp:docPr descr="Figure 5.4: Mean market value (USD) per kg of the catch. Mean market value (USD) per kg of the catch for Atauro island (grey), north coast (red) and south coast (light blue), during the period of July 2019 to April 2021. The error bars represent the standard error. The dashed line shows the linear regression with 95% confidence intervals for each region. The dotted red line signifies the start of the COVID-19 lockdown on 28 March 2020." title="" id="125" name="Picture"/>
            <a:graphic>
              <a:graphicData uri="http://schemas.openxmlformats.org/drawingml/2006/picture">
                <pic:pic>
                  <pic:nvPicPr>
                    <pic:cNvPr descr="/Users/lore/My%20Drive/WorldFish/timor.report/inst/timor_report_files/figure-docx/MarketValue-1.png" id="126" name="Picture"/>
                    <pic:cNvPicPr>
                      <a:picLocks noChangeArrowheads="1" noChangeAspect="1"/>
                    </pic:cNvPicPr>
                  </pic:nvPicPr>
                  <pic:blipFill>
                    <a:blip r:embed="rId124"/>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(grey), north coast (red) and south coast (light blue), during the period of July 2019 to April 2021. The error bars represent the standard error. The dashed line shows the linear regression with 95% confidence intervals for each region. The dotted red line signifies the start of the COVID-19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 title="" id="128" name="Picture"/>
            <a:graphic>
              <a:graphicData uri="http://schemas.openxmlformats.org/drawingml/2006/picture">
                <pic:pic>
                  <pic:nvPicPr>
                    <pic:cNvPr descr="/Users/lore/My%20Drive/WorldFish/timor.report/inst/timor_report_files/figure-docx/ValueGear-1.png" id="129" name="Picture"/>
                    <pic:cNvPicPr>
                      <a:picLocks noChangeArrowheads="1" noChangeAspect="1"/>
                    </pic:cNvPicPr>
                  </pic:nvPicPr>
                  <pic:blipFill>
                    <a:blip r:embed="rId127"/>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w:t>
      </w:r>
    </w:p>
    <w:p>
      <w:pPr>
        <w:pStyle w:val="CaptionedFigure"/>
      </w:pPr>
      <w:r>
        <w:drawing>
          <wp:inline>
            <wp:extent cx="5334000" cy="6096000"/>
            <wp:effectExtent b="0" l="0" r="0" t="0"/>
            <wp:docPr descr="Figure 5.6: Mean market value (USD) per kg of the catch of the most frequently caught functional groups in Atauro Island (grey), north coast (red) and south coast (light blue), during the period of July 2019 to April 2021. The error bars represent the standard error. The y-axis has free scaling for every functional group. The dotted red line signifies the start of the COVID-19 lockdown on 28 March 2020." title="" id="131" name="Picture"/>
            <a:graphic>
              <a:graphicData uri="http://schemas.openxmlformats.org/drawingml/2006/picture">
                <pic:pic>
                  <pic:nvPicPr>
                    <pic:cNvPr descr="/Users/lore/My%20Drive/WorldFish/timor.report/inst/timor_report_files/figure-docx/ValueFish-1.png" id="132" name="Picture"/>
                    <pic:cNvPicPr>
                      <a:picLocks noChangeArrowheads="1" noChangeAspect="1"/>
                    </pic:cNvPicPr>
                  </pic:nvPicPr>
                  <pic:blipFill>
                    <a:blip r:embed="rId13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(grey), north coast (red) and south coast (light blue), during the period of July 2019 to April 2021. The error bars represent the standard error. The y-axis has free scaling for every functional group. The dotted red line signifies the start of the COVID-19 lockdown on 28 March 2020.</w:t>
      </w:r>
    </w:p>
    <w:bookmarkEnd w:id="133"/>
    <w:bookmarkEnd w:id="134"/>
    <w:bookmarkStart w:id="149" w:name="covid-box"/>
    <w:p>
      <w:pPr>
        <w:pStyle w:val="Heading1"/>
      </w:pPr>
      <w:r>
        <w:rPr>
          <w:rStyle w:val="SectionNumber"/>
        </w:rPr>
        <w:t xml:space="preserve">6</w:t>
      </w:r>
      <w:r>
        <w:tab/>
      </w:r>
      <w:r>
        <w:rPr>
          <w:bCs/>
          <w:b/>
        </w:rPr>
        <w:t xml:space="preserve">Covid Box</w:t>
      </w:r>
    </w:p>
    <w:p>
      <w:pPr>
        <w:pStyle w:val="FirstParagraph"/>
      </w:pPr>
      <w:r>
        <w:t xml:space="preserve">One of the latest and arguably one of the biggest crises our world has faced is the COVID-19 pandemic. It has had substantial economic, social and health impacts on the entire world</w:t>
      </w:r>
      <w:r>
        <w:t xml:space="preserve"> </w:t>
      </w:r>
      <w:hyperlink r:id="rId135">
        <w:r>
          <w:rPr>
            <w:rStyle w:val="Hyperlink"/>
          </w:rPr>
          <w:t xml:space="preserve">(World Bank, 2020a; World Trade Organization, 2020)</w:t>
        </w:r>
      </w:hyperlink>
      <w:r>
        <w:t xml:space="preserve">. While most SIDSs benefit from a remote location which can delay and limit the spread of COVID-19, it also implies that foreign assistance during the crisis will be more problematic</w:t>
      </w:r>
      <w:r>
        <w:t xml:space="preserve"> </w:t>
      </w:r>
      <w:hyperlink r:id="rId136">
        <w:r>
          <w:rPr>
            <w:rStyle w:val="Hyperlink"/>
          </w:rPr>
          <w:t xml:space="preserve">(Filho et al., 2020)</w:t>
        </w:r>
      </w:hyperlink>
      <w:r>
        <w:t xml:space="preserve">. Furthermore, foreign aid and tourism, which are often a vital part for the economy and wellbeing of SIDSs, have dwindled due to international travel and trade restrictions</w:t>
      </w:r>
      <w:r>
        <w:t xml:space="preserve"> </w:t>
      </w:r>
      <w:hyperlink r:id="rId137">
        <w:r>
          <w:rPr>
            <w:rStyle w:val="Hyperlink"/>
          </w:rPr>
          <w:t xml:space="preserve">(Feeny and McGillivray, 2010; Pratt, 2015; Filho et al., 2020)</w:t>
        </w:r>
      </w:hyperlink>
      <w:r>
        <w:t xml:space="preserve">. The crucial role of SSF as a source of food and income in SIDSs, makes it imperative to know how the pandemic and associated domestic and international movement restrictions have impacted these fishing communities and their activities.</w:t>
      </w:r>
    </w:p>
    <w:p>
      <w:pPr>
        <w:pStyle w:val="BodyText"/>
      </w:pPr>
      <w:r>
        <w:t xml:space="preserve">In Timor-Leste, the most apparent impact of the COVID-19 pandemic appears to be on the market value of the fish. The reported selling price of the fish caught by hand lines, long lines, and spear guns, which include the larger-sized fish, seems to have decreased quite significantly after the lockdown was put in place. This could partially be explained by the collapse in the tourism industry as a result of closing the international borders. During the lockdown, the tourism sector experienced a 95% decline in their revenues and many businesses depending on international travellers had to partially or completely close</w:t>
      </w:r>
      <w:r>
        <w:t xml:space="preserve"> </w:t>
      </w:r>
      <w:hyperlink r:id="rId138">
        <w:r>
          <w:rPr>
            <w:rStyle w:val="Hyperlink"/>
          </w:rPr>
          <w:t xml:space="preserve">(Rajalingam et al., 2021)</w:t>
        </w:r>
      </w:hyperlink>
      <w:r>
        <w:t xml:space="preserve">. The fish favoured by restaurants are often the larger-sized species, and a collapse of the tourism sector will likely affect the demand and thus value of these fish. Furthermore, Timor-Leste experienced an overall economic shock due to the pandemic and earlier political uncertainty, and as a result the gross domestic product (GDP) of Timor-Leste is expected to decrease by 6.8%, leaving the local people with less money to spend</w:t>
      </w:r>
      <w:r>
        <w:t xml:space="preserve"> </w:t>
      </w:r>
      <w:hyperlink r:id="rId139">
        <w:r>
          <w:rPr>
            <w:rStyle w:val="Hyperlink"/>
          </w:rPr>
          <w:t xml:space="preserve">(World Bank, 2020b)</w:t>
        </w:r>
      </w:hyperlink>
      <w:r>
        <w:t xml:space="preserve">. Due to the social distancing rules, the urgent request to work from home, and potential fear for the virus, there will have been less people present on the markets and less traffic to sell to along the roads. All these factors have likely contributed to driving down the selling price of the fish. Interestingly, the results do not indicate that a bigger part of the catch is kept for own consumption after the lockdown. Possibly, if there is a large part of the catch that cannot be sold on markets or on roads, it would be shared or bartered with relatives or friends.</w:t>
      </w:r>
    </w:p>
    <w:p>
      <w:pPr>
        <w:pStyle w:val="BodyText"/>
      </w:pPr>
      <w:r>
        <w:t xml:space="preserve">Altogether, the pandemic and the resulting lockdown do not appear to have had as large an impact on the fisheries of Timor-Leste as it has had on other SSFs around the world, where the loss of revenue and decline in fishing activity has been substantial</w:t>
      </w:r>
      <w:r>
        <w:t xml:space="preserve"> </w:t>
      </w:r>
      <w:hyperlink r:id="rId140">
        <w:r>
          <w:rPr>
            <w:rStyle w:val="Hyperlink"/>
          </w:rPr>
          <w:t xml:space="preserve">(Bennett et al., 2020; Knight et al., 2020; Belton et al., 2021; Campbell et al., 2021; Ferrer et al., 2021; Fiorella et al., 2021; Mangubhai et al., 2021; Plagányi et al., 2021)</w:t>
        </w:r>
      </w:hyperlink>
      <w:r>
        <w:t xml:space="preserve">. This could be explained by the still underdeveloped nature of the SSF of Timor-Leste. Other SSFs around the world lost a large part of their revenue due to the disruption of the international export market and the global supply chains</w:t>
      </w:r>
      <w:r>
        <w:t xml:space="preserve"> </w:t>
      </w:r>
      <w:hyperlink r:id="rId141">
        <w:r>
          <w:rPr>
            <w:rStyle w:val="Hyperlink"/>
          </w:rPr>
          <w:t xml:space="preserve">(Knight et al., 2020; Belton et al., 2021; Plagányi et al., 2021)</w:t>
        </w:r>
      </w:hyperlink>
      <w:r>
        <w:t xml:space="preserve">. This will not have affected the fisheries of Timor-Leste in a similar manner, as the goods are generally sold locally, and there is minimal export except for some trade with Indonesians</w:t>
      </w:r>
      <w:r>
        <w:t xml:space="preserve"> </w:t>
      </w:r>
      <w:hyperlink r:id="rId38">
        <w:r>
          <w:rPr>
            <w:rStyle w:val="Hyperlink"/>
          </w:rPr>
          <w:t xml:space="preserve">(Barbosa and Booth, 2009)</w:t>
        </w:r>
      </w:hyperlink>
      <w:r>
        <w:t xml:space="preserve">. Furthermore, the tourism sector of Timor-Leste is underdeveloped compared to other SIDS, as it accounts only for 0.5% of the GPD in Timor-Leste, while it accounts for more than 20% of the GDP in two fifths of the SIDS</w:t>
      </w:r>
      <w:r>
        <w:t xml:space="preserve"> </w:t>
      </w:r>
      <w:hyperlink r:id="rId142">
        <w:r>
          <w:rPr>
            <w:rStyle w:val="Hyperlink"/>
          </w:rPr>
          <w:t xml:space="preserve">(Unwto, 2014; Rajalingam et al., 2021)</w:t>
        </w:r>
      </w:hyperlink>
      <w:r>
        <w:t xml:space="preserve">. Whereas in most SSFs the decline in income for fishers has resulted in a decrease in fishing effort, as the costs started to outweigh the profit, this does not appear to be the case in Timor-Leste</w:t>
      </w:r>
      <w:r>
        <w:t xml:space="preserve"> </w:t>
      </w:r>
      <w:hyperlink r:id="rId143">
        <w:r>
          <w:rPr>
            <w:rStyle w:val="Hyperlink"/>
          </w:rPr>
          <w:t xml:space="preserve">(Ferrer et al., 2021; Mangubhai et al., 2021)</w:t>
        </w:r>
      </w:hyperlink>
      <w:r>
        <w:t xml:space="preserve">. Another, more direct impact of the pandemic and the restrictions on the fishing activity of most SSFs is the required social distancing and the fear of catching the virus</w:t>
      </w:r>
      <w:r>
        <w:t xml:space="preserve"> </w:t>
      </w:r>
      <w:hyperlink r:id="rId144">
        <w:r>
          <w:rPr>
            <w:rStyle w:val="Hyperlink"/>
          </w:rPr>
          <w:t xml:space="preserve">(Okyere et al., 2020; Mangubhai et al., 2021)</w:t>
        </w:r>
      </w:hyperlink>
      <w:r>
        <w:t xml:space="preserve">. Many fishers had to restrict the size of their crew to be able to maintain the necessary distance on the boat, resulting in a decrease in effort</w:t>
      </w:r>
      <w:r>
        <w:t xml:space="preserve"> </w:t>
      </w:r>
      <w:hyperlink r:id="rId145">
        <w:r>
          <w:rPr>
            <w:rStyle w:val="Hyperlink"/>
          </w:rPr>
          <w:t xml:space="preserve">(Mangubhai et al., 2021</w:t>
        </w:r>
      </w:hyperlink>
      <w:r>
        <w:t xml:space="preserve">). Landing sites are often crowded, and during the landing of the fish it is difficult to keep 2 metres distance from one another</w:t>
      </w:r>
      <w:r>
        <w:t xml:space="preserve"> </w:t>
      </w:r>
      <w:hyperlink r:id="rId146">
        <w:r>
          <w:rPr>
            <w:rStyle w:val="Hyperlink"/>
          </w:rPr>
          <w:t xml:space="preserve">(Okyere et al., 2020)</w:t>
        </w:r>
      </w:hyperlink>
      <w:r>
        <w:t xml:space="preserve">. The fear of getting sick, which is a genuine concern for many in developing countries where health care is poor, constraints people in their movement and keeps some from going out fishing altogether</w:t>
      </w:r>
      <w:r>
        <w:t xml:space="preserve"> </w:t>
      </w:r>
      <w:hyperlink r:id="rId147">
        <w:r>
          <w:rPr>
            <w:rStyle w:val="Hyperlink"/>
          </w:rPr>
          <w:t xml:space="preserve">(Lau, Sutcliffe and Hungito, 2020)</w:t>
        </w:r>
      </w:hyperlink>
      <w:r>
        <w:t xml:space="preserve">. The fishers of Timor-Leste usually operate with small crews of one to three people, and these restrictions will therefore likely not have affected them as much.</w:t>
      </w:r>
    </w:p>
    <w:p>
      <w:pPr>
        <w:pStyle w:val="BodyText"/>
      </w:pPr>
      <w:r>
        <w:t xml:space="preserve">Furthermore, during the pandemic, Timor-Leste experienced a higher level of food insecurity than during other years, partially due to the virus and the associated restrictions and partially due to droughts and crop pests</w:t>
      </w:r>
      <w:r>
        <w:t xml:space="preserve"> </w:t>
      </w:r>
      <w:hyperlink r:id="rId148">
        <w:r>
          <w:rPr>
            <w:rStyle w:val="Hyperlink"/>
          </w:rPr>
          <w:t xml:space="preserve">(Timor-Leste Department of Food Security et al., 2020)</w:t>
        </w:r>
      </w:hyperlink>
      <w:r>
        <w:t xml:space="preserve">. It could thus be expected that households engaging in both fishing and agriculture would turn more to fishing when the crops are poor, reinforced by the fact that people felt that agricultural activities were more affected by the restrictions than fishing activities</w:t>
      </w:r>
      <w:r>
        <w:t xml:space="preserve"> </w:t>
      </w:r>
      <w:hyperlink r:id="rId148">
        <w:r>
          <w:rPr>
            <w:rStyle w:val="Hyperlink"/>
          </w:rPr>
          <w:t xml:space="preserve">(Timor-Leste Department of Food Security et al., 2020)</w:t>
        </w:r>
      </w:hyperlink>
      <w:r>
        <w:t xml:space="preserve">.</w:t>
      </w:r>
    </w:p>
    <w:bookmarkEnd w:id="149"/>
    <w:bookmarkStart w:id="153" w:name="conclusion"/>
    <w:p>
      <w:pPr>
        <w:pStyle w:val="Heading1"/>
      </w:pPr>
      <w:r>
        <w:rPr>
          <w:rStyle w:val="SectionNumber"/>
        </w:rPr>
        <w:t xml:space="preserve">7</w:t>
      </w:r>
      <w:r>
        <w:tab/>
      </w:r>
      <w:r>
        <w:rPr>
          <w:bCs/>
          <w:b/>
        </w:rPr>
        <w:t xml:space="preserve">Conclusion</w:t>
      </w:r>
    </w:p>
    <w:bookmarkStart w:id="152" w:name="further-research"/>
    <w:p>
      <w:pPr>
        <w:pStyle w:val="Heading2"/>
      </w:pPr>
      <w:r>
        <w:rPr>
          <w:rStyle w:val="SectionNumber"/>
        </w:rPr>
        <w:t xml:space="preserve">7.1</w:t>
      </w:r>
      <w:r>
        <w:tab/>
      </w:r>
      <w:r>
        <w:t xml:space="preserve">Further research</w:t>
      </w:r>
    </w:p>
    <w:p>
      <w:pPr>
        <w:pStyle w:val="FirstParagraph"/>
      </w:pPr>
      <w:r>
        <w:t xml:space="preserve">​​While there is a growing interest in SSF and an increasing number of studies being conducted on the matter, the lack of descriptive data still proved to limit the possibilities of comparing the characteristics of the Timorese fisheries with other SSF. This is unfortunate, as it would have given a greater opportunity to put the results into perspective. Hopefully, this research will have proved the importance of</w:t>
      </w:r>
      <w:r>
        <w:t xml:space="preserve"> </w:t>
      </w:r>
      <w:r>
        <w:t xml:space="preserve">“</w:t>
      </w:r>
      <w:r>
        <w:t xml:space="preserve">simple</w:t>
      </w:r>
      <w:r>
        <w:t xml:space="preserve">”</w:t>
      </w:r>
      <w:r>
        <w:t xml:space="preserve"> </w:t>
      </w:r>
      <w:r>
        <w:t xml:space="preserve">descriptive analyses of SSF and incited an increase in these types of studies.</w:t>
      </w:r>
    </w:p>
    <w:p>
      <w:pPr>
        <w:pStyle w:val="BodyText"/>
      </w:pPr>
      <w:r>
        <w:t xml:space="preserve">As for Timor-Leste, this report only describes and analyses a part of the fishery. PeskAAS includes large amounts of information, making it possible to conduct more in-depth analyses on specific matters. For instance, the length distribution of the catches could be studied, to assess the fishing pattern by sizes. As the monitoring program will remain active, it will also be possible to conduct studies over longer time periods, making it easier to discover trends. Furthermore, it is recommended to continue analysing the impact of the COVID-19 pandemic and other drivers on the fisheries. This study only includes data up to March 2021, and until that date there were no significant outbreaks nor any deaths due to the virus in Timor-Leste</w:t>
      </w:r>
      <w:r>
        <w:t xml:space="preserve"> </w:t>
      </w:r>
      <w:hyperlink r:id="rId150">
        <w:r>
          <w:rPr>
            <w:rStyle w:val="Hyperlink"/>
          </w:rPr>
          <w:t xml:space="preserve">(World Health Organization, 2021)</w:t>
        </w:r>
      </w:hyperlink>
      <w:r>
        <w:t xml:space="preserve">. However, since then the country has suffered their first serious outbreak, and to date (28 July 2021) there have been 10,535 cases and 26 deaths confirmed</w:t>
      </w:r>
      <w:r>
        <w:t xml:space="preserve"> </w:t>
      </w:r>
      <w:hyperlink r:id="rId150">
        <w:r>
          <w:rPr>
            <w:rStyle w:val="Hyperlink"/>
          </w:rPr>
          <w:t xml:space="preserve">(World Health Organization, 2021)</w:t>
        </w:r>
      </w:hyperlink>
      <w:r>
        <w:t xml:space="preserve">. During the same period, Timor-Leste also had to grapple with severe floods and landslides caused by heavy rains</w:t>
      </w:r>
      <w:r>
        <w:t xml:space="preserve"> </w:t>
      </w:r>
      <w:hyperlink r:id="rId151">
        <w:r>
          <w:rPr>
            <w:rStyle w:val="Hyperlink"/>
          </w:rPr>
          <w:t xml:space="preserve">(Un Rco, 2021)</w:t>
        </w:r>
      </w:hyperlink>
      <w:r>
        <w:t xml:space="preserve">. These calamities will have had a serious impact on the health and economy of the country, and the impact on the fisheries should be closely monitored.</w:t>
      </w:r>
    </w:p>
    <w:bookmarkEnd w:id="152"/>
    <w:bookmarkEnd w:id="153"/>
    <w:bookmarkStart w:id="154" w:name="references"/>
    <w:p>
      <w:pPr>
        <w:pStyle w:val="Heading1"/>
      </w:pPr>
      <w:r>
        <w:rPr>
          <w:rStyle w:val="SectionNumber"/>
        </w:rPr>
        <w:t xml:space="preserve">8</w:t>
      </w:r>
      <w:r>
        <w:tab/>
      </w:r>
      <w:r>
        <w:rPr>
          <w:bCs/>
          <w:b/>
        </w:rPr>
        <w:t xml:space="preserve">References</w:t>
      </w:r>
    </w:p>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66" Target="media/rId66.png" /><Relationship Type="http://schemas.openxmlformats.org/officeDocument/2006/relationships/image" Id="rId94" Target="media/rId94.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78" Target="media/rId7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136"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6"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8"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7"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8" Target="https://paperpile.com/c/Yw05cY/Suhk" TargetMode="External" /><Relationship Type="http://schemas.openxmlformats.org/officeDocument/2006/relationships/hyperlink" Id="rId142"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5" Target="https://paperpile.com/c/Yw05cY/Yzoo" TargetMode="External" /><Relationship Type="http://schemas.openxmlformats.org/officeDocument/2006/relationships/hyperlink" Id="rId144" Target="https://paperpile.com/c/Yw05cY/Yzoo+6IkW" TargetMode="External" /><Relationship Type="http://schemas.openxmlformats.org/officeDocument/2006/relationships/hyperlink" Id="rId143"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9"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7"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1" Target="https://paperpile.com/c/Yw05cY/pbYG+0gp6+rHVd" TargetMode="External" /><Relationship Type="http://schemas.openxmlformats.org/officeDocument/2006/relationships/hyperlink" Id="rId140" Target="https://paperpile.com/c/Yw05cY/pbYG+4Ng6+eEmT+aFtM+e01u+0gp6+Yzoo+rHVd" TargetMode="External" /><Relationship Type="http://schemas.openxmlformats.org/officeDocument/2006/relationships/hyperlink" Id="rId151"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5"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0" Target="https://paperpile.com/c/Yw05cY/ya06"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136"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6"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8"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7"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8" Target="https://paperpile.com/c/Yw05cY/Suhk" TargetMode="External" /><Relationship Type="http://schemas.openxmlformats.org/officeDocument/2006/relationships/hyperlink" Id="rId142"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5" Target="https://paperpile.com/c/Yw05cY/Yzoo" TargetMode="External" /><Relationship Type="http://schemas.openxmlformats.org/officeDocument/2006/relationships/hyperlink" Id="rId144" Target="https://paperpile.com/c/Yw05cY/Yzoo+6IkW" TargetMode="External" /><Relationship Type="http://schemas.openxmlformats.org/officeDocument/2006/relationships/hyperlink" Id="rId143"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9"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7"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1" Target="https://paperpile.com/c/Yw05cY/pbYG+0gp6+rHVd" TargetMode="External" /><Relationship Type="http://schemas.openxmlformats.org/officeDocument/2006/relationships/hyperlink" Id="rId140" Target="https://paperpile.com/c/Yw05cY/pbYG+4Ng6+eEmT+aFtM+e01u+0gp6+Yzoo+rHVd" TargetMode="External" /><Relationship Type="http://schemas.openxmlformats.org/officeDocument/2006/relationships/hyperlink" Id="rId151"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5"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0" Target="https://paperpile.com/c/Yw05cY/ya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2022-05-02T17:51:37Z</dcterms:created>
  <dcterms:modified xsi:type="dcterms:W3CDTF">2022-05-02T17:51:37Z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left=3cm,right=3cm,top=2cm,bottom=2cm</vt:lpwstr>
  </property>
  <property fmtid="{D5CDD505-2E9C-101B-9397-08002B2CF9AE}" pid="3" name="header-includes">
    <vt:lpwstr/>
  </property>
  <property fmtid="{D5CDD505-2E9C-101B-9397-08002B2CF9AE}" pid="4" name="mainfont">
    <vt:lpwstr>Montserrat</vt:lpwstr>
  </property>
  <property fmtid="{D5CDD505-2E9C-101B-9397-08002B2CF9AE}" pid="5" name="output">
    <vt:lpwstr/>
  </property>
  <property fmtid="{D5CDD505-2E9C-101B-9397-08002B2CF9AE}" pid="6" name="subtitle">
    <vt:lpwstr>A detailed analysis of three years of small-scale fisheries catch and effort data in Timor-Leste</vt:lpwstr>
  </property>
  <property fmtid="{D5CDD505-2E9C-101B-9397-08002B2CF9AE}" pid="7" name="urlcolor">
    <vt:lpwstr>myblue</vt:lpwstr>
  </property>
</Properties>
</file>