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86.png" ContentType="image/png"/>
  <Override PartName="/word/media/rId66.png" ContentType="image/png"/>
  <Override PartName="/word/media/rId94.png" ContentType="image/png"/>
  <Override PartName="/word/media/rId121.png" ContentType="image/png"/>
  <Override PartName="/word/media/rId78.png" ContentType="image/png"/>
  <Override PartName="/word/media/rId114.png" ContentType="image/png"/>
  <Override PartName="/word/media/rId117.png" ContentType="image/png"/>
  <Override PartName="/word/media/rId127.png" ContentType="image/png"/>
  <Override PartName="/word/media/rId124.png" ContentType="image/png"/>
  <Override PartName="/word/media/rId108.png" ContentType="image/png"/>
  <Override PartName="/word/media/rId105.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bCs/>
          <w:b/>
        </w:rPr>
        <w:t xml:space="preserve">Authors’ Affiliations</w:t>
      </w:r>
    </w:p>
    <w:p>
      <w:pPr>
        <w:pStyle w:val="BodyText"/>
      </w:pPr>
      <w:r>
        <w:t xml:space="preserve">1 University of Bergen</w:t>
      </w:r>
    </w:p>
    <w:p>
      <w:pPr>
        <w:pStyle w:val="BodyText"/>
      </w:pPr>
      <w:r>
        <w:t xml:space="preserve">2 WorldFish, Penang, Malaysia</w:t>
      </w:r>
    </w:p>
    <w:p>
      <w:pPr>
        <w:pStyle w:val="BodyText"/>
      </w:pPr>
      <w:r>
        <w:t xml:space="preserve">3 Università degli Studi di Ferrara, Italy</w:t>
      </w:r>
    </w:p>
    <w:bookmarkStart w:id="20" w:name="executive-summary"/>
    <w:p>
      <w:pPr>
        <w:pStyle w:val="Heading1"/>
      </w:pPr>
      <w:r>
        <w:rPr>
          <w:bCs/>
          <w:b/>
        </w:rPr>
        <w:t xml:space="preserve">Executive Summary</w:t>
      </w:r>
    </w:p>
    <w:p>
      <w:pPr>
        <w:pStyle w:val="FirstParagraph"/>
      </w:pPr>
      <w:r>
        <w:t xml:space="preserve">Small-scale fisheries (SSF)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 </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 </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 </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 </w:t>
      </w:r>
    </w:p>
    <w:p>
      <w:pPr>
        <w:pStyle w:val="BodyText"/>
      </w:pPr>
      <w:r>
        <w:t xml:space="preserve">…Include average annual catch statistics, description of most productive municipalities, species catch compositions, catch values,   </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 </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 </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 </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 </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@ref(fig:timor_bat)).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 </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83"/>
        <w:gridCol w:w="1584"/>
        <w:gridCol w:w="2772"/>
        <w:gridCol w:w="1881"/>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 </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48"/>
        <w:gridCol w:w="942"/>
        <w:gridCol w:w="754"/>
        <w:gridCol w:w="1037"/>
        <w:gridCol w:w="1367"/>
        <w:gridCol w:w="1461"/>
        <w:gridCol w:w="1508"/>
      </w:tblGrid>
      <w:tr>
        <w:trPr>
          <w:tblHeader w:val="true"/>
        </w:trPr>
        <w:tc>
          <w:tcPr/>
          <w:p>
            <w:pPr>
              <w:pStyle w:val="Compact"/>
              <w:jc w:val="left"/>
            </w:pPr>
            <w:r>
              <w:rPr>
                <w:bCs/>
                <w:b/>
              </w:rPr>
              <w:t xml:space="preserve">Region</w:t>
            </w:r>
          </w:p>
        </w:tc>
        <w:tc>
          <w:tcPr/>
          <w:p>
            <w:pPr>
              <w:pStyle w:val="Compact"/>
              <w:jc w:val="left"/>
            </w:pPr>
            <w:r>
              <w:rPr>
                <w:bCs/>
                <w:b/>
              </w:rPr>
              <w:t xml:space="preserve">Sampled boats</w:t>
            </w:r>
          </w:p>
        </w:tc>
        <w:tc>
          <w:tcPr/>
          <w:p>
            <w:pPr>
              <w:pStyle w:val="Compact"/>
              <w:jc w:val="left"/>
            </w:pPr>
            <w:r>
              <w:rPr>
                <w:bCs/>
                <w:b/>
              </w:rPr>
              <w:t xml:space="preserve">Boat type</w:t>
            </w:r>
          </w:p>
        </w:tc>
        <w:tc>
          <w:tcPr/>
          <w:p>
            <w:pPr>
              <w:pStyle w:val="Compact"/>
              <w:jc w:val="left"/>
            </w:pPr>
            <w:r>
              <w:rPr>
                <w:bCs/>
                <w:b/>
              </w:rPr>
              <w:t xml:space="preserve">Number of boats</w:t>
            </w:r>
          </w:p>
        </w:tc>
        <w:tc>
          <w:tcPr/>
          <w:p>
            <w:pPr>
              <w:pStyle w:val="Compact"/>
              <w:jc w:val="left"/>
            </w:pPr>
            <w:r>
              <w:rPr>
                <w:bCs/>
                <w:b/>
              </w:rPr>
              <w:t xml:space="preserve">Median boat length (m)</w:t>
            </w:r>
          </w:p>
        </w:tc>
        <w:tc>
          <w:tcPr/>
          <w:p>
            <w:pPr>
              <w:jc w:val="left"/>
            </w:pPr>
            <w:r>
              <w:rPr>
                <w:bCs/>
                <w:b/>
              </w:rPr>
              <w:t xml:space="preserve">Boat material</w:t>
            </w:r>
          </w:p>
          <w:p>
            <w:pPr>
              <w:pStyle w:val="Compact"/>
              <w:jc w:val="left"/>
            </w:pPr>
            <w:r>
              <w:rPr>
                <w:bCs/>
                <w:b/>
              </w:rPr>
              <w:t xml:space="preserve">Fibreglass/Wood /Unknown</w:t>
            </w:r>
          </w:p>
        </w:tc>
        <w:tc>
          <w:tcPr/>
          <w:p>
            <w:pPr>
              <w:jc w:val="left"/>
            </w:pPr>
            <w:r>
              <w:rPr>
                <w:bCs/>
                <w:b/>
              </w:rPr>
              <w:t xml:space="preserve">Motor type</w:t>
            </w:r>
          </w:p>
          <w:p>
            <w:pPr>
              <w:pStyle w:val="Compact"/>
              <w:jc w:val="left"/>
            </w:pPr>
            <w:r>
              <w:rPr>
                <w:bCs/>
                <w:b/>
              </w:rPr>
              <w:t xml:space="preserve">Inboard/Outboard /Unknown</w:t>
            </w:r>
          </w:p>
        </w:tc>
      </w:tr>
      <w:tr>
        <w:tc>
          <w:tcPr/>
          <w:p>
            <w:pPr>
              <w:pStyle w:val="Compact"/>
              <w:jc w:val="left"/>
            </w:pPr>
            <w:r>
              <w:rPr>
                <w:bCs/>
                <w:b/>
              </w:rPr>
              <w:t xml:space="preserve">Atauro</w:t>
            </w:r>
          </w:p>
        </w:tc>
        <w:tc>
          <w:tcPr/>
          <w:p>
            <w:pPr>
              <w:pStyle w:val="Compact"/>
              <w:jc w:val="left"/>
            </w:pPr>
            <w:r>
              <w:t xml:space="preserve">89 </w:t>
            </w:r>
          </w:p>
        </w:tc>
        <w:tc>
          <w:tcPr/>
          <w:p>
            <w:pPr>
              <w:pStyle w:val="Compact"/>
              <w:jc w:val="left"/>
            </w:pPr>
            <w:r>
              <w:t xml:space="preserve">Motorboat</w:t>
            </w:r>
          </w:p>
        </w:tc>
        <w:tc>
          <w:tcPr/>
          <w:p>
            <w:pPr>
              <w:pStyle w:val="Compact"/>
              <w:jc w:val="left"/>
            </w:pPr>
            <w:r>
              <w:t xml:space="preserve">48 (54%)</w:t>
            </w:r>
          </w:p>
        </w:tc>
        <w:tc>
          <w:tcPr/>
          <w:p>
            <w:pPr>
              <w:pStyle w:val="Compact"/>
              <w:jc w:val="left"/>
            </w:pPr>
            <w:r>
              <w:t xml:space="preserve">8.0</w:t>
            </w:r>
          </w:p>
        </w:tc>
        <w:tc>
          <w:tcPr/>
          <w:p>
            <w:pPr>
              <w:jc w:val="left"/>
            </w:pPr>
            <w:r>
              <w:t xml:space="preserve">3 (6.3%) /</w:t>
            </w:r>
          </w:p>
          <w:p>
            <w:pPr>
              <w:jc w:val="left"/>
            </w:pPr>
            <w:r>
              <w:t xml:space="preserve">24 (50.0%) /</w:t>
            </w:r>
          </w:p>
          <w:p>
            <w:pPr>
              <w:jc w:val="left"/>
            </w:pPr>
            <w:r>
              <w:t xml:space="preserve">21 (43.7%)</w:t>
            </w:r>
          </w:p>
        </w:tc>
        <w:tc>
          <w:tcPr/>
          <w:p>
            <w:pPr>
              <w:jc w:val="left"/>
            </w:pPr>
            <w:r>
              <w:t xml:space="preserve">2 (4.2%) /</w:t>
            </w:r>
          </w:p>
          <w:p>
            <w:pPr>
              <w:jc w:val="left"/>
            </w:pPr>
            <w:r>
              <w:t xml:space="preserve">46 (95.8%) /</w:t>
            </w:r>
          </w:p>
          <w:p>
            <w:pPr>
              <w:jc w:val="left"/>
            </w:pPr>
            <w:r>
              <w:t xml:space="preserve">0 (0%)</w:t>
            </w:r>
          </w:p>
        </w:tc>
      </w:tr>
      <w:tr>
        <w:tc>
          <w:tcPr/>
          <w:p>
            <w:pPr>
              <w:pStyle w:val="Compact"/>
              <w:jc w:val="left"/>
            </w:pPr>
            <w:r>
              <w:br/>
            </w:r>
          </w:p>
        </w:tc>
        <w:tc>
          <w:tcPr/>
          <w:p>
            <w:pPr>
              <w:pStyle w:val="Compact"/>
              <w:jc w:val="left"/>
            </w:pPr>
            <w:r>
              <w:t xml:space="preserve">Paddle canoes</w:t>
            </w:r>
          </w:p>
        </w:tc>
        <w:tc>
          <w:tcPr/>
          <w:p>
            <w:pPr>
              <w:pStyle w:val="Compact"/>
              <w:jc w:val="left"/>
            </w:pPr>
            <w:r>
              <w:t xml:space="preserve">41 (46%)</w:t>
            </w:r>
          </w:p>
        </w:tc>
        <w:tc>
          <w:tcPr/>
          <w:p>
            <w:pPr>
              <w:pStyle w:val="Compact"/>
              <w:jc w:val="left"/>
            </w:pPr>
            <w:r>
              <w:t xml:space="preserve">5.0</w:t>
            </w:r>
          </w:p>
        </w:tc>
        <w:tc>
          <w:tcPr/>
          <w:p>
            <w:pPr>
              <w:jc w:val="left"/>
            </w:pPr>
            <w:r>
              <w:t xml:space="preserve">1 (2.4%) /</w:t>
            </w:r>
          </w:p>
          <w:p>
            <w:pPr>
              <w:jc w:val="left"/>
            </w:pPr>
            <w:r>
              <w:t xml:space="preserve">31 (75.6%) / </w:t>
            </w:r>
          </w:p>
          <w:p>
            <w:pPr>
              <w:jc w:val="left"/>
            </w:pPr>
            <w:r>
              <w:t xml:space="preserve">9 (22.0%)</w:t>
            </w:r>
          </w:p>
        </w:tc>
        <w:tc>
          <w:tcPr/>
          <w:p>
            <w:pPr>
              <w:pStyle w:val="Compact"/>
              <w:jc w:val="left"/>
            </w:pPr>
            <w:r>
              <w:t xml:space="preserve">NA</w:t>
            </w:r>
          </w:p>
        </w:tc>
        <w:tc>
          <w:tcPr/>
          <w:p>
            <w:pPr>
              <w:pStyle w:val="Compact"/>
            </w:pPr>
          </w:p>
        </w:tc>
      </w:tr>
      <w:tr>
        <w:tc>
          <w:tcPr/>
          <w:p>
            <w:pPr>
              <w:pStyle w:val="Compact"/>
              <w:jc w:val="left"/>
            </w:pPr>
            <w:r>
              <w:rPr>
                <w:bCs/>
                <w:b/>
              </w:rPr>
              <w:t xml:space="preserve">North Coast</w:t>
            </w:r>
          </w:p>
        </w:tc>
        <w:tc>
          <w:tcPr/>
          <w:p>
            <w:pPr>
              <w:pStyle w:val="Compact"/>
              <w:jc w:val="left"/>
            </w:pPr>
            <w:r>
              <w:t xml:space="preserve">129 </w:t>
            </w:r>
          </w:p>
        </w:tc>
        <w:tc>
          <w:tcPr/>
          <w:p>
            <w:pPr>
              <w:pStyle w:val="Compact"/>
              <w:jc w:val="left"/>
            </w:pPr>
            <w:r>
              <w:t xml:space="preserve">Motorboat</w:t>
            </w:r>
          </w:p>
        </w:tc>
        <w:tc>
          <w:tcPr/>
          <w:p>
            <w:pPr>
              <w:pStyle w:val="Compact"/>
              <w:jc w:val="left"/>
            </w:pPr>
            <w:r>
              <w:t xml:space="preserve">103 (80%)</w:t>
            </w:r>
          </w:p>
        </w:tc>
        <w:tc>
          <w:tcPr/>
          <w:p>
            <w:pPr>
              <w:pStyle w:val="Compact"/>
              <w:jc w:val="left"/>
            </w:pPr>
            <w:r>
              <w:t xml:space="preserve">6.0</w:t>
            </w:r>
          </w:p>
        </w:tc>
        <w:tc>
          <w:tcPr/>
          <w:p>
            <w:pPr>
              <w:jc w:val="left"/>
            </w:pPr>
            <w:r>
              <w:t xml:space="preserve">34 (33.0%) /</w:t>
            </w:r>
          </w:p>
          <w:p>
            <w:pPr>
              <w:jc w:val="left"/>
            </w:pPr>
            <w:r>
              <w:t xml:space="preserve">55 (53.4%) / </w:t>
            </w:r>
          </w:p>
          <w:p>
            <w:pPr>
              <w:jc w:val="left"/>
            </w:pPr>
            <w:r>
              <w:t xml:space="preserve">14 (13.6%)</w:t>
            </w:r>
          </w:p>
        </w:tc>
        <w:tc>
          <w:tcPr/>
          <w:p>
            <w:pPr>
              <w:jc w:val="left"/>
            </w:pPr>
            <w:r>
              <w:t xml:space="preserve">35 (34.0%) /</w:t>
            </w:r>
          </w:p>
          <w:p>
            <w:pPr>
              <w:jc w:val="left"/>
            </w:pPr>
            <w:r>
              <w:t xml:space="preserve">57 (55.3%) /</w:t>
            </w:r>
          </w:p>
          <w:p>
            <w:pPr>
              <w:jc w:val="left"/>
            </w:pPr>
            <w:r>
              <w:t xml:space="preserve">11 (10.7%)</w:t>
            </w:r>
          </w:p>
        </w:tc>
      </w:tr>
      <w:tr>
        <w:tc>
          <w:tcPr/>
          <w:p>
            <w:pPr>
              <w:pStyle w:val="Compact"/>
              <w:jc w:val="left"/>
            </w:pPr>
            <w:r>
              <w:br/>
            </w:r>
          </w:p>
        </w:tc>
        <w:tc>
          <w:tcPr/>
          <w:p>
            <w:pPr>
              <w:pStyle w:val="Compact"/>
              <w:jc w:val="left"/>
            </w:pPr>
            <w:r>
              <w:t xml:space="preserve">Paddle canoes</w:t>
            </w:r>
          </w:p>
        </w:tc>
        <w:tc>
          <w:tcPr/>
          <w:p>
            <w:pPr>
              <w:pStyle w:val="Compact"/>
              <w:jc w:val="left"/>
            </w:pPr>
            <w:r>
              <w:t xml:space="preserve">26 (20%)</w:t>
            </w:r>
          </w:p>
        </w:tc>
        <w:tc>
          <w:tcPr/>
          <w:p>
            <w:pPr>
              <w:pStyle w:val="Compact"/>
              <w:jc w:val="left"/>
            </w:pPr>
            <w:r>
              <w:t xml:space="preserve">4.5</w:t>
            </w:r>
          </w:p>
        </w:tc>
        <w:tc>
          <w:tcPr/>
          <w:p>
            <w:pPr>
              <w:jc w:val="left"/>
            </w:pPr>
            <w:r>
              <w:t xml:space="preserve">0 (0%) /</w:t>
            </w:r>
          </w:p>
          <w:p>
            <w:pPr>
              <w:jc w:val="left"/>
            </w:pPr>
            <w:r>
              <w:t xml:space="preserve">21 (80.8%) /</w:t>
            </w:r>
          </w:p>
          <w:p>
            <w:pPr>
              <w:jc w:val="left"/>
            </w:pPr>
            <w:r>
              <w:t xml:space="preserve">5 (19.2%)</w:t>
            </w:r>
          </w:p>
        </w:tc>
        <w:tc>
          <w:tcPr/>
          <w:p>
            <w:pPr>
              <w:pStyle w:val="Compact"/>
              <w:jc w:val="left"/>
            </w:pPr>
            <w:r>
              <w:t xml:space="preserve">NA</w:t>
            </w:r>
          </w:p>
        </w:tc>
        <w:tc>
          <w:tcPr/>
          <w:p>
            <w:pPr>
              <w:pStyle w:val="Compact"/>
            </w:pPr>
          </w:p>
        </w:tc>
      </w:tr>
      <w:tr>
        <w:tc>
          <w:tcPr/>
          <w:p>
            <w:pPr>
              <w:pStyle w:val="Compact"/>
              <w:jc w:val="left"/>
            </w:pPr>
            <w:r>
              <w:rPr>
                <w:bCs/>
                <w:b/>
              </w:rPr>
              <w:t xml:space="preserve">South Coast</w:t>
            </w:r>
          </w:p>
        </w:tc>
        <w:tc>
          <w:tcPr/>
          <w:p>
            <w:pPr>
              <w:pStyle w:val="Compact"/>
              <w:jc w:val="left"/>
            </w:pPr>
            <w:r>
              <w:t xml:space="preserve">105 </w:t>
            </w:r>
          </w:p>
        </w:tc>
        <w:tc>
          <w:tcPr/>
          <w:p>
            <w:pPr>
              <w:pStyle w:val="Compact"/>
              <w:jc w:val="left"/>
            </w:pPr>
            <w:r>
              <w:t xml:space="preserve">Motorboat</w:t>
            </w:r>
          </w:p>
        </w:tc>
        <w:tc>
          <w:tcPr/>
          <w:p>
            <w:pPr>
              <w:pStyle w:val="Compact"/>
              <w:jc w:val="left"/>
            </w:pPr>
            <w:r>
              <w:t xml:space="preserve">30 (29%)</w:t>
            </w:r>
          </w:p>
        </w:tc>
        <w:tc>
          <w:tcPr/>
          <w:p>
            <w:pPr>
              <w:pStyle w:val="Compact"/>
              <w:jc w:val="left"/>
            </w:pPr>
            <w:r>
              <w:t xml:space="preserve">5.0</w:t>
            </w:r>
          </w:p>
        </w:tc>
        <w:tc>
          <w:tcPr/>
          <w:p>
            <w:pPr>
              <w:jc w:val="left"/>
            </w:pPr>
            <w:r>
              <w:t xml:space="preserve">4 (13.3%) /</w:t>
            </w:r>
          </w:p>
          <w:p>
            <w:pPr>
              <w:jc w:val="left"/>
            </w:pPr>
            <w:r>
              <w:t xml:space="preserve">20 (66.7%) /</w:t>
            </w:r>
          </w:p>
          <w:p>
            <w:pPr>
              <w:jc w:val="left"/>
            </w:pPr>
            <w:r>
              <w:t xml:space="preserve">6 (20%)</w:t>
            </w:r>
          </w:p>
        </w:tc>
        <w:tc>
          <w:tcPr/>
          <w:p>
            <w:pPr>
              <w:jc w:val="left"/>
            </w:pPr>
            <w:r>
              <w:t xml:space="preserve">12 (40.0%) /</w:t>
            </w:r>
          </w:p>
          <w:p>
            <w:pPr>
              <w:jc w:val="left"/>
            </w:pPr>
            <w:r>
              <w:t xml:space="preserve">14 (46.7%) /</w:t>
            </w:r>
          </w:p>
          <w:p>
            <w:pPr>
              <w:jc w:val="left"/>
            </w:pPr>
            <w:r>
              <w:t xml:space="preserve">4 (13.3%)</w:t>
            </w:r>
          </w:p>
        </w:tc>
      </w:tr>
      <w:tr>
        <w:tc>
          <w:tcPr/>
          <w:p>
            <w:pPr>
              <w:pStyle w:val="Compact"/>
              <w:jc w:val="left"/>
            </w:pPr>
            <w:r>
              <w:br/>
            </w:r>
          </w:p>
        </w:tc>
        <w:tc>
          <w:tcPr/>
          <w:p>
            <w:pPr>
              <w:pStyle w:val="Compact"/>
              <w:jc w:val="left"/>
            </w:pPr>
            <w:r>
              <w:t xml:space="preserve">Paddle canoes</w:t>
            </w:r>
          </w:p>
        </w:tc>
        <w:tc>
          <w:tcPr/>
          <w:p>
            <w:pPr>
              <w:pStyle w:val="Compact"/>
              <w:jc w:val="left"/>
            </w:pPr>
            <w:r>
              <w:t xml:space="preserve">75 (71%)</w:t>
            </w:r>
          </w:p>
        </w:tc>
        <w:tc>
          <w:tcPr/>
          <w:p>
            <w:pPr>
              <w:pStyle w:val="Compact"/>
              <w:jc w:val="left"/>
            </w:pPr>
            <w:r>
              <w:t xml:space="preserve">4.0</w:t>
            </w:r>
          </w:p>
        </w:tc>
        <w:tc>
          <w:tcPr/>
          <w:p>
            <w:pPr>
              <w:jc w:val="left"/>
            </w:pPr>
            <w:r>
              <w:t xml:space="preserve">0 (0%) /</w:t>
            </w:r>
          </w:p>
          <w:p>
            <w:pPr>
              <w:jc w:val="left"/>
            </w:pPr>
            <w:r>
              <w:t xml:space="preserve">65 (86.7%) /</w:t>
            </w:r>
          </w:p>
          <w:p>
            <w:pPr>
              <w:jc w:val="left"/>
            </w:pPr>
            <w:r>
              <w:t xml:space="preserve">10 (13.3%)</w:t>
            </w:r>
          </w:p>
        </w:tc>
        <w:tc>
          <w:tcPr/>
          <w:p>
            <w:pPr>
              <w:pStyle w:val="Compact"/>
              <w:jc w:val="left"/>
            </w:pPr>
            <w:r>
              <w:t xml:space="preserve">NA</w:t>
            </w:r>
          </w:p>
        </w:tc>
        <w:tc>
          <w:tcPr/>
          <w:p>
            <w:pPr>
              <w:pStyle w:val="Compact"/>
            </w:pPr>
          </w:p>
        </w:tc>
      </w:tr>
      <w:tr>
        <w:tc>
          <w:tcPr/>
          <w:p>
            <w:pPr>
              <w:pStyle w:val="Compact"/>
              <w:jc w:val="left"/>
            </w:pPr>
            <w:r>
              <w:rPr>
                <w:bCs/>
                <w:b/>
              </w:rPr>
              <w:t xml:space="preserve">Total</w:t>
            </w:r>
          </w:p>
        </w:tc>
        <w:tc>
          <w:tcPr/>
          <w:p>
            <w:pPr>
              <w:pStyle w:val="Compact"/>
              <w:jc w:val="left"/>
            </w:pPr>
            <w:r>
              <w:t xml:space="preserve">323 </w:t>
            </w:r>
          </w:p>
        </w:tc>
        <w:tc>
          <w:tcPr/>
          <w:p>
            <w:pPr>
              <w:pStyle w:val="Compact"/>
              <w:jc w:val="left"/>
            </w:pPr>
            <w:r>
              <w:t xml:space="preserve">Motorboat</w:t>
            </w:r>
          </w:p>
        </w:tc>
        <w:tc>
          <w:tcPr/>
          <w:p>
            <w:pPr>
              <w:pStyle w:val="Compact"/>
              <w:jc w:val="left"/>
            </w:pPr>
            <w:r>
              <w:t xml:space="preserve">181 (56%)</w:t>
            </w:r>
          </w:p>
        </w:tc>
        <w:tc>
          <w:tcPr/>
          <w:p>
            <w:pPr>
              <w:pStyle w:val="Compact"/>
              <w:jc w:val="left"/>
            </w:pPr>
            <w:r>
              <w:t xml:space="preserve">6.5</w:t>
            </w:r>
          </w:p>
        </w:tc>
        <w:tc>
          <w:tcPr/>
          <w:p>
            <w:pPr>
              <w:jc w:val="left"/>
            </w:pPr>
            <w:r>
              <w:t xml:space="preserve">41 (22.3%) /</w:t>
            </w:r>
          </w:p>
          <w:p>
            <w:pPr>
              <w:jc w:val="left"/>
            </w:pPr>
            <w:r>
              <w:t xml:space="preserve">99 (53.8%) / </w:t>
            </w:r>
          </w:p>
          <w:p>
            <w:pPr>
              <w:jc w:val="left"/>
            </w:pPr>
            <w:r>
              <w:t xml:space="preserve">44 (23.9%)</w:t>
            </w:r>
          </w:p>
        </w:tc>
        <w:tc>
          <w:tcPr/>
          <w:p>
            <w:pPr>
              <w:jc w:val="left"/>
            </w:pPr>
            <w:r>
              <w:t xml:space="preserve">49 (26.6%) / </w:t>
            </w:r>
          </w:p>
          <w:p>
            <w:pPr>
              <w:jc w:val="left"/>
            </w:pPr>
            <w:r>
              <w:t xml:space="preserve">117 (63.6%) / </w:t>
            </w:r>
          </w:p>
          <w:p>
            <w:pPr>
              <w:jc w:val="left"/>
            </w:pPr>
            <w:r>
              <w:t xml:space="preserve">18 (9.8%)</w:t>
            </w:r>
          </w:p>
        </w:tc>
      </w:tr>
      <w:tr>
        <w:tc>
          <w:tcPr/>
          <w:p>
            <w:pPr>
              <w:pStyle w:val="Compact"/>
              <w:jc w:val="left"/>
            </w:pPr>
            <w:r>
              <w:br/>
            </w:r>
          </w:p>
        </w:tc>
        <w:tc>
          <w:tcPr/>
          <w:p>
            <w:pPr>
              <w:pStyle w:val="Compact"/>
              <w:jc w:val="left"/>
            </w:pPr>
            <w:r>
              <w:t xml:space="preserve">Paddle canoes</w:t>
            </w:r>
          </w:p>
        </w:tc>
        <w:tc>
          <w:tcPr/>
          <w:p>
            <w:pPr>
              <w:pStyle w:val="Compact"/>
              <w:jc w:val="left"/>
            </w:pPr>
            <w:r>
              <w:t xml:space="preserve">142 (44%)</w:t>
            </w:r>
          </w:p>
        </w:tc>
        <w:tc>
          <w:tcPr/>
          <w:p>
            <w:pPr>
              <w:pStyle w:val="Compact"/>
              <w:jc w:val="left"/>
            </w:pPr>
            <w:r>
              <w:t xml:space="preserve">4.0</w:t>
            </w:r>
          </w:p>
        </w:tc>
        <w:tc>
          <w:tcPr/>
          <w:p>
            <w:pPr>
              <w:jc w:val="left"/>
            </w:pPr>
            <w:r>
              <w:t xml:space="preserve">1 (0.7%) /</w:t>
            </w:r>
          </w:p>
          <w:p>
            <w:pPr>
              <w:jc w:val="left"/>
            </w:pPr>
            <w:r>
              <w:t xml:space="preserve">117 (82.4%) /</w:t>
            </w:r>
          </w:p>
          <w:p>
            <w:pPr>
              <w:jc w:val="left"/>
            </w:pPr>
            <w:r>
              <w:t xml:space="preserve">24 (16.9%)</w:t>
            </w:r>
          </w:p>
        </w:tc>
        <w:tc>
          <w:tcPr/>
          <w:p>
            <w:pPr>
              <w:pStyle w:val="Compact"/>
              <w:jc w:val="left"/>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Atauro island (fig. </w:t>
      </w:r>
      <w:r>
        <w:t xml:space="preserve">0.5</w:t>
      </w:r>
      <w:r>
        <w:t xml:space="preserve">) as well as the gear that catches the highest percentage of the catch in weight (64% and 88%, respectively) and numbers (71% and 96%, respectively). Spear guns, seine nets and hand lines also play a part in the fishery of Atauro island, collectively yielding 32% of the total weight of the catch and 28% of the total catch in numbers. The fishery of the north coast is also dominated by gill nets, catching 88% of the total catch in weight and 96% of the total catch in numbers. Hand lines are used somewhat frequently, but only results in a small part of the yield. On the south coast long lines are the most frequently used gear, catching 73% of the total catch in weight and 51% of the total catch in numbers. In addition, 14% and 10% of the total catch in weight and 18% and 27%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2"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77"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bookmarkEnd w:id="77"/>
    <w:bookmarkStart w:id="81"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0.7</w:t>
      </w:r>
      <w:r>
        <w:t xml:space="preserve">a). The trip effort mostly ranges between two to ten fisher-hours, with some peaks reaching up to 28 fisher-hours. There seems to be no change in trip effort over time for Atauro island and the north coast, while the south coast shows a slight increase (fig. </w:t>
      </w:r>
      <w:r>
        <w:t xml:space="preserve">0.7</w:t>
      </w:r>
      <w:r>
        <w:t xml:space="preserve">b).</w:t>
      </w:r>
    </w:p>
    <w:p>
      <w:pPr>
        <w:pStyle w:val="CaptionedFigure"/>
      </w:pPr>
      <w:r>
        <w:drawing>
          <wp:inline>
            <wp:extent cx="5334000" cy="5744307"/>
            <wp:effectExtent b="0" l="0" r="0" t="0"/>
            <wp:docPr descr="Figure 0.7: Mean trip effort. The mean effort (fishermen * hours) of a fishing trip in Atauro island (grey), north coast (red) and south coast (light blue)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 title="" id="79" name="Picture"/>
            <a:graphic>
              <a:graphicData uri="http://schemas.openxmlformats.org/drawingml/2006/picture">
                <pic:pic>
                  <pic:nvPicPr>
                    <pic:cNvPr descr="/Users/lore/My%20Drive/WorldFish/timor.report/inst/timor_report_files/figure-docx/TripEffort-1.png" id="80" name="Picture"/>
                    <pic:cNvPicPr>
                      <a:picLocks noChangeArrowheads="1" noChangeAspect="1"/>
                    </pic:cNvPicPr>
                  </pic:nvPicPr>
                  <pic:blipFill>
                    <a:blip r:embed="rId7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w:t>
      </w:r>
    </w:p>
    <w:bookmarkEnd w:id="81"/>
    <w:bookmarkStart w:id="85"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  </w:t>
      </w:r>
    </w:p>
    <w:p>
      <w:pPr>
        <w:pStyle w:val="BodyText"/>
      </w:pPr>
      <w:r>
        <w:t xml:space="preserve">The CPUE (kg) of Atauro island and the north coast are quite similar, whereas the north coast has more high peaks (fig. </w:t>
      </w:r>
      <w:r>
        <w:t xml:space="preserve">0.8</w:t>
      </w:r>
      <w:r>
        <w:t xml:space="preserve">). The south coast appears to generally have a lower CPUE (kg) than Atauro island and the north coast. The CPUE (kg) of Atauro island seems to increase over time. The north and south coast show no apparent change of CPUE over time.</w:t>
      </w:r>
    </w:p>
    <w:p>
      <w:pPr>
        <w:pStyle w:val="BodyText"/>
      </w:pPr>
      <w:r>
        <w:br/>
      </w:r>
    </w:p>
    <w:p>
      <w:pPr>
        <w:pStyle w:val="CaptionedFigure"/>
      </w:pPr>
      <w:r>
        <w:drawing>
          <wp:inline>
            <wp:extent cx="5334000" cy="5744307"/>
            <wp:effectExtent b="0" l="0" r="0" t="0"/>
            <wp:docPr descr="Figure 0.8: Mean CPUE. 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83" name="Picture"/>
            <a:graphic>
              <a:graphicData uri="http://schemas.openxmlformats.org/drawingml/2006/picture">
                <pic:pic>
                  <pic:nvPicPr>
                    <pic:cNvPr descr="/Users/lore/My%20Drive/WorldFish/timor.report/inst/timor_report_files/figure-docx/CatchEffort-1.png" id="84" name="Picture"/>
                    <pic:cNvPicPr>
                      <a:picLocks noChangeArrowheads="1" noChangeAspect="1"/>
                    </pic:cNvPicPr>
                  </pic:nvPicPr>
                  <pic:blipFill>
                    <a:blip r:embed="rId8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bookmarkEnd w:id="85"/>
    <w:bookmarkStart w:id="98"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 large demersal, shark and rays, crustaceans, shrimp, cephalopods, molluscs and unknown (See Appendix B for a detailed list of the species classification).</w:t>
      </w:r>
      <w:r>
        <w:br/>
      </w:r>
      <w:r>
        <w:br/>
      </w:r>
      <w:r>
        <w:t xml:space="preserve">Atauro island shows the most diverse catch composition of the three sampling regions (fig. </w:t>
      </w:r>
      <w:r>
        <w:t xml:space="preserve">0.9</w:t>
      </w:r>
      <w:r>
        <w:t xml:space="preserve">). It is dominated by small pelagics in weight and numbers, while small demersal are the most frequently caught. The catch composition of the north and the south coast are both dominated by small pelagic species. In the south coast the large pelagics are also caught relatively frequently (33%) and contribute to 31% of the weight of the catch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0.10</w:t>
      </w:r>
      <w:r>
        <w:t xml:space="preserve">). The weight of the catch of the hand line is dominated by large pelagics and large demersal,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p>
      <w:pPr>
        <w:pStyle w:val="BodyText"/>
      </w:pPr>
      <w:r>
        <w:br/>
      </w:r>
    </w:p>
    <w:bookmarkStart w:id="89"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9: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87" name="Picture"/>
            <a:graphic>
              <a:graphicData uri="http://schemas.openxmlformats.org/drawingml/2006/picture">
                <pic:pic>
                  <pic:nvPicPr>
                    <pic:cNvPr descr="/Users/lore/My%20Drive/WorldFish/timor.report/inst/timor_report_files/figure-docx/IRIFishGroups-1.png" id="88" name="Picture"/>
                    <pic:cNvPicPr>
                      <a:picLocks noChangeArrowheads="1" noChangeAspect="1"/>
                    </pic:cNvPicPr>
                  </pic:nvPicPr>
                  <pic:blipFill>
                    <a:blip r:embed="rId8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89"/>
    <w:bookmarkStart w:id="93"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0: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1" name="Picture"/>
            <a:graphic>
              <a:graphicData uri="http://schemas.openxmlformats.org/drawingml/2006/picture">
                <pic:pic>
                  <pic:nvPicPr>
                    <pic:cNvPr descr="/Users/lore/My%20Drive/WorldFish/timor.report/inst/timor_report_files/figure-docx/IRIFishGear-1.png" id="92" name="Picture"/>
                    <pic:cNvPicPr>
                      <a:picLocks noChangeArrowheads="1" noChangeAspect="1"/>
                    </pic:cNvPicPr>
                  </pic:nvPicPr>
                  <pic:blipFill>
                    <a:blip r:embed="rId9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3"/>
    <w:bookmarkStart w:id="97"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the cephalopods caught on Atauro island appear to be marginally bigger than on the north and south coast, whereas the large demersal caught on the south coast seem slightly bigger than on Atauro island and the north coast (fig. </w:t>
      </w:r>
      <w:r>
        <w:t xml:space="preserve">0.11</w:t>
      </w:r>
      <w:r>
        <w:t xml:space="preserve">).</w:t>
      </w:r>
    </w:p>
    <w:p>
      <w:pPr>
        <w:pStyle w:val="CaptionedFigure"/>
      </w:pPr>
      <w:r>
        <w:drawing>
          <wp:inline>
            <wp:extent cx="5334000" cy="5334000"/>
            <wp:effectExtent b="0" l="0" r="0" t="0"/>
            <wp:docPr descr="Figure 0.11: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5" name="Picture"/>
            <a:graphic>
              <a:graphicData uri="http://schemas.openxmlformats.org/drawingml/2006/picture">
                <pic:pic>
                  <pic:nvPicPr>
                    <pic:cNvPr descr="/Users/lore/My%20Drive/WorldFish/timor.report/inst/timor_report_files/figure-docx/LengthArea-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97"/>
    <w:bookmarkEnd w:id="98"/>
    <w:bookmarkStart w:id="101"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99">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99">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0">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 </w:t>
      </w:r>
    </w:p>
    <w:p>
      <w:pPr>
        <w:pStyle w:val="BodyText"/>
      </w:pPr>
      <w:r>
        <w:br/>
      </w:r>
    </w:p>
    <w:bookmarkEnd w:id="101"/>
    <w:bookmarkStart w:id="111"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estimated total monthly landings in all three regions, with the strongest trend seen in the south coast (fig. </w:t>
      </w:r>
      <w:r>
        <w:t xml:space="preserve">0.12</w:t>
      </w:r>
      <w:r>
        <w:t xml:space="preserve">; fig. </w:t>
      </w:r>
      <w:r>
        <w:t xml:space="preserve">0.13</w:t>
      </w:r>
      <w:r>
        <w:t xml:space="preserve">). The total number of trips per week decreased around April/May and increased again around September/October.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2">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3">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04">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2: Seasonality of trips per week Box plots of the estimated number of trips per week for every month (2018-2021) for Atauro island, north coast, and south coast. The y-axis has a free scale for each region. The dashed line shows a loess regression with 95% confidence intervals." title="" id="106" name="Picture"/>
            <a:graphic>
              <a:graphicData uri="http://schemas.openxmlformats.org/drawingml/2006/picture">
                <pic:pic>
                  <pic:nvPicPr>
                    <pic:cNvPr descr="/Users/lore/My%20Drive/WorldFish/timor.report/inst/timor_report_files/figure-docx/WeekTrips-1.png" id="107" name="Picture"/>
                    <pic:cNvPicPr>
                      <a:picLocks noChangeArrowheads="1" noChangeAspect="1"/>
                    </pic:cNvPicPr>
                  </pic:nvPicPr>
                  <pic:blipFill>
                    <a:blip r:embed="rId105"/>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3: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09" name="Picture"/>
            <a:graphic>
              <a:graphicData uri="http://schemas.openxmlformats.org/drawingml/2006/picture">
                <pic:pic>
                  <pic:nvPicPr>
                    <pic:cNvPr descr="/Users/lore/My%20Drive/WorldFish/timor.report/inst/timor_report_files/figure-docx/WeekCatch-1.png" id="110" name="Picture"/>
                    <pic:cNvPicPr>
                      <a:picLocks noChangeArrowheads="1" noChangeAspect="1"/>
                    </pic:cNvPicPr>
                  </pic:nvPicPr>
                  <pic:blipFill>
                    <a:blip r:embed="rId108"/>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1"/>
    <w:bookmarkEnd w:id="112"/>
    <w:bookmarkStart w:id="131" w:name="market"/>
    <w:p>
      <w:pPr>
        <w:pStyle w:val="Heading1"/>
      </w:pPr>
      <w:r>
        <w:rPr>
          <w:rStyle w:val="SectionNumber"/>
        </w:rPr>
        <w:t xml:space="preserve">5</w:t>
      </w:r>
      <w:r>
        <w:tab/>
      </w:r>
      <w:r>
        <w:t xml:space="preserve">Market</w:t>
      </w:r>
    </w:p>
    <w:bookmarkStart w:id="120"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3">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96.2% of the sampled catch on Atauro island is sold on the market, 3.4% is kept for own consumption and 0.4% is used for both (fig. </w:t>
      </w:r>
      <w:r>
        <w:t xml:space="preserve">5.1</w:t>
      </w:r>
      <w:r>
        <w:t xml:space="preserve">). On the north coast, 56.5% goes to the market, 1.8% is used for own consumption and 41.7% is used for both. On the south coast 91.7% is sold on the market, 2.0% is kept for own consumption and 6.3% is used for both. 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 </w:t>
      </w:r>
    </w:p>
    <w:p>
      <w:pPr>
        <w:pStyle w:val="BodyText"/>
      </w:pPr>
      <w:r>
        <w:t xml:space="preserve">Most of the fish being kept for own consumption are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 </w:t>
      </w:r>
    </w:p>
    <w:p>
      <w:pPr>
        <w:pStyle w:val="BodyText"/>
      </w:pPr>
      <w:r>
        <w:br/>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September 2016 to March 2021. The dotted red line signifies the start of the COVID-19 lockdown on 28 March 2020. The y-axis has free scaling." title="" id="115" name="Picture"/>
            <a:graphic>
              <a:graphicData uri="http://schemas.openxmlformats.org/drawingml/2006/picture">
                <pic:pic>
                  <pic:nvPicPr>
                    <pic:cNvPr descr="/Users/lore/My%20Drive/WorldFish/timor.report/inst/timor_report_files/figure-docx/Usage-1.png" id="116" name="Picture"/>
                    <pic:cNvPicPr>
                      <a:picLocks noChangeArrowheads="1" noChangeAspect="1"/>
                    </pic:cNvPicPr>
                  </pic:nvPicPr>
                  <pic:blipFill>
                    <a:blip r:embed="rId11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September 2016 to March 2021. The dotted red line signifies the start of the COVID-19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18" name="Picture"/>
            <a:graphic>
              <a:graphicData uri="http://schemas.openxmlformats.org/drawingml/2006/picture">
                <pic:pic>
                  <pic:nvPicPr>
                    <pic:cNvPr descr="/Users/lore/My%20Drive/WorldFish/timor.report/inst/timor_report_files/figure-docx/UsageProp-1.png" id="119" name="Picture"/>
                    <pic:cNvPicPr>
                      <a:picLocks noChangeArrowheads="1" noChangeAspect="1"/>
                    </pic:cNvPicPr>
                  </pic:nvPicPr>
                  <pic:blipFill>
                    <a:blip r:embed="rId117"/>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BodyText"/>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 Entries without any information on the destination of the catch are shown in red.](/Users/lore/My Drive/WorldFish/timor.report/inst/timor_report_files/figure-docx/LengthUsage-1.png)</w:t>
      </w:r>
    </w:p>
    <w:bookmarkEnd w:id="120"/>
    <w:bookmarkStart w:id="130"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 </w:t>
      </w:r>
    </w:p>
    <w:p>
      <w:pPr>
        <w:pStyle w:val="BodyText"/>
      </w:pPr>
      <w:r>
        <w:br/>
      </w: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where the weight of the catch consisted of at least 95% of one functional group. The assumption was made that the 5% weight of the other species or functional group in the catch was negligible with respect to the market value of the entire catch of that fishing trip.</w:t>
      </w:r>
    </w:p>
    <w:p>
      <w:pPr>
        <w:pStyle w:val="BodyText"/>
      </w:pPr>
      <w:r>
        <w:t xml:space="preserve">This considering, the large pelagics and large demersal yield the highest price (USD) per kg Of the different functional groups (fig. </w:t>
      </w:r>
      <w:r>
        <w:t xml:space="preserve">5.6</w:t>
      </w:r>
      <w:r>
        <w:t xml:space="preserve">). The cephalopods bring in the lowest price per kg, followed by the small pelagics and small demersal. As larger-sized fish look more appetising and are more in demand, it makes sense that they would sell for the highest price per kg. </w:t>
      </w:r>
    </w:p>
    <w:p>
      <w:pPr>
        <w:pStyle w:val="BodyText"/>
      </w:pPr>
      <w:r>
        <w:br/>
      </w:r>
      <w:r>
        <w:t xml:space="preserve">The selling price (in USD) per kg of the catch is highest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3">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uly 2019 to April 2021. The error bars represent the standard error. The dashed line shows the linear regression with 95% confidence intervals for each region. The dotted red line signifies the start of the COVID-19 lockdown on 28 March 2020." title="" id="122" name="Picture"/>
            <a:graphic>
              <a:graphicData uri="http://schemas.openxmlformats.org/drawingml/2006/picture">
                <pic:pic>
                  <pic:nvPicPr>
                    <pic:cNvPr descr="/Users/lore/My%20Drive/WorldFish/timor.report/inst/timor_report_files/figure-docx/MarketValue-1.png" id="123" name="Picture"/>
                    <pic:cNvPicPr>
                      <a:picLocks noChangeArrowheads="1" noChangeAspect="1"/>
                    </pic:cNvPicPr>
                  </pic:nvPicPr>
                  <pic:blipFill>
                    <a:blip r:embed="rId121"/>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July 2019 to April 2021. The error bars represent the standard error. The dashed line shows the linear regression with 95% confidence intervals for each region. The dotted red line signifies the start of the COVID-19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 title="" id="125" name="Picture"/>
            <a:graphic>
              <a:graphicData uri="http://schemas.openxmlformats.org/drawingml/2006/picture">
                <pic:pic>
                  <pic:nvPicPr>
                    <pic:cNvPr descr="/Users/lore/My%20Drive/WorldFish/timor.report/inst/timor_report_files/figure-docx/ValueGear-1.png" id="126" name="Picture"/>
                    <pic:cNvPicPr>
                      <a:picLocks noChangeArrowheads="1" noChangeAspect="1"/>
                    </pic:cNvPicPr>
                  </pic:nvPicPr>
                  <pic:blipFill>
                    <a:blip r:embed="rId124"/>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uly 2019 to April 2021. The error bars represent the standard error. The y-axis has free scaling for every functional group. The dotted red line signifies the start of the COVID-19 lockdown on 28 March 2020." title="" id="128" name="Picture"/>
            <a:graphic>
              <a:graphicData uri="http://schemas.openxmlformats.org/drawingml/2006/picture">
                <pic:pic>
                  <pic:nvPicPr>
                    <pic:cNvPr descr="/Users/lore/My%20Drive/WorldFish/timor.report/inst/timor_report_files/figure-docx/ValueFish-1.png" id="129" name="Picture"/>
                    <pic:cNvPicPr>
                      <a:picLocks noChangeArrowheads="1" noChangeAspect="1"/>
                    </pic:cNvPicPr>
                  </pic:nvPicPr>
                  <pic:blipFill>
                    <a:blip r:embed="rId12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July 2019 to April 2021. The error bars represent the standard error. The y-axis has free scaling for every functional group. The dotted red line signifies the start of the COVID-19 lockdown on 28 March 2020.</w:t>
      </w:r>
    </w:p>
    <w:bookmarkEnd w:id="130"/>
    <w:bookmarkEnd w:id="131"/>
    <w:bookmarkStart w:id="146"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32">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33">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34">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35">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36">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37">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38">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39">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0">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41">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42">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43">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44">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45">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45">
        <w:r>
          <w:rPr>
            <w:rStyle w:val="Hyperlink"/>
          </w:rPr>
          <w:t xml:space="preserve">(Timor-Leste Department of Food Security et al., 2020)</w:t>
        </w:r>
      </w:hyperlink>
      <w:r>
        <w:t xml:space="preserve">.</w:t>
      </w:r>
    </w:p>
    <w:bookmarkEnd w:id="146"/>
    <w:bookmarkStart w:id="150" w:name="conclusion"/>
    <w:p>
      <w:pPr>
        <w:pStyle w:val="Heading1"/>
      </w:pPr>
      <w:r>
        <w:rPr>
          <w:rStyle w:val="SectionNumber"/>
        </w:rPr>
        <w:t xml:space="preserve">7</w:t>
      </w:r>
      <w:r>
        <w:tab/>
      </w:r>
      <w:r>
        <w:rPr>
          <w:bCs/>
          <w:b/>
        </w:rPr>
        <w:t xml:space="preserve">Conclusion</w:t>
      </w:r>
    </w:p>
    <w:bookmarkStart w:id="149"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47">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47">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48">
        <w:r>
          <w:rPr>
            <w:rStyle w:val="Hyperlink"/>
          </w:rPr>
          <w:t xml:space="preserve">(Un Rco, 2021)</w:t>
        </w:r>
      </w:hyperlink>
      <w:r>
        <w:t xml:space="preserve">. These calamities will have had a serious impact on the health and economy of the country, and the impact on the fisheries should be closely monitored.</w:t>
      </w:r>
    </w:p>
    <w:p>
      <w:pPr>
        <w:pStyle w:val="BodyText"/>
      </w:pPr>
      <w:r>
        <w:br/>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121" Target="media/rId121.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33"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3"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5"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4"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5" Target="https://paperpile.com/c/Yw05cY/Suhk" TargetMode="External" /><Relationship Type="http://schemas.openxmlformats.org/officeDocument/2006/relationships/hyperlink" Id="rId139"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2" Target="https://paperpile.com/c/Yw05cY/Yzoo" TargetMode="External" /><Relationship Type="http://schemas.openxmlformats.org/officeDocument/2006/relationships/hyperlink" Id="rId141" Target="https://paperpile.com/c/Yw05cY/Yzoo+6IkW" TargetMode="External" /><Relationship Type="http://schemas.openxmlformats.org/officeDocument/2006/relationships/hyperlink" Id="rId140"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6"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4"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38" Target="https://paperpile.com/c/Yw05cY/pbYG+0gp6+rHVd" TargetMode="External" /><Relationship Type="http://schemas.openxmlformats.org/officeDocument/2006/relationships/hyperlink" Id="rId137" Target="https://paperpile.com/c/Yw05cY/pbYG+4Ng6+eEmT+aFtM+e01u+0gp6+Yzoo+rHVd" TargetMode="External" /><Relationship Type="http://schemas.openxmlformats.org/officeDocument/2006/relationships/hyperlink" Id="rId148"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2"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47"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33"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3"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5"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4"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5" Target="https://paperpile.com/c/Yw05cY/Suhk" TargetMode="External" /><Relationship Type="http://schemas.openxmlformats.org/officeDocument/2006/relationships/hyperlink" Id="rId139"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2" Target="https://paperpile.com/c/Yw05cY/Yzoo" TargetMode="External" /><Relationship Type="http://schemas.openxmlformats.org/officeDocument/2006/relationships/hyperlink" Id="rId141" Target="https://paperpile.com/c/Yw05cY/Yzoo+6IkW" TargetMode="External" /><Relationship Type="http://schemas.openxmlformats.org/officeDocument/2006/relationships/hyperlink" Id="rId140"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6"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4"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38" Target="https://paperpile.com/c/Yw05cY/pbYG+0gp6+rHVd" TargetMode="External" /><Relationship Type="http://schemas.openxmlformats.org/officeDocument/2006/relationships/hyperlink" Id="rId137" Target="https://paperpile.com/c/Yw05cY/pbYG+4Ng6+eEmT+aFtM+e01u+0gp6+Yzoo+rHVd" TargetMode="External" /><Relationship Type="http://schemas.openxmlformats.org/officeDocument/2006/relationships/hyperlink" Id="rId148"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2"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47"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2022-05-02T12:56:29Z</dcterms:created>
  <dcterms:modified xsi:type="dcterms:W3CDTF">2022-05-02T12:56:29Z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