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4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PSL Research University</w:t>
      </w:r>
    </w:p>
    <w:p>
      <w:pPr>
        <w:pStyle w:val="Author"/>
      </w:pPr>
      <w:r>
        <w:rPr>
          <w:vertAlign w:val="superscript"/>
        </w:rPr>
        <w:t xml:space="preserve">2</w:t>
      </w:r>
      <w:r>
        <w:t xml:space="preserve"> </w:t>
      </w:r>
      <w:r>
        <w:t xml:space="preserve">University of Pennsylvania</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 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h1-pagebreak"/>
      </w:pPr>
      <w:r>
        <w:t xml:space="preserve">Abstract</w:t>
      </w:r>
    </w:p>
    <w:p>
      <w:pPr>
        <w:pStyle w:val="Textkrper"/>
      </w:pPr>
      <w:r>
        <w:t xml:space="preserve">Color word learning is an important case study for the relation between language and perception. While English color word learning is well-documented, there is relatively limited evidence on the developmental trajectory for color words, especially in languages from non-industrialized populations. We study color words and their acquisition in the Shipibo-Konibo (SK), an indigenous group in the Peruvian Amazon. In Study 1, we measure the color vocabulary in SK, updating data from the World Color Survey. We then study receptive and productive knowledge of color words in children, testing in both SK (Study 2) and Spanish (Study 3). Children learning the SK system show a protracted developmental trajectory towards adult-like color term knowledge compared to modern studies of English-speaking children. Further, when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Color; Word learning; Bilingualism</w:t>
      </w:r>
    </w:p>
    <w:p>
      <w:pPr>
        <w:pStyle w:val="Textkrper"/>
      </w:pPr>
      <w:r>
        <w:rPr>
          <w:iCs/>
          <w:i/>
        </w:rPr>
        <w:t xml:space="preserve">Word count:</w:t>
      </w:r>
      <w:r>
        <w:t xml:space="preserve"> </w:t>
      </w:r>
      <w:r>
        <w:t xml:space="preserve">9499</w:t>
      </w:r>
    </w:p>
    <w:p>
      <w:pPr>
        <w:pStyle w:val="h1-pagebreak"/>
      </w:pPr>
      <w:r>
        <w:t xml:space="preserve">The Development of Color Terms in Shipibo-Konibo Children</w:t>
      </w:r>
    </w:p>
    <w:bookmarkStart w:id="28"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In English, there are 11 high frequency color terms that together span hue space,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 [e.g.,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w:t>
      </w:r>
      <w:r>
        <w:t xml:space="preserve"> </w:t>
      </w:r>
      <w:r>
        <w:t xml:space="preserve">Berlin and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to learn for children than others, or children may show inductive biases that shape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 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 8 year olds with limited mastery of basic level color terms</w:t>
      </w:r>
      <w:r>
        <w:t xml:space="preserve"> </w:t>
      </w:r>
      <w:r>
        <w:t xml:space="preserve">(reviewed in Bornstein, 1985)</w:t>
      </w:r>
      <w:r>
        <w:t xml:space="preserve">. These observations are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Cs/>
          <w:i/>
        </w:rPr>
        <w:t xml:space="preserve">blue</w:t>
      </w:r>
      <w:r>
        <w:t xml:space="preserve"> </w:t>
      </w:r>
      <w:r>
        <w:t xml:space="preserve">and</w:t>
      </w:r>
      <w:r>
        <w:t xml:space="preserve"> </w:t>
      </w:r>
      <w:r>
        <w:rPr>
          <w:iCs/>
          <w:i/>
        </w:rPr>
        <w:t xml:space="preserve">green</w:t>
      </w:r>
      <w:r>
        <w:t xml:space="preserve"> </w:t>
      </w:r>
      <w:r>
        <w:t xml:space="preserve">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In the current paper, we ask about the trajectory of color word learning in an environment where both factors are less prevalent: that is, manufactured toys are less frequent, and parents are (at least anecdotally) far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likey present in several Latin American Spanish dialects and they are well-attested in Amazonian color systems.</w:t>
      </w:r>
    </w:p>
    <w:p>
      <w:pPr>
        <w:pStyle w:val="Textkrper"/>
      </w:pPr>
      <w:r>
        <w:t xml:space="preserve">An initial framework for the cross-linguistic study of color came from the World Color Survey [WCS;</w:t>
      </w:r>
      <w:r>
        <w:t xml:space="preserve"> </w:t>
      </w:r>
      <w:r>
        <w:t xml:space="preserve">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 [e.g., the English color</w:t>
      </w:r>
      <w:r>
        <w:t xml:space="preserve"> </w:t>
      </w:r>
      <w:r>
        <w:t xml:space="preserve">“</w:t>
      </w:r>
      <w:r>
        <w:t xml:space="preserve">orange</w:t>
      </w:r>
      <w:r>
        <w:t xml:space="preserve">”</w:t>
      </w:r>
      <w:r>
        <w:t xml:space="preserve"> </w:t>
      </w:r>
      <w:r>
        <w:t xml:space="preserve">derives from an ad hoc term based on the fruit;</w:t>
      </w:r>
      <w:r>
        <w:t xml:space="preserve"> </w:t>
      </w:r>
      <w:r>
        <w:t xml:space="preserve">St. Clair (2016)</w:t>
      </w:r>
      <w:r>
        <w:t xml:space="preserve">].</w:t>
      </w:r>
    </w:p>
    <w:p>
      <w:pPr>
        <w:pStyle w:val="Textkrper"/>
      </w:pPr>
      <w:r>
        <w:t xml:space="preserve">In research since the WCS, however,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original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Tsimane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7"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amount of Spanish input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The first deep transformation in Shipibo-Konibo culture can be traced to the XVIII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and – critically – some of the manufactured, colored plastic goods that have been argued to create a need for rich color vocabulary</w:t>
      </w:r>
      <w:r>
        <w:t xml:space="preserve"> </w:t>
      </w:r>
      <w:r>
        <w:t xml:space="preserve">(Gibson et al., 2017)</w:t>
      </w:r>
      <w:r>
        <w:t xml:space="preserve">.</w:t>
      </w:r>
      <w:r>
        <w:rPr>
          <w:rStyle w:val="Funotenzeichen"/>
        </w:rPr>
        <w:footnoteReference w:id="26"/>
      </w:r>
    </w:p>
    <w:p>
      <w:pPr>
        <w:pStyle w:val="Textkrper"/>
      </w:pPr>
      <w:r>
        <w:t xml:space="preserve">Further, the SK are heavily bilingual. To our knowledge, relatively little work has looked at effects of bilingualism on color word learning. Yet, with much of the world’s population growing up bilingual,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non-WEIRD population that has fewer industrial products (toys) and less early childhood education?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7"/>
    <w:bookmarkEnd w:id="28"/>
    <w:bookmarkStart w:id="35"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2" w:name="methods"/>
    <w:p>
      <w:pPr>
        <w:pStyle w:val="berschrift2"/>
      </w:pPr>
      <w:r>
        <w:t xml:space="preserve">Methods</w:t>
      </w:r>
    </w:p>
    <w:bookmarkStart w:id="29" w:name="participants"/>
    <w:p>
      <w:pPr>
        <w:pStyle w:val="berschrift3"/>
      </w:pPr>
      <w:r>
        <w:t xml:space="preserve">Participants.</w:t>
      </w:r>
    </w:p>
    <w:p>
      <w:pPr>
        <w:pStyle w:val="FirstParagraph"/>
      </w:pPr>
      <w:r>
        <w:t xml:space="preserve">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villages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but a strong relation with the outside world.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Cs/>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p>
    <w:bookmarkEnd w:id="29"/>
    <w:bookmarkStart w:id="31"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Cs/>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0"/>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1"/>
    <w:bookmarkEnd w:id="32"/>
    <w:bookmarkStart w:id="34"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Experiment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rPr>
            <m:sty m:val="p"/>
          </m:rPr>
          <m:t>(</m:t>
        </m:r>
        <m:r>
          <m:t>59</m:t>
        </m:r>
        <m:r>
          <m:rPr>
            <m:sty m:val="p"/>
          </m:rPr>
          <m:t>)</m:t>
        </m:r>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r>
          <m:rPr>
            <m:sty m:val="p"/>
          </m:rPr>
          <m:t>(</m:t>
        </m:r>
        <m:r>
          <m:t>117.95</m:t>
        </m:r>
        <m:r>
          <m:rPr>
            <m:sty m:val="p"/>
          </m:rPr>
          <m:t>)</m:t>
        </m:r>
        <m:r>
          <m:rPr>
            <m:sty m:val="p"/>
          </m:rPr>
          <m:t>=</m:t>
        </m:r>
        <m:r>
          <m:rPr>
            <m:sty m:val="p"/>
          </m:rPr>
          <m:t>−</m:t>
        </m:r>
        <m:r>
          <m:t>0.38</m:t>
        </m:r>
      </m:oMath>
      <w:r>
        <w:t xml:space="preserve">,</w:t>
      </w:r>
      <w:r>
        <w:t xml:space="preserve"> </w:t>
      </w:r>
      <m:oMath>
        <m:r>
          <m:t>p</m:t>
        </m:r>
        <m:r>
          <m:rPr>
            <m:sty m:val="p"/>
          </m:rPr>
          <m:t>=</m:t>
        </m:r>
        <m:r>
          <m:t>.706</m:t>
        </m:r>
      </m:oMath>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16%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in 68% of the time despite being prompted solely in SK.</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33"/>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w:t>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(overall</w:t>
      </w:r>
      <w:r>
        <w:t xml:space="preserve"> </w:t>
      </w:r>
      <w:r>
        <w:rPr>
          <w:iCs/>
          <w:i/>
        </w:rPr>
        <w:t xml:space="preserve">Mdn</w:t>
      </w:r>
      <w:r>
        <w:t xml:space="preserve"> </w:t>
      </w:r>
      <w:r>
        <w:t xml:space="preserve">= 0%,</w:t>
      </w:r>
      <w:r>
        <w:t xml:space="preserve"> </w:t>
      </w:r>
      <w:r>
        <w:rPr>
          <w:iCs/>
          <w:i/>
        </w:rPr>
        <w:t xml:space="preserve">IQR</w:t>
      </w:r>
      <w:r>
        <w:t xml:space="preserve"> </w:t>
      </w:r>
      <w:r>
        <w:t xml:space="preserve">= 0-0%).</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close relation between both languages in the studied communities.</w:t>
      </w:r>
    </w:p>
    <w:bookmarkEnd w:id="34"/>
    <w:bookmarkEnd w:id="35"/>
    <w:bookmarkStart w:id="49"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Textkrper"/>
      </w:pPr>
      <w:r>
        <w:t xml:space="preserve">Table 1:</w:t>
      </w:r>
    </w:p>
    <w:p>
      <w:pPr>
        <w:pStyle w:val="TableCaption"/>
      </w:pPr>
      <w:r>
        <w:rPr>
          <w:iCs/>
          <w:i/>
        </w:rPr>
        <w:t xml:space="preserve">Demographics of participants in Studies 2 and 3.</w:t>
      </w:r>
    </w:p>
    <w:tbl>
      <w:tblPr>
        <w:tblStyle w:val="Table"/>
        <w:tblW w:type="pct" w:w="0.0"/>
        <w:tblLook w:firstRow="1" w:lastRow="0" w:firstColumn="0" w:lastColumn="0" w:noHBand="0" w:noVBand="0" w:val="0020"/>
      </w:tblPr>
      <w:tblGrid/>
      <w:tr>
        <w:tc>
          <w:p>
            <w:pPr>
              <w:pStyle w:val="Compact"/>
              <w:jc w:val="left"/>
            </w:pPr>
            <w:r>
              <w:t xml:space="preserve">Age Group</w:t>
            </w:r>
          </w:p>
        </w:tc>
        <w:tc>
          <w:p>
            <w:pPr>
              <w:pStyle w:val="Compact"/>
              <w:jc w:val="left"/>
            </w:pPr>
            <w:r>
              <w:t xml:space="preserve">n</w:t>
            </w:r>
          </w:p>
        </w:tc>
        <w:tc>
          <w:p>
            <w:pPr>
              <w:pStyle w:val="Compact"/>
              <w:jc w:val="left"/>
            </w:pPr>
            <w:r>
              <w:t xml:space="preserve">Boys</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3</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bookmarkStart w:id="41" w:name="methods-1"/>
    <w:p>
      <w:pPr>
        <w:pStyle w:val="berschrift2"/>
      </w:pPr>
      <w:r>
        <w:t xml:space="preserve">Methods</w:t>
      </w:r>
    </w:p>
    <w:bookmarkStart w:id="36" w:name="participants-1"/>
    <w:p>
      <w:pPr>
        <w:pStyle w:val="berschrift3"/>
      </w:pPr>
      <w:r>
        <w:t xml:space="preserve">Participants.</w:t>
      </w:r>
    </w:p>
    <w:p>
      <w:pPr>
        <w:pStyle w:val="FirstParagraph"/>
      </w:pPr>
      <w:r>
        <w:t xml:space="preserve">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36"/>
    <w:bookmarkStart w:id="37"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bookmarkEnd w:id="37"/>
    <w:bookmarkStart w:id="38"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38"/>
    <w:bookmarkStart w:id="40" w:name="comprehension-task"/>
    <w:p>
      <w:pPr>
        <w:pStyle w:val="berschrift3"/>
      </w:pPr>
      <w:r>
        <w:t xml:space="preserve">Comprehension task.</w:t>
      </w:r>
    </w:p>
    <w:p>
      <w:pPr>
        <w:pStyle w:val="FirstParagraph"/>
      </w:pPr>
      <w:r>
        <w:t xml:space="preserve">The comprehension task had a notably different procedure compared to the preceding production task or the comprehension task performed in Study 1.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w:t>
      </w:r>
      <w:r>
        <w:rPr>
          <w:iCs/>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w:t>
      </w:r>
      <w:r>
        <w:rPr>
          <w:iCs/>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9"/>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0"/>
    <w:bookmarkEnd w:id="41"/>
    <w:bookmarkStart w:id="48"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predicting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r>
          <m:rPr>
            <m:sty m:val="p"/>
          </m:rPr>
          <m:t>[</m:t>
        </m:r>
        <m:r>
          <m:t>0.46</m:t>
        </m:r>
        <m:r>
          <m:rPr>
            <m:sty m:val="p"/>
          </m:rPr>
          <m:t>,</m:t>
        </m:r>
        <m:r>
          <m:t>1.24</m:t>
        </m:r>
        <m:r>
          <m:rPr>
            <m:sty m:val="p"/>
          </m:rPr>
          <m:t>]</m:t>
        </m:r>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r>
          <m:rPr>
            <m:sty m:val="p"/>
          </m:rPr>
          <m:t>[</m:t>
        </m:r>
        <m:r>
          <m:t>0.18</m:t>
        </m:r>
        <m:r>
          <m:rPr>
            <m:sty m:val="p"/>
          </m:rPr>
          <m:t>,</m:t>
        </m:r>
        <m:r>
          <m:t>0.54</m:t>
        </m:r>
        <m:r>
          <m:rPr>
            <m:sty m:val="p"/>
          </m:rPr>
          <m:t>]</m:t>
        </m:r>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 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42"/>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Production and comprehension data for selected color chips, plotted by age group.</w:t>
      </w:r>
    </w:p>
    <w:bookmarkStart w:id="43"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43"/>
    <w:bookmarkStart w:id="45"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0.33 (odds of success multiplied by</w:t>
      </w:r>
      <w:r>
        <w:t xml:space="preserve"> </w:t>
      </w:r>
      <m:oMath>
        <m:r>
          <m:rPr>
            <m:nor/>
            <m:sty m:val="p"/>
          </m:rPr>
          <m:t>exp</m:t>
        </m:r>
        <m:r>
          <m:rPr>
            <m:sty m:val="p"/>
          </m:rPr>
          <m:t>(</m:t>
        </m:r>
        <m:acc>
          <m:accPr>
            <m:chr m:val="̂"/>
          </m:accPr>
          <m:e>
            <m:r>
              <m:t>β</m:t>
            </m:r>
          </m:e>
        </m:acc>
        <m:r>
          <m:rPr>
            <m:sty m:val="p"/>
          </m:rPr>
          <m:t>)</m:t>
        </m:r>
      </m:oMath>
      <w:r>
        <w:t xml:space="preserve"> </w:t>
      </w:r>
      <w:r>
        <w:t xml:space="preserve">= 1.40 with every added year of age) to 1.35 (odds multiplied by</w:t>
      </w:r>
      <w:r>
        <w:t xml:space="preserve"> </w:t>
      </w:r>
      <m:oMath>
        <m:r>
          <m:rPr>
            <m:nor/>
            <m:sty m:val="p"/>
          </m:rPr>
          <m:t>exp</m:t>
        </m:r>
        <m:r>
          <m:rPr>
            <m:sty m:val="p"/>
          </m:rPr>
          <m:t>(</m:t>
        </m:r>
        <m:acc>
          <m:accPr>
            <m:chr m:val="̂"/>
          </m:accPr>
          <m:e>
            <m:r>
              <m:t>β</m:t>
            </m:r>
          </m:e>
        </m:acc>
        <m:r>
          <m:rPr>
            <m:sty m:val="p"/>
          </m:rPr>
          <m:t>)</m:t>
        </m:r>
      </m:oMath>
      <w:r>
        <w:t xml:space="preserve"> </w:t>
      </w:r>
      <w:r>
        <w:t xml:space="preserve">= 3.80). To find age of acquisition, we then predicted the probability of success for the range of participant ages, 5.40- to 11.70-years-old at increments of 0.05 years, 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joshin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44"/>
      </w:r>
    </w:p>
    <w:p>
      <w:pPr>
        <w:pStyle w:val="Textkrper"/>
      </w:pPr>
      <w:r>
        <w:t xml:space="preserve">Our predictions suggest that SK children obtain color term knowledge at notably older ages compared to children in the United States</w:t>
      </w:r>
      <w:r>
        <w:t xml:space="preserve"> </w:t>
      </w:r>
      <w:r>
        <w:t xml:space="preserve">(Wagner et al., 2013)</w:t>
      </w:r>
      <w:r>
        <w:t xml:space="preserve">. Further, the ordering of acquisition is substantially different from that attested in previous studies.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45"/>
    <w:bookmarkStart w:id="46"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 </w:t>
      </w:r>
      <w:r>
        <w:t xml:space="preserve">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We did not find a significant correlation between age and number of trials with Spanish-language responses throughout the production task (</w:t>
      </w:r>
      <m:oMath>
        <m:r>
          <m:t>t</m:t>
        </m:r>
        <m:r>
          <m:rPr>
            <m:sty m:val="p"/>
          </m:rPr>
          <m:t>(</m:t>
        </m:r>
        <m:r>
          <m:t>55</m:t>
        </m:r>
        <m:r>
          <m:rPr>
            <m:sty m:val="p"/>
          </m:rPr>
          <m:t>)</m:t>
        </m:r>
        <m:r>
          <m:rPr>
            <m:sty m:val="p"/>
          </m:rPr>
          <m:t>=</m:t>
        </m:r>
        <m:r>
          <m:rPr>
            <m:sty m:val="p"/>
          </m:rPr>
          <m:t>−</m:t>
        </m:r>
        <m:r>
          <m:t>0.97</m:t>
        </m:r>
      </m:oMath>
      <w:r>
        <w:t xml:space="preserve">,</w:t>
      </w:r>
      <w:r>
        <w:t xml:space="preserve"> </w:t>
      </w:r>
      <m:oMath>
        <m:r>
          <m:t>p</m:t>
        </m:r>
        <m:r>
          <m:rPr>
            <m:sty m:val="p"/>
          </m:rPr>
          <m:t>=</m:t>
        </m:r>
        <m:r>
          <m:t>.335</m:t>
        </m:r>
      </m:oMath>
      <w:r>
        <w:t xml:space="preserve">).</w:t>
      </w:r>
    </w:p>
    <w:p>
      <w:pPr>
        <w:pStyle w:val="Textkrper"/>
      </w:pPr>
      <w:r>
        <w:t xml:space="preserve">Table 2:</w:t>
      </w:r>
    </w:p>
    <w:p>
      <w:pPr>
        <w:pStyle w:val="TableCaption"/>
      </w:pPr>
      <w:r>
        <w:rPr>
          <w:iCs/>
          <w:i/>
        </w:rPr>
        <w:t xml:space="preserve">Naming entropy by color chip and whether the chip was used in Study 2 and Study 3.</w:t>
      </w:r>
    </w:p>
    <w:tbl>
      <w:tblPr>
        <w:tblStyle w:val="Table"/>
        <w:tblW w:type="pct" w:w="0.0"/>
        <w:tblLook w:firstRow="1" w:lastRow="0" w:firstColumn="0" w:lastColumn="0" w:noHBand="0" w:noVBand="0" w:val="0020"/>
      </w:tblPr>
      <w:tblGrid/>
      <w:tr>
        <w:tc>
          <w:p>
            <w:pPr>
              <w:pStyle w:val="Compact"/>
              <w:jc w:val="left"/>
            </w:pPr>
            <w:r>
              <w:t xml:space="preserve">Chip ID</w:t>
            </w:r>
          </w:p>
        </w:tc>
        <w:tc>
          <w:p>
            <w:pPr>
              <w:pStyle w:val="Compact"/>
              <w:jc w:val="left"/>
            </w:pPr>
            <w:r>
              <w:t xml:space="preserve">Entropy</w:t>
            </w:r>
          </w:p>
        </w:tc>
        <w:tc>
          <w:p>
            <w:pPr>
              <w:pStyle w:val="Compact"/>
              <w:jc w:val="left"/>
            </w:pPr>
            <w:r>
              <w:t xml:space="preserve">Study 2</w:t>
            </w:r>
          </w:p>
        </w:tc>
        <w:tc>
          <w:p>
            <w:pPr>
              <w:pStyle w:val="Compact"/>
              <w:jc w:val="left"/>
            </w:pPr>
            <w:r>
              <w:t xml:space="preserve">Study 3</w:t>
            </w:r>
          </w:p>
        </w:tc>
        <w:tc>
          <w:p>
            <w:pPr>
              <w:pStyle w:val="Compact"/>
              <w:jc w:val="left"/>
            </w:pPr>
            <w:r>
              <w:t xml:space="preserve">Shipibo term</w:t>
            </w:r>
          </w:p>
        </w:tc>
        <w:tc>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rPr>
            <m:sty m:val="p"/>
          </m:rPr>
          <m:t>(</m:t>
        </m:r>
        <m:r>
          <m:t>l</m:t>
        </m:r>
        <m:r>
          <m:rPr>
            <m:sty m:val="p"/>
          </m:rPr>
          <m:t>∣</m:t>
        </m:r>
        <m:r>
          <m:t>c</m:t>
        </m:r>
        <m:r>
          <m:rPr>
            <m:sty m:val="p"/>
          </m:rPr>
          <m:t>)</m:t>
        </m:r>
      </m:oMath>
      <w:r>
        <w:t xml:space="preserve">) and then taking</w:t>
      </w:r>
      <w:r>
        <w:t xml:space="preserve"> </w:t>
      </w:r>
      <m:oMath>
        <m:r>
          <m:t>H</m:t>
        </m:r>
        <m:r>
          <m:rPr>
            <m:sty m:val="p"/>
          </m:rPr>
          <m:t>(</m:t>
        </m:r>
        <m:r>
          <m:t>c</m:t>
        </m:r>
        <m:r>
          <m:rPr>
            <m:sty m:val="p"/>
          </m:rPr>
          <m:t>)</m:t>
        </m:r>
        <m:r>
          <m:rPr>
            <m:sty m:val="p"/>
          </m:rPr>
          <m:t>=</m:t>
        </m:r>
        <m:r>
          <m:rPr>
            <m:sty m:val="p"/>
          </m:rPr>
          <m:t>−</m:t>
        </m:r>
        <m:nary>
          <m:naryPr>
            <m:chr m:val="∑"/>
            <m:limLoc m:val="undOvr"/>
            <m:subHide m:val="0"/>
            <m:supHide m:val="1"/>
          </m:naryPr>
          <m:sub>
            <m:r>
              <m:t>l</m:t>
            </m:r>
          </m:sub>
          <m:sup>
            <m:r>
              <m:t>​</m:t>
            </m:r>
          </m:sup>
          <m:e>
            <m:r>
              <m:t>p</m:t>
            </m:r>
            <m:r>
              <m:rPr>
                <m:sty m:val="p"/>
              </m:rPr>
              <m:t>(</m:t>
            </m:r>
            <m:r>
              <m:t>l</m:t>
            </m:r>
            <m:r>
              <m:rPr>
                <m:sty m:val="p"/>
              </m:rPr>
              <m:t>∣</m:t>
            </m:r>
            <m:r>
              <m:t>c</m:t>
            </m:r>
            <m:r>
              <m:rPr>
                <m:sty m:val="p"/>
              </m:rPr>
              <m:t>)</m:t>
            </m:r>
            <m:r>
              <m:rPr>
                <m:nor/>
                <m:sty m:val="p"/>
              </m:rPr>
              <m:t>log</m:t>
            </m:r>
            <m:r>
              <m:rPr>
                <m:sty m:val="p"/>
              </m:rPr>
              <m:t>[</m:t>
            </m:r>
            <m:r>
              <m:t>p</m:t>
            </m:r>
            <m:r>
              <m:rPr>
                <m:sty m:val="p"/>
              </m:rPr>
              <m:t>(</m:t>
            </m:r>
            <m:r>
              <m:t>l</m:t>
            </m:r>
            <m:r>
              <m:rPr>
                <m:sty m:val="p"/>
              </m:rPr>
              <m:t>∣</m:t>
            </m:r>
            <m:r>
              <m:t>c</m:t>
            </m:r>
            <m:r>
              <m:rPr>
                <m:sty m:val="p"/>
              </m:rPr>
              <m:t>)</m:t>
            </m:r>
            <m:r>
              <m:rPr>
                <m:sty m:val="p"/>
              </m:rPr>
              <m:t>]</m:t>
            </m:r>
          </m:e>
        </m:nary>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that overall older children tended to be less likely to respond in Spanish (</w:t>
      </w:r>
      <m:oMath>
        <m:acc>
          <m:accPr>
            <m:chr m:val="̂"/>
          </m:accPr>
          <m:e>
            <m:r>
              <m:t>β</m:t>
            </m:r>
          </m:e>
        </m:acc>
        <m:r>
          <m:rPr>
            <m:sty m:val="p"/>
          </m:rPr>
          <m:t>=</m:t>
        </m:r>
        <m:r>
          <m:rPr>
            <m:sty m:val="p"/>
          </m:rPr>
          <m:t>−</m:t>
        </m:r>
        <m:r>
          <m:t>0.44</m:t>
        </m:r>
      </m:oMath>
      <w:r>
        <w:t xml:space="preserve">, 95% CI</w:t>
      </w:r>
      <w:r>
        <w:t xml:space="preserve"> </w:t>
      </w:r>
      <m:oMath>
        <m:r>
          <m:rPr>
            <m:sty m:val="p"/>
          </m:rPr>
          <m:t>[</m:t>
        </m:r>
        <m:r>
          <m:rPr>
            <m:sty m:val="p"/>
          </m:rPr>
          <m:t>−</m:t>
        </m:r>
        <m:r>
          <m:t>0.96</m:t>
        </m:r>
        <m:r>
          <m:rPr>
            <m:sty m:val="p"/>
          </m:rPr>
          <m:t>,</m:t>
        </m:r>
        <m:r>
          <m:t>0.07</m:t>
        </m:r>
        <m:r>
          <m:rPr>
            <m:sty m:val="p"/>
          </m:rPr>
          <m:t>]</m:t>
        </m:r>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perhaps due to greater knowledge of SK terms. Children were also more likely to respond in Spanish when presented with a chip with high entropy (low naming consensus) among adult participants in Study 1 (</w:t>
      </w:r>
      <m:oMath>
        <m:acc>
          <m:accPr>
            <m:chr m:val="̂"/>
          </m:accPr>
          <m:e>
            <m:r>
              <m:t>β</m:t>
            </m:r>
          </m:e>
        </m:acc>
        <m:r>
          <m:rPr>
            <m:sty m:val="p"/>
          </m:rPr>
          <m:t>=</m:t>
        </m:r>
        <m:r>
          <m:t>1.70</m:t>
        </m:r>
      </m:oMath>
      <w:r>
        <w:t xml:space="preserve">, 95% CI</w:t>
      </w:r>
      <w:r>
        <w:t xml:space="preserve"> </w:t>
      </w:r>
      <m:oMath>
        <m:r>
          <m:rPr>
            <m:sty m:val="p"/>
          </m:rPr>
          <m:t>[</m:t>
        </m:r>
        <m:r>
          <m:t>1.15</m:t>
        </m:r>
        <m:r>
          <m:rPr>
            <m:sty m:val="p"/>
          </m:rPr>
          <m:t>,</m:t>
        </m:r>
        <m:r>
          <m:t>2.24</m:t>
        </m:r>
        <m:r>
          <m:rPr>
            <m:sty m:val="p"/>
          </m:rPr>
          <m:t>]</m:t>
        </m:r>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further found some evidence of a positive interaction between age and entropy (</w:t>
      </w:r>
      <m:oMath>
        <m:acc>
          <m:accPr>
            <m:chr m:val="̂"/>
          </m:accPr>
          <m:e>
            <m:r>
              <m:t>β</m:t>
            </m:r>
          </m:e>
        </m:acc>
        <m:r>
          <m:rPr>
            <m:sty m:val="p"/>
          </m:rPr>
          <m:t>=</m:t>
        </m:r>
        <m:r>
          <m:t>0.30</m:t>
        </m:r>
      </m:oMath>
      <w:r>
        <w:t xml:space="preserve">, 95% CI</w:t>
      </w:r>
      <w:r>
        <w:t xml:space="preserve"> </w:t>
      </w:r>
      <m:oMath>
        <m:r>
          <m:rPr>
            <m:sty m:val="p"/>
          </m:rPr>
          <m:t>[</m:t>
        </m:r>
        <m:r>
          <m:rPr>
            <m:sty m:val="p"/>
          </m:rPr>
          <m:t>−</m:t>
        </m:r>
        <m:r>
          <m:t>0.03</m:t>
        </m:r>
        <m:r>
          <m:rPr>
            <m:sty m:val="p"/>
          </m:rPr>
          <m:t>,</m:t>
        </m:r>
        <m:r>
          <m:t>0.62</m:t>
        </m:r>
        <m:r>
          <m:rPr>
            <m:sty m:val="p"/>
          </m:rPr>
          <m:t>]</m:t>
        </m:r>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more Spanish responding for older children specifically for those chips with high adult uncertainty. Together these findings suggest that older children show an increasingly adaptive use of Spanish vocabulary to describe chips for which there is not community consensus among adults.</w:t>
      </w:r>
    </w:p>
    <w:bookmarkEnd w:id="46"/>
    <w:bookmarkStart w:id="47"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effects of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r>
          <m:rPr>
            <m:sty m:val="p"/>
          </m:rPr>
          <m:t>[</m:t>
        </m:r>
        <m:r>
          <m:rPr>
            <m:sty m:val="p"/>
          </m:rPr>
          <m:t>−</m:t>
        </m:r>
        <m:r>
          <m:t>1.58</m:t>
        </m:r>
        <m:r>
          <m:rPr>
            <m:sty m:val="p"/>
          </m:rPr>
          <m:t>,</m:t>
        </m:r>
        <m:r>
          <m:rPr>
            <m:sty m:val="p"/>
          </m:rPr>
          <m:t>−</m:t>
        </m:r>
        <m:r>
          <m:t>0.34</m:t>
        </m:r>
        <m:r>
          <m:rPr>
            <m:sty m:val="p"/>
          </m:rPr>
          <m:t>]</m:t>
        </m:r>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r>
          <m:rPr>
            <m:sty m:val="p"/>
          </m:rPr>
          <m:t>[</m:t>
        </m:r>
        <m:r>
          <m:rPr>
            <m:sty m:val="p"/>
          </m:rPr>
          <m:t>−</m:t>
        </m:r>
        <m:r>
          <m:t>3.06</m:t>
        </m:r>
        <m:r>
          <m:rPr>
            <m:sty m:val="p"/>
          </m:rPr>
          <m:t>,</m:t>
        </m:r>
        <m:r>
          <m:t>0.29</m:t>
        </m:r>
        <m:r>
          <m:rPr>
            <m:sty m:val="p"/>
          </m:rPr>
          <m:t>]</m:t>
        </m:r>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47"/>
    <w:bookmarkEnd w:id="48"/>
    <w:bookmarkEnd w:id="49"/>
    <w:bookmarkStart w:id="56"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52" w:name="methods-2"/>
    <w:p>
      <w:pPr>
        <w:pStyle w:val="berschrift2"/>
      </w:pPr>
      <w:r>
        <w:t xml:space="preserve">Methods</w:t>
      </w:r>
    </w:p>
    <w:bookmarkStart w:id="50" w:name="participants-2"/>
    <w:p>
      <w:pPr>
        <w:pStyle w:val="berschrift3"/>
      </w:pPr>
      <w:r>
        <w:t xml:space="preserve">Participants.</w:t>
      </w:r>
    </w:p>
    <w:p>
      <w:pPr>
        <w:pStyle w:val="FirstParagraph"/>
      </w:pPr>
      <w:r>
        <w:t xml:space="preserve">We recruited a separate sample of 46 children (16 boys) ages 5- to 11-years-old from the neighborhood of Bena Jema in Yarinacocha and from Bawanisho. Recruitment occurred either through interested parents or a local school. As in Study 2, we received consent from parents and, if in a school environment, teachers as well.</w:t>
      </w:r>
    </w:p>
    <w:bookmarkEnd w:id="50"/>
    <w:bookmarkStart w:id="51"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51"/>
    <w:bookmarkEnd w:id="52"/>
    <w:bookmarkStart w:id="54"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bookmarkStart w:id="53"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53"/>
    <w:bookmarkEnd w:id="54"/>
    <w:bookmarkStart w:id="55"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r>
          <m:rPr>
            <m:sty m:val="p"/>
          </m:rPr>
          <m:t>[</m:t>
        </m:r>
        <m:r>
          <m:t>0.21</m:t>
        </m:r>
        <m:r>
          <m:rPr>
            <m:sty m:val="p"/>
          </m:rPr>
          <m:t>,</m:t>
        </m:r>
        <m:r>
          <m:t>1.06</m:t>
        </m:r>
        <m:r>
          <m:rPr>
            <m:sty m:val="p"/>
          </m:rPr>
          <m:t>]</m:t>
        </m:r>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was weaker in the production task (</w:t>
      </w:r>
      <m:oMath>
        <m:acc>
          <m:accPr>
            <m:chr m:val="̂"/>
          </m:accPr>
          <m:e>
            <m:r>
              <m:t>β</m:t>
            </m:r>
          </m:e>
        </m:acc>
        <m:r>
          <m:rPr>
            <m:sty m:val="p"/>
          </m:rPr>
          <m:t>=</m:t>
        </m:r>
        <m:r>
          <m:t>0.33</m:t>
        </m:r>
      </m:oMath>
      <w:r>
        <w:t xml:space="preserve">, 95% CI</w:t>
      </w:r>
      <w:r>
        <w:t xml:space="preserve"> </w:t>
      </w:r>
      <m:oMath>
        <m:r>
          <m:rPr>
            <m:sty m:val="p"/>
          </m:rPr>
          <m:t>[</m:t>
        </m:r>
        <m:r>
          <m:rPr>
            <m:sty m:val="p"/>
          </m:rPr>
          <m:t>−</m:t>
        </m:r>
        <m:r>
          <m:t>0.06</m:t>
        </m:r>
        <m:r>
          <m:rPr>
            <m:sty m:val="p"/>
          </m:rPr>
          <m:t>,</m:t>
        </m:r>
        <m:r>
          <m:t>0.72</m:t>
        </m:r>
        <m:r>
          <m:rPr>
            <m:sty m:val="p"/>
          </m:rPr>
          <m:t>]</m:t>
        </m:r>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despite being prompted to respond in Spanish. There was significant variation in language-switching with some children responding solely in Spanish while others responded to upwards of 9/11 trials in SK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r>
          <m:rPr>
            <m:sty m:val="p"/>
          </m:rPr>
          <m:t>(</m:t>
        </m:r>
        <m:r>
          <m:t>44</m:t>
        </m:r>
        <m:r>
          <m:rPr>
            <m:sty m:val="p"/>
          </m:rPr>
          <m:t>)</m:t>
        </m:r>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r>
          <m:rPr>
            <m:sty m:val="p"/>
          </m:rPr>
          <m:t>(</m:t>
        </m:r>
        <m:r>
          <m:t>44</m:t>
        </m:r>
        <m:r>
          <m:rPr>
            <m:sty m:val="p"/>
          </m:rPr>
          <m:t>)</m:t>
        </m:r>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r>
          <m:rPr>
            <m:sty m:val="p"/>
          </m:rPr>
          <m:t>[</m:t>
        </m:r>
        <m:r>
          <m:rPr>
            <m:sty m:val="p"/>
          </m:rPr>
          <m:t>−</m:t>
        </m:r>
        <m:r>
          <m:t>0.63</m:t>
        </m:r>
        <m:r>
          <m:rPr>
            <m:sty m:val="p"/>
          </m:rPr>
          <m:t>,</m:t>
        </m:r>
        <m:r>
          <m:t>0.09</m:t>
        </m:r>
        <m:r>
          <m:rPr>
            <m:sty m:val="p"/>
          </m:rPr>
          <m:t>]</m:t>
        </m:r>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r>
          <m:rPr>
            <m:sty m:val="p"/>
          </m:rPr>
          <m:t>[</m:t>
        </m:r>
        <m:r>
          <m:rPr>
            <m:sty m:val="p"/>
          </m:rPr>
          <m:t>−</m:t>
        </m:r>
        <m:r>
          <m:t>2.07</m:t>
        </m:r>
        <m:r>
          <m:rPr>
            <m:sty m:val="p"/>
          </m:rPr>
          <m:t>,</m:t>
        </m:r>
        <m:r>
          <m:rPr>
            <m:sty m:val="p"/>
          </m:rPr>
          <m:t>−</m:t>
        </m:r>
        <m:r>
          <m:t>0.92</m:t>
        </m:r>
        <m:r>
          <m:rPr>
            <m:sty m:val="p"/>
          </m:rPr>
          <m:t>]</m:t>
        </m:r>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r>
          <m:rPr>
            <m:sty m:val="p"/>
          </m:rPr>
          <m:t>[</m:t>
        </m:r>
        <m:r>
          <m:rPr>
            <m:sty m:val="p"/>
          </m:rPr>
          <m:t>−</m:t>
        </m:r>
        <m:r>
          <m:t>0.49</m:t>
        </m:r>
        <m:r>
          <m:rPr>
            <m:sty m:val="p"/>
          </m:rPr>
          <m:t>,</m:t>
        </m:r>
        <m:r>
          <m:t>0.45</m:t>
        </m:r>
        <m:r>
          <m:rPr>
            <m:sty m:val="p"/>
          </m:rPr>
          <m:t>]</m:t>
        </m:r>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r>
          <m:rPr>
            <m:sty m:val="p"/>
          </m:rPr>
          <m:t>[</m:t>
        </m:r>
        <m:r>
          <m:rPr>
            <m:sty m:val="p"/>
          </m:rPr>
          <m:t>−</m:t>
        </m:r>
        <m:r>
          <m:t>0.07</m:t>
        </m:r>
        <m:r>
          <m:rPr>
            <m:sty m:val="p"/>
          </m:rPr>
          <m:t>,</m:t>
        </m:r>
        <m:r>
          <m:t>0.58</m:t>
        </m:r>
        <m:r>
          <m:rPr>
            <m:sty m:val="p"/>
          </m:rPr>
          <m:t>]</m:t>
        </m:r>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r>
          <m:rPr>
            <m:sty m:val="p"/>
          </m:rPr>
          <m:t>[</m:t>
        </m:r>
        <m:r>
          <m:t>1.43</m:t>
        </m:r>
        <m:r>
          <m:rPr>
            <m:sty m:val="p"/>
          </m:rPr>
          <m:t>,</m:t>
        </m:r>
        <m:r>
          <m:t>2.08</m:t>
        </m:r>
        <m:r>
          <m:rPr>
            <m:sty m:val="p"/>
          </m:rPr>
          <m:t>]</m:t>
        </m:r>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r>
          <m:rPr>
            <m:sty m:val="p"/>
          </m:rPr>
          <m:t>[</m:t>
        </m:r>
        <m:r>
          <m:t>0.20</m:t>
        </m:r>
        <m:r>
          <m:rPr>
            <m:sty m:val="p"/>
          </m:rPr>
          <m:t>,</m:t>
        </m:r>
        <m:r>
          <m:t>0.81</m:t>
        </m:r>
        <m:r>
          <m:rPr>
            <m:sty m:val="p"/>
          </m:rPr>
          <m:t>]</m:t>
        </m:r>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r>
        <w:t xml:space="preserve"> </w:t>
      </w:r>
    </w:p>
    <w:p>
      <w:pPr>
        <w:pStyle w:val="Textkrper"/>
      </w:pPr>
      <w:r>
        <w:t xml:space="preserve">We speculate that early, informal Spanish language exposure can explain the discrepancies seen in Studies 2 and 3. With limited knowledge of Spanish color terms, children may spontaneously supplement their color term knowledge with Spanish terms during SK-language Study 2 but struggle to succeed in a more systematic evaluation in Study 3. More generally, we see children relying on a mixture of strategies to communicate colors even in the absence of mastery in either language.</w:t>
      </w:r>
    </w:p>
    <w:bookmarkEnd w:id="55"/>
    <w:bookmarkEnd w:id="56"/>
    <w:bookmarkStart w:id="58"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fills a gap in studies of color word development in non-WEIRD cultures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may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might be because the adults were recognizing focal colors for Spanish basic level terms that have no parallel in SK (e.g.,</w:t>
      </w:r>
      <w:r>
        <w:t xml:space="preserve"> </w:t>
      </w:r>
      <w:r>
        <w:t xml:space="preserve">“</w:t>
      </w:r>
      <w:r>
        <w:t xml:space="preserve">naranja</w:t>
      </w:r>
      <w:r>
        <w:t xml:space="preserve">”</w:t>
      </w:r>
      <w:r>
        <w:t xml:space="preserve"> </w:t>
      </w:r>
      <w:r>
        <w:t xml:space="preserve">for orange).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than is observed in modern US English-learning children.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57"/>
      </w:r>
      <w:r>
        <w:t xml:space="preserve"> </w:t>
      </w:r>
      <w:r>
        <w:t xml:space="preserve">SK children have some access to such artifacts, but according to anthrpological accounts it is substantially sparser.</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but this explanation is merely speculative. We did, however, observe robust evidence for mixing and competition between the SK and Spanish color systems. Children differentially used Spanish terms in Study 2 when there was high uncertainty about the SK label for a particular color chip among adults.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Comprehension is generally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Yet this result comes with caveats. First,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 Second, 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p>
      <w:r>
        <w:br w:type="page"/>
      </w:r>
    </w:p>
    <w:bookmarkEnd w:id="58"/>
    <w:bookmarkStart w:id="103" w:name="references"/>
    <w:p>
      <w:pPr>
        <w:pStyle w:val="berschrift1"/>
      </w:pPr>
      <w:r>
        <w:t xml:space="preserve">References</w:t>
      </w:r>
    </w:p>
    <w:bookmarkStart w:id="102" w:name="refs"/>
    <w:bookmarkStart w:id="59"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59"/>
    <w:bookmarkStart w:id="60"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60"/>
    <w:bookmarkStart w:id="61"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61"/>
    <w:bookmarkStart w:id="62"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62"/>
    <w:bookmarkStart w:id="63" w:name="ref-bornstein2015"/>
    <w:p>
      <w:pPr>
        <w:pStyle w:val="Literaturverzeichnis"/>
      </w:pPr>
      <w:r>
        <w:t xml:space="preserve">Bornstein, M. H. (2015). Emergence and early development of color vision and color perception. In</w:t>
      </w:r>
      <w:r>
        <w:t xml:space="preserve"> </w:t>
      </w:r>
      <w:r>
        <w:rPr>
          <w:iCs/>
          <w:i/>
        </w:rPr>
        <w:t xml:space="preserve">Handbook of color psychology</w:t>
      </w:r>
      <w:r>
        <w:t xml:space="preserve">. Cambridge University Press.</w:t>
      </w:r>
    </w:p>
    <w:bookmarkEnd w:id="63"/>
    <w:bookmarkStart w:id="64"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64"/>
    <w:bookmarkStart w:id="65"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65"/>
    <w:bookmarkStart w:id="66"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66"/>
    <w:bookmarkStart w:id="67"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67"/>
    <w:bookmarkStart w:id="68"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68"/>
    <w:bookmarkStart w:id="69"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69"/>
    <w:bookmarkStart w:id="70"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70"/>
    <w:bookmarkStart w:id="71"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71"/>
    <w:bookmarkStart w:id="72"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72"/>
    <w:bookmarkStart w:id="73" w:name="ref-fortierunderreview"/>
    <w:p>
      <w:pPr>
        <w:pStyle w:val="Literaturverzeichnis"/>
      </w:pPr>
      <w:r>
        <w:t xml:space="preserve">Fortier, M., Kellier, D., Fernández Flecha, M., &amp; Frank, M. C. (under review).</w:t>
      </w:r>
      <w:r>
        <w:t xml:space="preserve"> </w:t>
      </w:r>
      <w:r>
        <w:rPr>
          <w:iCs/>
          <w:i/>
        </w:rPr>
        <w:t xml:space="preserve">Ad-hoc pragmatic implicatures among shipibo-konibo children in the peruvian amazon</w:t>
      </w:r>
      <w:r>
        <w:t xml:space="preserve">.</w:t>
      </w:r>
    </w:p>
    <w:bookmarkEnd w:id="73"/>
    <w:bookmarkStart w:id="74"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74"/>
    <w:bookmarkStart w:id="75"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75"/>
    <w:bookmarkStart w:id="76"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76"/>
    <w:bookmarkStart w:id="77"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77"/>
    <w:bookmarkStart w:id="78"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78"/>
    <w:bookmarkStart w:id="79"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79"/>
    <w:bookmarkStart w:id="80"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80"/>
    <w:bookmarkStart w:id="81" w:name="ref-lathrap1970"/>
    <w:p>
      <w:pPr>
        <w:pStyle w:val="Literaturverzeichnis"/>
      </w:pPr>
      <w:r>
        <w:t xml:space="preserve">Lathrap, D. W. (1970).</w:t>
      </w:r>
      <w:r>
        <w:t xml:space="preserve"> </w:t>
      </w:r>
      <w:r>
        <w:rPr>
          <w:iCs/>
          <w:i/>
        </w:rPr>
        <w:t xml:space="preserve">The upper amazon</w:t>
      </w:r>
      <w:r>
        <w:t xml:space="preserve">. Thames; Hudson.</w:t>
      </w:r>
    </w:p>
    <w:bookmarkEnd w:id="81"/>
    <w:bookmarkStart w:id="82"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82"/>
    <w:bookmarkStart w:id="83"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83"/>
    <w:bookmarkStart w:id="84"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84"/>
    <w:bookmarkStart w:id="85" w:name="ref-monroy1989"/>
    <w:p>
      <w:pPr>
        <w:pStyle w:val="Literaturverzeichnis"/>
      </w:pPr>
      <w:r>
        <w:t xml:space="preserve">Monroy, M., &amp; Custodio, S. (1989). Algunos usos de los terminos del color en el espa</w:t>
      </w:r>
      <w:r>
        <w:t xml:space="preserve">ñ</w:t>
      </w:r>
      <w:r>
        <w:t xml:space="preserve">ol de colombia.</w:t>
      </w:r>
      <w:r>
        <w:t xml:space="preserve"> </w:t>
      </w:r>
      <w:r>
        <w:rPr>
          <w:iCs/>
          <w:i/>
        </w:rPr>
        <w:t xml:space="preserve">Thesaurus; Bogot</w:t>
      </w:r>
      <w:r>
        <w:rPr>
          <w:iCs/>
          <w:i/>
        </w:rPr>
        <w:t xml:space="preserve">à</w:t>
      </w:r>
      <w:r>
        <w:t xml:space="preserve">,</w:t>
      </w:r>
      <w:r>
        <w:t xml:space="preserve"> </w:t>
      </w:r>
      <w:r>
        <w:rPr>
          <w:iCs/>
          <w:i/>
        </w:rPr>
        <w:t xml:space="preserve">44</w:t>
      </w:r>
      <w:r>
        <w:t xml:space="preserve">(2), 441.</w:t>
      </w:r>
    </w:p>
    <w:bookmarkEnd w:id="85"/>
    <w:bookmarkStart w:id="86" w:name="ref-morin1973"/>
    <w:p>
      <w:pPr>
        <w:pStyle w:val="Literaturverzeichnis"/>
      </w:pPr>
      <w:r>
        <w:t xml:space="preserve">Morin, E. (1973).</w:t>
      </w:r>
      <w:r>
        <w:t xml:space="preserve"> </w:t>
      </w:r>
      <w:r>
        <w:rPr>
          <w:iCs/>
          <w:i/>
        </w:rPr>
        <w:t xml:space="preserve">Le paradigme perdu: La nature humaine</w:t>
      </w:r>
      <w:r>
        <w:t xml:space="preserve">.</w:t>
      </w:r>
      <w:r>
        <w:t xml:space="preserve"> </w:t>
      </w:r>
      <w:r>
        <w:t xml:space="preserve">É</w:t>
      </w:r>
      <w:r>
        <w:t xml:space="preserve">ditions du Seuil.</w:t>
      </w:r>
    </w:p>
    <w:bookmarkEnd w:id="86"/>
    <w:bookmarkStart w:id="87" w:name="ref-Myers1974"/>
    <w:p>
      <w:pPr>
        <w:pStyle w:val="Literaturverzeichnis"/>
      </w:pPr>
      <w:r>
        <w:t xml:space="preserve">Myers, T. P. (1974). Spanish contacts and social change on the ucayali river, peru.</w:t>
      </w:r>
      <w:r>
        <w:t xml:space="preserve"> </w:t>
      </w:r>
      <w:r>
        <w:rPr>
          <w:iCs/>
          <w:i/>
        </w:rPr>
        <w:t xml:space="preserve">Ethnohistory</w:t>
      </w:r>
      <w:r>
        <w:t xml:space="preserve">,</w:t>
      </w:r>
      <w:r>
        <w:t xml:space="preserve"> </w:t>
      </w:r>
      <w:r>
        <w:rPr>
          <w:iCs/>
          <w:i/>
        </w:rPr>
        <w:t xml:space="preserve">21</w:t>
      </w:r>
      <w:r>
        <w:t xml:space="preserve">(2), 135–137.</w:t>
      </w:r>
    </w:p>
    <w:bookmarkEnd w:id="87"/>
    <w:bookmarkStart w:id="88"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88"/>
    <w:bookmarkStart w:id="89"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89"/>
    <w:bookmarkStart w:id="90"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90"/>
    <w:bookmarkStart w:id="91"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91"/>
    <w:bookmarkStart w:id="92"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92"/>
    <w:bookmarkStart w:id="93"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93"/>
    <w:bookmarkStart w:id="94"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94"/>
    <w:bookmarkStart w:id="95" w:name="ref-stclair2016"/>
    <w:p>
      <w:pPr>
        <w:pStyle w:val="Literaturverzeichnis"/>
      </w:pPr>
      <w:r>
        <w:t xml:space="preserve">St. Clair, K. (2016).</w:t>
      </w:r>
      <w:r>
        <w:t xml:space="preserve"> </w:t>
      </w:r>
      <w:r>
        <w:rPr>
          <w:iCs/>
          <w:i/>
        </w:rPr>
        <w:t xml:space="preserve">The secret lives of colour</w:t>
      </w:r>
      <w:r>
        <w:t xml:space="preserve">. John Murray.</w:t>
      </w:r>
    </w:p>
    <w:bookmarkEnd w:id="95"/>
    <w:bookmarkStart w:id="96"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96"/>
    <w:bookmarkStart w:id="97" w:name="ref-tournon2002"/>
    <w:p>
      <w:pPr>
        <w:pStyle w:val="Literaturverzeichnis"/>
      </w:pPr>
      <w:r>
        <w:t xml:space="preserve">Tournon, J. (2002).</w:t>
      </w:r>
      <w:r>
        <w:t xml:space="preserve"> </w:t>
      </w:r>
      <w:r>
        <w:rPr>
          <w:iCs/>
          <w:i/>
        </w:rPr>
        <w:t xml:space="preserve">La merma magica: Vida e historia de los shipibo-conibo del ucayali</w:t>
      </w:r>
      <w:r>
        <w:t xml:space="preserve">. Centro Amazonico de Antropologia Yaplicacion.</w:t>
      </w:r>
    </w:p>
    <w:bookmarkEnd w:id="97"/>
    <w:bookmarkStart w:id="98"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98"/>
    <w:bookmarkStart w:id="99"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99"/>
    <w:bookmarkStart w:id="100"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00"/>
    <w:bookmarkStart w:id="101"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01"/>
    <w:bookmarkEnd w:id="102"/>
    <w:bookmarkEnd w:id="10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30">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44">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57">
    <w:p>
      <w:pPr>
        <w:pStyle w:val="Funotentext"/>
      </w:pPr>
      <w:r>
        <w:rPr>
          <w:rStyle w:val="Funotenzeichen"/>
        </w:rPr>
        <w:footnoteRef/>
      </w:r>
      <w:r>
        <w:t xml:space="preserve"> </w:t>
      </w:r>
      <w:r>
        <w:t xml:space="preserve">These speculations are informed by personal experience; the children of one author both learned their color terms in their second year through repeated practice with sets of manufactured plastic artifacts that varied only in hue, providing ideal teaching examples.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2021-08-27T15:07:02Z</dcterms:created>
  <dcterms:modified xsi:type="dcterms:W3CDTF">2021-08-27T15:07:02Z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equally.This paper is dedicated to the memory of Martin Fortier. 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apa.csl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9499</vt:lpwstr>
  </property>
</Properties>
</file>