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Danielle Kellier*</w:t>
      </w:r>
      <w:r>
        <w:rPr>
          <w:vertAlign w:val="superscript"/>
        </w:rPr>
        <w:t xml:space="preserve">1</w:t>
      </w:r>
      <w:r>
        <w:t xml:space="preserve">, Martin Fortier*</w:t>
      </w:r>
      <w:r>
        <w:rPr>
          <w:vertAlign w:val="superscript"/>
        </w:rPr>
        <w:t xml:space="preserve">2</w:t>
      </w:r>
      <w:r>
        <w:t xml:space="preserve">, Maria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University of Pennsylvania</w:t>
      </w:r>
    </w:p>
    <w:p>
      <w:pPr>
        <w:pStyle w:val="Author"/>
      </w:pPr>
      <w:r>
        <w:rPr>
          <w:vertAlign w:val="superscript"/>
        </w:rPr>
        <w:t xml:space="preserve">2</w:t>
      </w:r>
      <w:r>
        <w:t xml:space="preserve"> </w:t>
      </w:r>
      <w:r>
        <w:t xml:space="preserve">PSL Research University</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The Development of Color Terms in Shipibo-Konibo Children</w:t>
      </w:r>
    </w:p>
    <w:p>
      <w:pPr>
        <w:pStyle w:val="berschrift1"/>
      </w:pPr>
      <w:bookmarkStart w:id="21" w:name="introduction"/>
      <w:r>
        <w:t xml:space="preserve">Introduction</w:t>
      </w:r>
      <w:bookmarkEnd w:id="21"/>
    </w:p>
    <w:p>
      <w:pPr>
        <w:pStyle w:val="FirstParagraph"/>
      </w:pPr>
      <w:r>
        <w:t xml:space="preserve">Color language is where language and perception meet. Terms like</w:t>
      </w:r>
      <w:r>
        <w:t xml:space="preserve"> </w:t>
      </w:r>
      <w:r>
        <w:rPr>
          <w:i/>
        </w:rPr>
        <w:t xml:space="preserve">blue</w:t>
      </w:r>
      <w:r>
        <w:t xml:space="preserve"> </w:t>
      </w:r>
      <w:r>
        <w:t xml:space="preserve">or</w:t>
      </w:r>
      <w:r>
        <w:t xml:space="preserve"> </w:t>
      </w:r>
      <w:r>
        <w:rPr>
          <w:i/>
        </w:rPr>
        <w:t xml:space="preserve">red</w:t>
      </w:r>
      <w:r>
        <w:t xml:space="preserve"> </w:t>
      </w:r>
      <w:r>
        <w:t xml:space="preserve">draw boundary lines across a perceptually continuous space. In English, there are 11 high frequency basic color terms (BCTs), but this color categorization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and some languages have as few as two words</w:t>
      </w:r>
      <w:r>
        <w:t xml:space="preserve"> </w:t>
      </w:r>
      <w:r>
        <w:t xml:space="preserve">(e.g., the Jalé people only have terms for “light” and “dark”;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suiting different communicative needs</w:t>
      </w:r>
      <w:r>
        <w:t xml:space="preserve"> </w:t>
      </w:r>
      <w:r>
        <w:t xml:space="preserve">(Regier, Kay, &amp; Khetarpal, 2007; Zaslavsky, Kemp, Tishby, &amp; Regier,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Smolensky, &amp; Legendre, 2012)</w:t>
      </w:r>
      <w:r>
        <w:t xml:space="preserve">. In the domain of color, some color systems may be easier to learn for children than others, or children may show inductive biases that shape color vocabulary. But the actual acquisition of color terms – while relatively well-studied in English</w:t>
      </w:r>
      <w:r>
        <w:t xml:space="preserve"> </w:t>
      </w:r>
      <w:r>
        <w:t xml:space="preserve">(e.g., Sandhofer &amp; Smith, 1999; Wagner, Dobkins, &amp; Barner, 2013)</w:t>
      </w:r>
      <w:r>
        <w:t xml:space="preserve"> </w:t>
      </w:r>
      <w:r>
        <w:t xml:space="preserve">– is extremely under-studied across other populations. Berlin &amp; Kay’s seminal World Color Survey</w:t>
      </w:r>
      <w:r>
        <w:t xml:space="preserve"> </w:t>
      </w:r>
      <w:r>
        <w:t xml:space="preserve">(WCS; Kay, Berlin, Maffin, Merrifield, &amp; Cook, 2009)</w:t>
      </w:r>
      <w:r>
        <w:t xml:space="preserve"> </w:t>
      </w:r>
      <w:r>
        <w:t xml:space="preserve">presented adult speakers of over 100 languages with differently colored chips and asked them to produce a label, characterizing the space of color vocabulary in a range of written and unwritten languages. The WCS is an invaluable resource for the cross-linguistic study of color vocabulary, but no comparable resource exists for cross-cultural studies of how this vocabulary is learned across childhood.</w:t>
      </w:r>
    </w:p>
    <w:p>
      <w:pPr>
        <w:pStyle w:val="Textkrper"/>
      </w:pPr>
      <w:r>
        <w:t xml:space="preserve">In the current project, our goals were (1) to characterize color term knowledge in an indigenous population previously studied by the WCS, the Shipibo-Konibo (SK), and then (2) to build on this foundation to characterize the developmental trajectory of color language acquisition in a group of children raised learning Shipibo-Konibo, outside of the WEIRD (Western Educated Industrialized Rich Democratic) populations that are over-represented in behavioral science</w:t>
      </w:r>
      <w:r>
        <w:t xml:space="preserve"> </w:t>
      </w:r>
      <w:r>
        <w:t xml:space="preserve">(Henrich, Heine, &amp; Norenzayan, 2010; Nielsen, Haun, Kärtner, &amp; Legare, 2017)</w:t>
      </w:r>
      <w:r>
        <w:t xml:space="preserve">. In the remainder of the introduction, we review color vocabulary development in children, and then we turn to reviewing what is currently known about color terms in Latin American varieties of Spanish, such as Mexican, Colombian, and Bolivian Spanish, and in some Amazonian languages, such as Candoshi, Pirahã, and Shipibo Konibo. These two literatures set the stage for our own study.</w:t>
      </w:r>
    </w:p>
    <w:p>
      <w:pPr>
        <w:pStyle w:val="berschrift2"/>
      </w:pPr>
      <w:bookmarkStart w:id="22" w:name="the-development-of-color-vocabulary"/>
      <w:r>
        <w:t xml:space="preserve">The Development of Color Vocabulary</w:t>
      </w:r>
      <w:bookmarkEnd w:id="22"/>
    </w:p>
    <w:p>
      <w:pPr>
        <w:pStyle w:val="FirstParagraph"/>
      </w:pPr>
      <w:r>
        <w:t xml:space="preserve">To adult speakers, colors are extremely salient attributes of the perceptual world; even when color is seemingly task-irrelevant, we mention it</w:t>
      </w:r>
      <w:r>
        <w:t xml:space="preserve"> </w:t>
      </w:r>
      <w:r>
        <w:t xml:space="preserve">(e.g., Sedivy, 2003)</w:t>
      </w:r>
      <w:r>
        <w:t xml:space="preserve">. It is quite surprising then that children often struggle to master color vocabulary. As reviewed by</w:t>
      </w:r>
      <w:r>
        <w:t xml:space="preserve"> </w:t>
      </w:r>
      <w:r>
        <w:t xml:space="preserve">H.Bornstein (1985)</w:t>
      </w:r>
      <w:r>
        <w:t xml:space="preserve">, it has long been noted that color vocabulary is learned quite late in development, with observations by Darwin, Bateman, Nagel, and others attesting to individual children’s delays in the correct use of color terms well into middle childhood; several diarists report 5 - 8 year olds with limited mastery of basic level color terms. These observations are surprising in light of the body of infant research that suggests that infants’ color</w:t>
      </w:r>
      <w:r>
        <w:t xml:space="preserve"> </w:t>
      </w:r>
      <w:r>
        <w:rPr>
          <w:i/>
        </w:rPr>
        <w:t xml:space="preserve">discrimination</w:t>
      </w:r>
      <w:r>
        <w:t xml:space="preserve"> </w:t>
      </w:r>
      <w:r>
        <w:t xml:space="preserve">abilities are relatively well-developed by the end of the first year of life</w:t>
      </w:r>
      <w:r>
        <w:t xml:space="preserve"> </w:t>
      </w:r>
      <w:r>
        <w:t xml:space="preserve">(for review see e.g., Dobson &amp; Teller, 1978)</w:t>
      </w:r>
      <w:r>
        <w:t xml:space="preserve">. The age at which color words are learned has been shifting over the past hundred years, however, at least for English-speaking children.</w:t>
      </w:r>
      <w:r>
        <w:t xml:space="preserve"> </w:t>
      </w:r>
      <w:r>
        <w:t xml:space="preserve">H.Bornstein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(Wagner et al., 2013; Wagner, Jergens, &amp; Barner,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they then rapidly map colors correctly onto the appropriate hues.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Kessen, &amp; Weiskopf, 1976; Franklin, Pilling, &amp; Davies, 2005)</w:t>
      </w:r>
      <w:r>
        <w:t xml:space="preserve">.</w:t>
      </w:r>
    </w:p>
    <w:p>
      <w:pPr>
        <w:pStyle w:val="Textkrper"/>
      </w:pPr>
      <w:r>
        <w:t xml:space="preserve">On the other hand, when children’s mapping errors are examined in detail, they show more systematicity than would be predicted by this account. In particular,</w:t>
      </w:r>
      <w:r>
        <w:t xml:space="preserve"> </w:t>
      </w:r>
      <w:r>
        <w:t xml:space="preserve">Wagner et al. (2013)</w:t>
      </w:r>
      <w:r>
        <w:t xml:space="preserve"> </w:t>
      </w:r>
      <w:r>
        <w:t xml:space="preserve">show that children who may not have full mastery of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
        </w:rPr>
        <w:t xml:space="preserve">blue</w:t>
      </w:r>
      <w:r>
        <w:t xml:space="preserve"> </w:t>
      </w:r>
      <w:r>
        <w:t xml:space="preserve">and</w:t>
      </w:r>
      <w:r>
        <w:t xml:space="preserve"> </w:t>
      </w:r>
      <w:r>
        <w:rPr>
          <w:i/>
        </w:rPr>
        <w:t xml:space="preserve">green</w:t>
      </w:r>
      <w:r>
        <w:t xml:space="preserve"> </w:t>
      </w:r>
      <w:r>
        <w:t xml:space="preserve">hues (which are close together in color space). These overextensions are reminiscent of overextensions of noun meaning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The order of acquisition for color word meanings in this study was well-predicted by the frequency and perceptual salience of color categories</w:t>
      </w:r>
      <w:r>
        <w:t xml:space="preserve"> </w:t>
      </w:r>
      <w:r>
        <w:t xml:space="preserve">(Yurovsky, Wagner, Barner, &amp; Frank, 2015)</w:t>
      </w:r>
      <w:r>
        <w:t xml:space="preserve">, further supporting the view that color categories are learned gradually from perceptual experiences rather than all at once. Finally, both behavioral and eye-tracking evidence suggests that children show earlier comprehension than production for color words</w:t>
      </w:r>
      <w:r>
        <w:t xml:space="preserve"> </w:t>
      </w:r>
      <w:r>
        <w:t xml:space="preserve">(Sandhofer &amp; Smith, 1999; Wagner et al., 2018)</w:t>
      </w:r>
      <w:r>
        <w:t xml:space="preserve">. And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but systematic mapping of words to particular regions of perceptual space is likely another.</w:t>
      </w:r>
    </w:p>
    <w:p>
      <w:pPr>
        <w:pStyle w:val="Textkrper"/>
      </w:pPr>
      <w:r>
        <w:t xml:space="preserve">So why are these processes getting easier – or at least occurring earlier in development – for English-learning children? There are at least two obvious, plausible reasons that occur to us.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Here we are inspired by the work of</w:t>
      </w:r>
      <w:r>
        <w:t xml:space="preserve"> </w:t>
      </w:r>
      <w:r>
        <w:t xml:space="preserve">Piantadosi, Jara‐Ettinger, and Gibson (2014)</w:t>
      </w:r>
      <w:r>
        <w:t xml:space="preserve">, who studied the learning of number word meanings in children in another Amazonian color (the Tsimane). They found that, despite differences in developmental timing, the patterns of generalization of number meaning were generally similar to those documented in WEIRD populations. We are interested in whether we observe similar dynamics in color word learning.</w:t>
      </w:r>
    </w:p>
    <w:p>
      <w:pPr>
        <w:pStyle w:val="berschrift2"/>
      </w:pPr>
      <w:bookmarkStart w:id="23" w:name="Xa2f4e728eff2300251af978d37ba79d563ec312"/>
      <w:r>
        <w:t xml:space="preserve">Color in Latin American varieties of Spanish and Amazonian languages</w:t>
      </w:r>
      <w:bookmarkEnd w:id="23"/>
    </w:p>
    <w:p>
      <w:pPr>
        <w:pStyle w:val="FirstParagraph"/>
      </w:pPr>
      <w:r>
        <w:t xml:space="preserve">In their seminal work,</w:t>
      </w:r>
      <w:r>
        <w:t xml:space="preserve"> </w:t>
      </w:r>
      <w:r>
        <w:t xml:space="preserve">Berlin and Kay (1969)</w:t>
      </w:r>
      <w:r>
        <w:t xml:space="preserve"> </w:t>
      </w:r>
      <w:r>
        <w:t xml:space="preserve">established a framework for cross-linguistic differences in color vocabulary. They focused their work on BCTs, the words that are highest-frequency and most consistently used when speakers of a language refer to visual hue. According to these authors, there is a fixed evolutionary sequence of stages that languages go through as they increase their color vocabulary; in this sense, if a language encodes a category from a particular stage, it must also encode those corresponding to all previous stages. So, for example, a Stage II system would add the term</w:t>
      </w:r>
      <w:r>
        <w:t xml:space="preserve"> </w:t>
      </w:r>
      <w:r>
        <w:rPr>
          <w:i/>
        </w:rPr>
        <w:t xml:space="preserve">red</w:t>
      </w:r>
      <w:r>
        <w:t xml:space="preserve"> </w:t>
      </w:r>
      <w:r>
        <w:t xml:space="preserve">to the colors already present in Stage I (</w:t>
      </w:r>
      <w:r>
        <w:rPr>
          <w:i/>
        </w:rPr>
        <w:t xml:space="preserve">black</w:t>
      </w:r>
      <w:r>
        <w:t xml:space="preserve"> </w:t>
      </w:r>
      <w:r>
        <w:t xml:space="preserve">and</w:t>
      </w:r>
      <w:r>
        <w:t xml:space="preserve"> </w:t>
      </w:r>
      <w:r>
        <w:rPr>
          <w:i/>
        </w:rPr>
        <w:t xml:space="preserve">white</w:t>
      </w:r>
      <w:r>
        <w:t xml:space="preserve">). It wouldn’t be possible for a system to have</w:t>
      </w:r>
      <w:r>
        <w:t xml:space="preserve"> </w:t>
      </w:r>
      <w:r>
        <w:rPr>
          <w:i/>
        </w:rPr>
        <w:t xml:space="preserve">red</w:t>
      </w:r>
      <w:r>
        <w:t xml:space="preserve"> </w:t>
      </w:r>
      <w:r>
        <w:t xml:space="preserve">if it doesn’t already have</w:t>
      </w:r>
      <w:r>
        <w:t xml:space="preserve"> </w:t>
      </w:r>
      <w:r>
        <w:rPr>
          <w:i/>
        </w:rPr>
        <w:t xml:space="preserve">black</w:t>
      </w:r>
      <w:r>
        <w:t xml:space="preserve"> </w:t>
      </w:r>
      <w:r>
        <w:t xml:space="preserve">and</w:t>
      </w:r>
      <w:r>
        <w:t xml:space="preserve"> </w:t>
      </w:r>
      <w:r>
        <w:rPr>
          <w:i/>
        </w:rPr>
        <w:t xml:space="preserve">white</w:t>
      </w:r>
      <w:r>
        <w:t xml:space="preserve">. Although the original</w:t>
      </w:r>
      <w:r>
        <w:t xml:space="preserve"> </w:t>
      </w:r>
      <w:r>
        <w:t xml:space="preserve">Berlin and Kay (1969)</w:t>
      </w:r>
      <w:r>
        <w:t xml:space="preserve"> </w:t>
      </w:r>
      <w:r>
        <w:t xml:space="preserve">framework has been revised and questioned in subsequent work (e.g.,</w:t>
      </w:r>
      <w:r>
        <w:t xml:space="preserve"> </w:t>
      </w:r>
      <w:r>
        <w:t xml:space="preserve">Levinson (2000)</w:t>
      </w:r>
      <w:r>
        <w:t xml:space="preserve">), this framework still shapes the research landscape on color. As we will review below, the Berlin and Kay framework appears to apply quite well to Spanish dialects. In contrast, there has been more controversy about the applicability of the framework to Amazonian languages, specifically centered around the status of ad hoc color terms – descriptors of other objects or properties that are adopted for the description of hue (e.g., the use of</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w:t>
      </w:r>
    </w:p>
    <w:p>
      <w:pPr>
        <w:pStyle w:val="Textkrper"/>
      </w:pPr>
      <w:r>
        <w:t xml:space="preserve">Only a handful of studies have explored the use of color terms in the varieties of Spanish in Latin America.</w:t>
      </w:r>
      <w:r>
        <w:t xml:space="preserve"> </w:t>
      </w:r>
      <w:r>
        <w:t xml:space="preserve">Berlin and Kay (1969)</w:t>
      </w:r>
      <w:r>
        <w:t xml:space="preserve"> </w:t>
      </w:r>
      <w:r>
        <w:t xml:space="preserve">examine the case of the Mexican dialect of Spanish, which they consider to be in Stage VII of their classification (color systems in this stage, the most advanced one, consist of between 8 and 11 color terms). They identify the following BCTs in Mexican Spanish:</w:t>
      </w:r>
      <w:r>
        <w:t xml:space="preserve"> </w:t>
      </w:r>
      <w:r>
        <w:rPr>
          <w:i/>
        </w:rPr>
        <w:t xml:space="preserve">blanco</w:t>
      </w:r>
      <w:r>
        <w:t xml:space="preserve"> </w:t>
      </w:r>
      <w:r>
        <w:t xml:space="preserve">(white),</w:t>
      </w:r>
      <w:r>
        <w:t xml:space="preserve"> </w:t>
      </w:r>
      <w:r>
        <w:rPr>
          <w:i/>
        </w:rPr>
        <w:t xml:space="preserve">negro</w:t>
      </w:r>
      <w:r>
        <w:t xml:space="preserve"> </w:t>
      </w:r>
      <w:r>
        <w:t xml:space="preserve">(black),</w:t>
      </w:r>
      <w:r>
        <w:t xml:space="preserve"> </w:t>
      </w:r>
      <w:r>
        <w:rPr>
          <w:i/>
        </w:rPr>
        <w:t xml:space="preserve">rojo</w:t>
      </w:r>
      <w:r>
        <w:t xml:space="preserve"> </w:t>
      </w:r>
      <w:r>
        <w:t xml:space="preserve">(red),</w:t>
      </w:r>
      <w:r>
        <w:t xml:space="preserve"> </w:t>
      </w:r>
      <w:r>
        <w:rPr>
          <w:i/>
        </w:rPr>
        <w:t xml:space="preserve">verde</w:t>
      </w:r>
      <w:r>
        <w:t xml:space="preserve"> </w:t>
      </w:r>
      <w:r>
        <w:t xml:space="preserve">(green),</w:t>
      </w:r>
      <w:r>
        <w:t xml:space="preserve"> </w:t>
      </w:r>
      <w:r>
        <w:rPr>
          <w:i/>
        </w:rPr>
        <w:t xml:space="preserve">amarillo</w:t>
      </w:r>
      <w:r>
        <w:t xml:space="preserve"> </w:t>
      </w:r>
      <w:r>
        <w:t xml:space="preserve">(yellow),</w:t>
      </w:r>
      <w:r>
        <w:t xml:space="preserve"> </w:t>
      </w:r>
      <w:r>
        <w:rPr>
          <w:i/>
        </w:rPr>
        <w:t xml:space="preserve">azul</w:t>
      </w:r>
      <w:r>
        <w:t xml:space="preserve"> </w:t>
      </w:r>
      <w:r>
        <w:t xml:space="preserve">(blue),</w:t>
      </w:r>
      <w:r>
        <w:t xml:space="preserve"> </w:t>
      </w:r>
      <w:r>
        <w:rPr>
          <w:i/>
        </w:rPr>
        <w:t xml:space="preserve">café</w:t>
      </w:r>
      <w:r>
        <w:t xml:space="preserve"> </w:t>
      </w:r>
      <w:r>
        <w:t xml:space="preserve">(brown),</w:t>
      </w:r>
      <w:r>
        <w:t xml:space="preserve"> </w:t>
      </w:r>
      <w:r>
        <w:rPr>
          <w:i/>
        </w:rPr>
        <w:t xml:space="preserve">morado</w:t>
      </w:r>
      <w:r>
        <w:t xml:space="preserve"> </w:t>
      </w:r>
      <w:r>
        <w:t xml:space="preserve">(purple),</w:t>
      </w:r>
      <w:r>
        <w:t xml:space="preserve"> </w:t>
      </w:r>
      <w:r>
        <w:rPr>
          <w:i/>
        </w:rPr>
        <w:t xml:space="preserve">rosa</w:t>
      </w:r>
      <w:r>
        <w:t xml:space="preserve"> </w:t>
      </w:r>
      <w:r>
        <w:t xml:space="preserve">(pink),</w:t>
      </w:r>
      <w:r>
        <w:t xml:space="preserve"> </w:t>
      </w:r>
      <w:r>
        <w:rPr>
          <w:i/>
        </w:rPr>
        <w:t xml:space="preserve">anaranjado</w:t>
      </w:r>
      <w:r>
        <w:t xml:space="preserve"> </w:t>
      </w:r>
      <w:r>
        <w:t xml:space="preserve">(orange) and</w:t>
      </w:r>
      <w:r>
        <w:t xml:space="preserve"> </w:t>
      </w:r>
      <w:r>
        <w:rPr>
          <w:i/>
        </w:rPr>
        <w:t xml:space="preserve">gris</w:t>
      </w:r>
      <w:r>
        <w:t xml:space="preserve"> </w:t>
      </w:r>
      <w:r>
        <w:t xml:space="preserve">(grey).</w:t>
      </w:r>
    </w:p>
    <w:p>
      <w:pPr>
        <w:pStyle w:val="Textkrper"/>
      </w:pPr>
      <w:r>
        <w:t xml:space="preserve">Also, based on their work with forty Tzeltal participants (both Tzeltal monolinguals as well as Tzeltal-Spanish bilinguals),</w:t>
      </w:r>
      <w:r>
        <w:t xml:space="preserve"> </w:t>
      </w:r>
      <w:r>
        <w:t xml:space="preserve">Berlin and Kay (1969)</w:t>
      </w:r>
      <w:r>
        <w:t xml:space="preserve"> </w:t>
      </w:r>
      <w:r>
        <w:t xml:space="preserve">report that bilingualism did not skew their results regarding the existence of semantic universals in the domain of color vocabulary. Tzeltal has five BCTs:</w:t>
      </w:r>
      <w:r>
        <w:t xml:space="preserve"> </w:t>
      </w:r>
      <w:r>
        <w:rPr>
          <w:i/>
        </w:rPr>
        <w:t xml:space="preserve">?ihk´</w:t>
      </w:r>
      <w:r>
        <w:t xml:space="preserve"> </w:t>
      </w:r>
      <w:r>
        <w:t xml:space="preserve">(black),</w:t>
      </w:r>
      <w:r>
        <w:t xml:space="preserve"> </w:t>
      </w:r>
      <w:r>
        <w:rPr>
          <w:i/>
        </w:rPr>
        <w:t xml:space="preserve">sak</w:t>
      </w:r>
      <w:r>
        <w:t xml:space="preserve"> </w:t>
      </w:r>
      <w:r>
        <w:t xml:space="preserve">(white),</w:t>
      </w:r>
      <w:r>
        <w:t xml:space="preserve"> </w:t>
      </w:r>
      <w:r>
        <w:rPr>
          <w:i/>
        </w:rPr>
        <w:t xml:space="preserve">cah</w:t>
      </w:r>
      <w:r>
        <w:t xml:space="preserve"> </w:t>
      </w:r>
      <w:r>
        <w:t xml:space="preserve">(red),</w:t>
      </w:r>
      <w:r>
        <w:t xml:space="preserve"> </w:t>
      </w:r>
      <w:r>
        <w:rPr>
          <w:i/>
        </w:rPr>
        <w:t xml:space="preserve">yaš</w:t>
      </w:r>
      <w:r>
        <w:t xml:space="preserve"> </w:t>
      </w:r>
      <w:r>
        <w:t xml:space="preserve">(green) and</w:t>
      </w:r>
      <w:r>
        <w:t xml:space="preserve"> </w:t>
      </w:r>
      <w:r>
        <w:rPr>
          <w:i/>
        </w:rPr>
        <w:t xml:space="preserve">k´an</w:t>
      </w:r>
      <w:r>
        <w:t xml:space="preserve"> </w:t>
      </w:r>
      <w:r>
        <w:t xml:space="preserve">(yellow). This language is estimated to be transitioning from Stage IV to V, which is reflected in the ambiguity of the focus of</w:t>
      </w:r>
      <w:r>
        <w:t xml:space="preserve"> </w:t>
      </w:r>
      <w:r>
        <w:rPr>
          <w:i/>
        </w:rPr>
        <w:t xml:space="preserve">yaš</w:t>
      </w:r>
      <w:r>
        <w:t xml:space="preserve"> </w:t>
      </w:r>
      <w:r>
        <w:t xml:space="preserve">(grue). While all Tzeltal speakers acknowledge that</w:t>
      </w:r>
      <w:r>
        <w:t xml:space="preserve"> </w:t>
      </w:r>
      <w:r>
        <w:rPr>
          <w:i/>
        </w:rPr>
        <w:t xml:space="preserve">yaš</w:t>
      </w:r>
      <w:r>
        <w:t xml:space="preserve"> </w:t>
      </w:r>
      <w:r>
        <w:t xml:space="preserve">includes two major perceptual centers (</w:t>
      </w:r>
      <w:r>
        <w:rPr>
          <w:i/>
        </w:rPr>
        <w:t xml:space="preserve">green</w:t>
      </w:r>
      <w:r>
        <w:t xml:space="preserve"> </w:t>
      </w:r>
      <w:r>
        <w:t xml:space="preserve">and</w:t>
      </w:r>
      <w:r>
        <w:t xml:space="preserve"> </w:t>
      </w:r>
      <w:r>
        <w:rPr>
          <w:i/>
        </w:rPr>
        <w:t xml:space="preserve">blue</w:t>
      </w:r>
      <w:r>
        <w:t xml:space="preserve">), they vary in terms of their favored focal (either in the</w:t>
      </w:r>
      <w:r>
        <w:t xml:space="preserve"> </w:t>
      </w:r>
      <w:r>
        <w:rPr>
          <w:i/>
        </w:rPr>
        <w:t xml:space="preserve">green</w:t>
      </w:r>
      <w:r>
        <w:t xml:space="preserve"> </w:t>
      </w:r>
      <w:r>
        <w:t xml:space="preserve">or blue</w:t>
      </w:r>
      <w:r>
        <w:t xml:space="preserve"> </w:t>
      </w:r>
      <w:r>
        <w:rPr>
          <w:i/>
        </w:rPr>
        <w:t xml:space="preserve">area</w:t>
      </w:r>
      <w:r>
        <w:t xml:space="preserve">). The authors posit that a long history of contact with Spanish has probably accentuated this, and suggest that exposure to Spanish in schools will eventually cause</w:t>
      </w:r>
      <w:r>
        <w:t xml:space="preserve"> </w:t>
      </w:r>
      <w:r>
        <w:rPr>
          <w:i/>
        </w:rPr>
        <w:t xml:space="preserve">yaš</w:t>
      </w:r>
      <w:r>
        <w:t xml:space="preserve"> </w:t>
      </w:r>
      <w:r>
        <w:t xml:space="preserve">to be entirely restricted to greens, and</w:t>
      </w:r>
      <w:r>
        <w:t xml:space="preserve"> </w:t>
      </w:r>
      <w:r>
        <w:rPr>
          <w:i/>
        </w:rPr>
        <w:t xml:space="preserve">azul</w:t>
      </w:r>
      <w:r>
        <w:t xml:space="preserve"> </w:t>
      </w:r>
      <w:r>
        <w:t xml:space="preserve">(or some other Spanish term) will be adopted into the Tzeltal color system.</w:t>
      </w:r>
    </w:p>
    <w:p>
      <w:pPr>
        <w:pStyle w:val="Textkrper"/>
      </w:pPr>
      <w:r>
        <w:t xml:space="preserve">Monroy and Custodio (1989)</w:t>
      </w:r>
      <w:r>
        <w:t xml:space="preserve"> </w:t>
      </w:r>
      <w:r>
        <w:t xml:space="preserve">offers information on Colombian Spanish based on materials collected for the Linguistic-ethnographic Atlas of Colombia, presenting examples of ad hoc color terms referring to colors through objects prototypically instantiating these colors (e.g., vegetables, animals, food, metals, precious stones, fire and its derivatives, and</w:t>
      </w:r>
      <w:r>
        <w:t xml:space="preserve"> </w:t>
      </w:r>
      <w:r>
        <w:t xml:space="preserve">“</w:t>
      </w:r>
      <w:r>
        <w:t xml:space="preserve">atmospheric phenomena). Such ad-hoc terms are a common way that languages supplement color vocabulary (e.g.,</w:t>
      </w:r>
      <w:r>
        <w:t xml:space="preserve"> </w:t>
      </w:r>
      <w:r>
        <w:t xml:space="preserve">Kristol (1980)</w:t>
      </w:r>
      <w:r>
        <w:t xml:space="preserve">), with historical case studies suggesting that they can become conventionalized, BCTs (e.g., the English “orange,</w:t>
      </w:r>
      <w:r>
        <w:t xml:space="preserve">”</w:t>
      </w:r>
      <w:r>
        <w:t xml:space="preserve"> </w:t>
      </w:r>
      <w:r>
        <w:t xml:space="preserve">which derives from an ad-hoc term based on the fruit;</w:t>
      </w:r>
      <w:r>
        <w:t xml:space="preserve"> </w:t>
      </w:r>
      <w:r>
        <w:t xml:space="preserve">St. Clair (2016)</w:t>
      </w:r>
      <w:r>
        <w:t xml:space="preserve">).</w:t>
      </w:r>
    </w:p>
    <w:p>
      <w:pPr>
        <w:pStyle w:val="Textkrper"/>
      </w:pPr>
      <w:r>
        <w:t xml:space="preserve">More recent work on Spanish largely confirms the earlier studies, while adding some dialectal nuance.</w:t>
      </w:r>
      <w:r>
        <w:t xml:space="preserve"> </w:t>
      </w:r>
      <w:r>
        <w:t xml:space="preserve">Aragón (2016)</w:t>
      </w:r>
      <w:r>
        <w:t xml:space="preserve"> </w:t>
      </w:r>
      <w:r>
        <w:t xml:space="preserve">offers an ethnolinguistic study of color terms in Mexican Spanish:</w:t>
      </w:r>
      <w:r>
        <w:t xml:space="preserve"> </w:t>
      </w:r>
      <w:r>
        <w:rPr>
          <w:i/>
        </w:rPr>
        <w:t xml:space="preserve">amarillo</w:t>
      </w:r>
      <w:r>
        <w:t xml:space="preserve"> </w:t>
      </w:r>
      <w:r>
        <w:t xml:space="preserve">(yellow),</w:t>
      </w:r>
      <w:r>
        <w:t xml:space="preserve"> </w:t>
      </w:r>
      <w:r>
        <w:rPr>
          <w:i/>
        </w:rPr>
        <w:t xml:space="preserve">azul</w:t>
      </w:r>
      <w:r>
        <w:t xml:space="preserve"> </w:t>
      </w:r>
      <w:r>
        <w:t xml:space="preserve">(blue),</w:t>
      </w:r>
      <w:r>
        <w:t xml:space="preserve"> </w:t>
      </w:r>
      <w:r>
        <w:rPr>
          <w:i/>
        </w:rPr>
        <w:t xml:space="preserve">blanco</w:t>
      </w:r>
      <w:r>
        <w:t xml:space="preserve"> </w:t>
      </w:r>
      <w:r>
        <w:t xml:space="preserve">(white),</w:t>
      </w:r>
      <w:r>
        <w:t xml:space="preserve"> </w:t>
      </w:r>
      <w:r>
        <w:rPr>
          <w:i/>
        </w:rPr>
        <w:t xml:space="preserve">café</w:t>
      </w:r>
      <w:r>
        <w:t xml:space="preserve"> </w:t>
      </w:r>
      <w:r>
        <w:t xml:space="preserve">(brown, but literally</w:t>
      </w:r>
      <w:r>
        <w:t xml:space="preserve"> </w:t>
      </w:r>
      <w:r>
        <w:t xml:space="preserve">“</w:t>
      </w:r>
      <w:r>
        <w:t xml:space="preserve">coffee</w:t>
      </w:r>
      <w:r>
        <w:t xml:space="preserve">”</w:t>
      </w:r>
      <w:r>
        <w:t xml:space="preserve">),</w:t>
      </w:r>
      <w:r>
        <w:t xml:space="preserve"> </w:t>
      </w:r>
      <w:r>
        <w:rPr>
          <w:i/>
        </w:rPr>
        <w:t xml:space="preserve">gris</w:t>
      </w:r>
      <w:r>
        <w:t xml:space="preserve"> </w:t>
      </w:r>
      <w:r>
        <w:t xml:space="preserve">(gray),</w:t>
      </w:r>
      <w:r>
        <w:t xml:space="preserve"> </w:t>
      </w:r>
      <w:r>
        <w:rPr>
          <w:i/>
        </w:rPr>
        <w:t xml:space="preserve">morado</w:t>
      </w:r>
      <w:r>
        <w:t xml:space="preserve"> </w:t>
      </w:r>
      <w:r>
        <w:t xml:space="preserve">(purple),</w:t>
      </w:r>
      <w:r>
        <w:t xml:space="preserve"> </w:t>
      </w:r>
      <w:r>
        <w:rPr>
          <w:i/>
        </w:rPr>
        <w:t xml:space="preserve">naranja</w:t>
      </w:r>
      <w:r>
        <w:t xml:space="preserve"> </w:t>
      </w:r>
      <w:r>
        <w:t xml:space="preserve">(orange),</w:t>
      </w:r>
      <w:r>
        <w:t xml:space="preserve"> </w:t>
      </w:r>
      <w:r>
        <w:rPr>
          <w:i/>
        </w:rPr>
        <w:t xml:space="preserve">negro</w:t>
      </w:r>
      <w:r>
        <w:t xml:space="preserve"> </w:t>
      </w:r>
      <w:r>
        <w:t xml:space="preserve">(black),</w:t>
      </w:r>
      <w:r>
        <w:t xml:space="preserve"> </w:t>
      </w:r>
      <w:r>
        <w:rPr>
          <w:i/>
        </w:rPr>
        <w:t xml:space="preserve">rojo</w:t>
      </w:r>
      <w:r>
        <w:t xml:space="preserve"> </w:t>
      </w:r>
      <w:r>
        <w:t xml:space="preserve">(red),</w:t>
      </w:r>
      <w:r>
        <w:t xml:space="preserve"> </w:t>
      </w:r>
      <w:r>
        <w:rPr>
          <w:i/>
        </w:rPr>
        <w:t xml:space="preserve">rosado</w:t>
      </w:r>
      <w:r>
        <w:t xml:space="preserve"> </w:t>
      </w:r>
      <w:r>
        <w:t xml:space="preserve">(pink) and</w:t>
      </w:r>
      <w:r>
        <w:t xml:space="preserve"> </w:t>
      </w:r>
      <w:r>
        <w:rPr>
          <w:i/>
        </w:rPr>
        <w:t xml:space="preserve">verde</w:t>
      </w:r>
      <w:r>
        <w:t xml:space="preserve"> </w:t>
      </w:r>
      <w:r>
        <w:t xml:space="preserve">(green). She analyzes the elaboration of these meanings in dictionaries, as well as the references and associations to which informants resort to for their own definitions. Aragón concludes that the local natural and cultural referents constitute a point of consensus among Mexicans when defining terms of color. Although informants also discussed some cultural material referents, these were not salient prototypes in their explanations. A special case that would merit further study in the future is that of</w:t>
      </w:r>
      <w:r>
        <w:t xml:space="preserve"> </w:t>
      </w:r>
      <w:r>
        <w:rPr>
          <w:i/>
        </w:rPr>
        <w:t xml:space="preserve">café</w:t>
      </w:r>
      <w:r>
        <w:t xml:space="preserve"> </w:t>
      </w:r>
      <w:r>
        <w:t xml:space="preserve">in Mexico versus</w:t>
      </w:r>
      <w:r>
        <w:t xml:space="preserve"> </w:t>
      </w:r>
      <w:r>
        <w:rPr>
          <w:i/>
        </w:rPr>
        <w:t xml:space="preserve">marrón</w:t>
      </w:r>
      <w:r>
        <w:t xml:space="preserve"> </w:t>
      </w:r>
      <w:r>
        <w:t xml:space="preserve">in Spain. According to the author, these two color terms are differentiated by the prototype</w:t>
      </w:r>
      <w:r>
        <w:t xml:space="preserve"> </w:t>
      </w:r>
      <w:r>
        <w:t xml:space="preserve">“</w:t>
      </w:r>
      <w:r>
        <w:t xml:space="preserve">toasted coffee grain</w:t>
      </w:r>
      <w:r>
        <w:t xml:space="preserve">”</w:t>
      </w:r>
      <w:r>
        <w:t xml:space="preserve"> </w:t>
      </w:r>
      <w:r>
        <w:t xml:space="preserve">associated with the term in Mexican Spanish.</w:t>
      </w:r>
      <w:r>
        <w:t xml:space="preserve"> </w:t>
      </w:r>
      <w:r>
        <w:t xml:space="preserve">Lillo et al. (2018)</w:t>
      </w:r>
      <w:r>
        <w:t xml:space="preserve"> </w:t>
      </w:r>
      <w:r>
        <w:t xml:space="preserve">generally confirm these observations, finding a further BCT in Uruguayan Spanish,</w:t>
      </w:r>
      <w:r>
        <w:t xml:space="preserve"> </w:t>
      </w:r>
      <w:r>
        <w:t xml:space="preserve">“</w:t>
      </w:r>
      <w:r>
        <w:t xml:space="preserve">celeste</w:t>
      </w:r>
      <w:r>
        <w:t xml:space="preserve">”</w:t>
      </w:r>
      <w:r>
        <w:t xml:space="preserve"> </w:t>
      </w:r>
      <w:r>
        <w:t xml:space="preserve">(sky blue), which we also see in our study.</w:t>
      </w:r>
    </w:p>
    <w:p>
      <w:pPr>
        <w:pStyle w:val="Textkrper"/>
      </w:pPr>
      <w:r>
        <w:t xml:space="preserve">Gibson et al. (2017)</w:t>
      </w:r>
      <w:r>
        <w:t xml:space="preserve"> </w:t>
      </w:r>
      <w:r>
        <w:t xml:space="preserve">offer some approximations to the case of color terms in Bolivian Spanish, based on their analysis centered on Tsimane, an indigenous language spoken by a group living in the Amazonian piedmont. The authors compare the Tsimane case with Bolivian Spanish and American English. Compared to Bolivian Spanish and English, Tsimane exhibits greater variability in terms of the color terms used for all color chips presented in their study, with the exception of red. Out of a total of 80 color chips, Tsimane exhibits 8 modal color terms while English has 10, and Bolivian Spanish, 11. Also, despite the variability observed, the assignment of modal color terms resulted in a similar partition of the color space in the three languages assessed. The authors also emphasize that the Tsimane color system is less informative than the English and the Bolivian Spanish one. Finally, using the free choice paradigm, they show speakers of Bolivian Spanish extensively use the term</w:t>
      </w:r>
      <w:r>
        <w:t xml:space="preserve"> </w:t>
      </w:r>
      <w:r>
        <w:rPr>
          <w:i/>
        </w:rPr>
        <w:t xml:space="preserve">verde</w:t>
      </w:r>
      <w:r>
        <w:t xml:space="preserve"> </w:t>
      </w:r>
      <w:r>
        <w:t xml:space="preserve">(green) to denominate the color chips displayed, in addition to</w:t>
      </w:r>
      <w:r>
        <w:t xml:space="preserve"> </w:t>
      </w:r>
      <w:r>
        <w:rPr>
          <w:i/>
        </w:rPr>
        <w:t xml:space="preserve">celeste</w:t>
      </w:r>
      <w:r>
        <w:t xml:space="preserve"> </w:t>
      </w:r>
      <w:r>
        <w:t xml:space="preserve">(light-blue) and</w:t>
      </w:r>
      <w:r>
        <w:t xml:space="preserve"> </w:t>
      </w:r>
      <w:r>
        <w:rPr>
          <w:i/>
        </w:rPr>
        <w:t xml:space="preserve">azul</w:t>
      </w:r>
      <w:r>
        <w:t xml:space="preserve"> </w:t>
      </w:r>
      <w:r>
        <w:t xml:space="preserve">(blue), as well as</w:t>
      </w:r>
      <w:r>
        <w:t xml:space="preserve"> </w:t>
      </w:r>
      <w:r>
        <w:rPr>
          <w:i/>
        </w:rPr>
        <w:t xml:space="preserve">morado</w:t>
      </w:r>
      <w:r>
        <w:t xml:space="preserve"> </w:t>
      </w:r>
      <w:r>
        <w:t xml:space="preserve">(purple). Less frequent terms are, for example,</w:t>
      </w:r>
      <w:r>
        <w:t xml:space="preserve"> </w:t>
      </w:r>
      <w:r>
        <w:rPr>
          <w:i/>
        </w:rPr>
        <w:t xml:space="preserve">fucsia</w:t>
      </w:r>
      <w:r>
        <w:t xml:space="preserve"> </w:t>
      </w:r>
      <w:r>
        <w:t xml:space="preserve">(fuchsia),</w:t>
      </w:r>
      <w:r>
        <w:t xml:space="preserve"> </w:t>
      </w:r>
      <w:r>
        <w:rPr>
          <w:i/>
        </w:rPr>
        <w:t xml:space="preserve">guinda</w:t>
      </w:r>
      <w:r>
        <w:t xml:space="preserve"> </w:t>
      </w:r>
      <w:r>
        <w:t xml:space="preserve">(maroon) and</w:t>
      </w:r>
      <w:r>
        <w:t xml:space="preserve"> </w:t>
      </w:r>
      <w:r>
        <w:rPr>
          <w:i/>
        </w:rPr>
        <w:t xml:space="preserve">mostaza</w:t>
      </w:r>
      <w:r>
        <w:t xml:space="preserve"> </w:t>
      </w:r>
      <w:r>
        <w:t xml:space="preserve">(mustard).</w:t>
      </w:r>
    </w:p>
    <w:p>
      <w:pPr>
        <w:pStyle w:val="Textkrper"/>
      </w:pPr>
      <w:r>
        <w:t xml:space="preserve">Several indigenous Amazonian color systems have been studied in the</w:t>
      </w:r>
      <w:r>
        <w:t xml:space="preserve"> </w:t>
      </w:r>
      <w:r>
        <w:rPr>
          <w:i/>
        </w:rPr>
        <w:t xml:space="preserve">WCS</w:t>
      </w:r>
      <w:r>
        <w:t xml:space="preserve">. One of them, Candoshi, has been further examined by</w:t>
      </w:r>
      <w:r>
        <w:t xml:space="preserve"> </w:t>
      </w:r>
      <w:r>
        <w:t xml:space="preserve">Surrallés (2016)</w:t>
      </w:r>
      <w:r>
        <w:t xml:space="preserve">. In this thought-provoking study, Surrallés suggests that no proper color term exists in this language. If the fieldworkers of the</w:t>
      </w:r>
      <w:r>
        <w:t xml:space="preserve"> </w:t>
      </w:r>
      <w:r>
        <w:rPr>
          <w:i/>
        </w:rPr>
        <w:t xml:space="preserve">WCS</w:t>
      </w:r>
      <w:r>
        <w:t xml:space="preserve"> </w:t>
      </w:r>
      <w:r>
        <w:t xml:space="preserve">found otherwise, he claims, it is only because they misidentified the elicited terms as color terms while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w:t>
      </w:r>
      <w:r>
        <w:t xml:space="preserve"> </w:t>
      </w:r>
      <w:r>
        <w:rPr>
          <w:i/>
        </w:rPr>
        <w:t xml:space="preserve">WCS</w:t>
      </w:r>
      <w:r>
        <w:t xml:space="preserve"> </w:t>
      </w:r>
      <w:r>
        <w:t xml:space="preserve">approach had been previously developed by</w:t>
      </w:r>
      <w:r>
        <w:t xml:space="preserve"> </w:t>
      </w:r>
      <w:r>
        <w:t xml:space="preserve">Everett (2005, pp. 627–628)</w:t>
      </w:r>
      <w:r>
        <w:t xml:space="preserve"> </w:t>
      </w:r>
      <w:r>
        <w:t xml:space="preserve">based on his study of Pirahã, another Amazonian language. Everett also rejects the idea that there are BCTs in this language. He argues that the four color terms identified as basic in the WCS are not such. For example, the word identified as the BCT for</w:t>
      </w:r>
      <w:r>
        <w:t xml:space="preserve"> </w:t>
      </w:r>
      <w:r>
        <w:t xml:space="preserve">“</w:t>
      </w:r>
      <w:r>
        <w:t xml:space="preserve">red</w:t>
      </w:r>
      <w:r>
        <w:t xml:space="preserve">”</w:t>
      </w:r>
      <w:r>
        <w:t xml:space="preserve"> </w:t>
      </w:r>
      <w:r>
        <w:t xml:space="preserve">and</w:t>
      </w:r>
      <w:r>
        <w:t xml:space="preserve"> </w:t>
      </w:r>
      <w:r>
        <w:t xml:space="preserve">“</w:t>
      </w:r>
      <w:r>
        <w:t xml:space="preserve">yellow</w:t>
      </w:r>
      <w:r>
        <w:t xml:space="preserve">”</w:t>
      </w:r>
      <w:r>
        <w:t xml:space="preserve"> </w:t>
      </w:r>
      <w:r>
        <w:t xml:space="preserve">(</w:t>
      </w:r>
      <w:r>
        <w:rPr>
          <w:i/>
        </w:rPr>
        <w:t xml:space="preserve">bi i sai</w:t>
      </w:r>
      <w:r>
        <w:t xml:space="preserve">) means nothing more than</w:t>
      </w:r>
      <w:r>
        <w:t xml:space="preserve"> </w:t>
      </w:r>
      <w:r>
        <w:t xml:space="preserve">“</w:t>
      </w:r>
      <w:r>
        <w:t xml:space="preserve">bloodlike</w:t>
      </w:r>
      <w:r>
        <w:t xml:space="preserve">”</w:t>
      </w:r>
      <w:r>
        <w:t xml:space="preserve">. Here again, color terms seem to be ad hoc comparisons rather than proper basic terms.</w:t>
      </w:r>
    </w:p>
    <w:p>
      <w:pPr>
        <w:pStyle w:val="Textkrper"/>
      </w:pPr>
      <w:r>
        <w:t xml:space="preserve">As mentioned earlier, SK color terms have been thoroughly studied in the</w:t>
      </w:r>
      <w:r>
        <w:t xml:space="preserve"> </w:t>
      </w:r>
      <w:r>
        <w:rPr>
          <w:i/>
        </w:rPr>
        <w:t xml:space="preserve">WCS</w:t>
      </w:r>
      <w:r>
        <w:t xml:space="preserve">. It is worth mentioning that two anthropological studies</w:t>
      </w:r>
      <w:r>
        <w:t xml:space="preserve"> </w:t>
      </w:r>
      <w:r>
        <w:t xml:space="preserve">(Morin, 1973; Tournon, 2002)</w:t>
      </w:r>
      <w:r>
        <w:t xml:space="preserve"> </w:t>
      </w:r>
      <w:r>
        <w:t xml:space="preserve">have also investigated the color terms used in this Amazonian language. However, these two studies contain some serious methodological pitfalls: a very limited number of color chips were tested with only a few participants. As a result, we will not further discuss these studies in the remainder of this article and will only focus on a comparison with the</w:t>
      </w:r>
      <w:r>
        <w:t xml:space="preserve"> </w:t>
      </w:r>
      <w:r>
        <w:rPr>
          <w:i/>
        </w:rPr>
        <w:t xml:space="preserve">WCS</w:t>
      </w:r>
      <w:r>
        <w:t xml:space="preserve"> </w:t>
      </w:r>
      <w:r>
        <w:t xml:space="preserve">data.</w:t>
      </w:r>
    </w:p>
    <w:p>
      <w:pPr>
        <w:pStyle w:val="Textkrper"/>
      </w:pPr>
      <w:r>
        <w:t xml:space="preserve">In sum, while some dialectical differences can be noticed across varieties of Spanish, these slight variations are consistent with the general framework proposed by the</w:t>
      </w:r>
      <w:r>
        <w:t xml:space="preserve"> </w:t>
      </w:r>
      <w:r>
        <w:rPr>
          <w:i/>
        </w:rPr>
        <w:t xml:space="preserve">WCS</w:t>
      </w:r>
      <w:r>
        <w:t xml:space="preserve">. Less consistent, however, is the recurrent finding that ad hoc terms seem to play a central role in Amazonian color systems – and possibly also in some South-American varieties of Spanish (such as Colombian Spanish). More broadly, it seems that Amazonian color systems are characterized by fewer color terms than dialectical Spanish systems.</w:t>
      </w:r>
      <w:r>
        <w:t xml:space="preserve"> </w:t>
      </w:r>
      <w:r>
        <w:t xml:space="preserve">## The Current Study</w:t>
      </w:r>
    </w:p>
    <w:p>
      <w:pPr>
        <w:pStyle w:val="Textkrper"/>
      </w:pPr>
      <w:r>
        <w:t xml:space="preserve">In the last two decades, cross-cultural research aiming to go beyond North-American</w:t>
      </w:r>
      <w:r>
        <w:t xml:space="preserve"> </w:t>
      </w:r>
      <w:r>
        <w:t xml:space="preserve">“</w:t>
      </w:r>
      <w:r>
        <w:t xml:space="preserve">convenience samples</w:t>
      </w:r>
      <w:r>
        <w:t xml:space="preserve">”</w:t>
      </w:r>
      <w:r>
        <w:t xml:space="preserve"> </w:t>
      </w:r>
      <w:r>
        <w:t xml:space="preserve">has mainly focused on the study of East Asian children and adults. This endeavor has proved very fruitful</w:t>
      </w:r>
      <w:r>
        <w:t xml:space="preserve"> </w:t>
      </w:r>
      <w:r>
        <w:t xml:space="preserve">(Kitayama &amp; Cohen, 2007)</w:t>
      </w:r>
      <w:r>
        <w:t xml:space="preserve"> </w:t>
      </w:r>
      <w:r>
        <w:t xml:space="preserve">but is still limited because of its almost exclusive focus on North-American vs. East-Asian samples. The current study contributes to the general effort to go beyond such samples and study the development of human cognition in a non-North American and non-East Asian context. Further, there have been special calls for expanding this population in the context of developmental studies</w:t>
      </w:r>
      <w:r>
        <w:t xml:space="preserve"> </w:t>
      </w:r>
      <w:r>
        <w:t xml:space="preserve">(Nielsen et al., 2017)</w:t>
      </w:r>
      <w:r>
        <w:t xml:space="preserve">. Towards this goal, we investigated color vocabulary and its development in the SK people of Peru.</w:t>
      </w:r>
    </w:p>
    <w:p>
      <w:pPr>
        <w:pStyle w:val="Textkrper"/>
      </w:pPr>
      <w:r>
        <w:t xml:space="preserve">The SK people are an indigenous group located within the Peruvian Amazon. They are mainly horticulturalists, fishermen, occasionally hunters but are noted for their strong display of tradition despite increasingly regular interactions with the western world. Their children receive formal schooling for 4 hours a day and, in the particular communities we study here, begin formal Spanish lessons closer to adolescence (though there is likely some bilingual exposure earlier in childhood, as bilingual primary education is quite common in Peru more broadly). Most SK adults have some grasp of Spanish but younger adults show more proficiency than elders.</w:t>
      </w:r>
    </w:p>
    <w:p>
      <w:pPr>
        <w:pStyle w:val="Textkrper"/>
      </w:pPr>
      <w:r>
        <w:t xml:space="preserve">The SK indigenous people are particularly interesting for at least two reasons: They differ from samples usually studied by cross-cultural evolutionary psychologists</w:t>
      </w:r>
      <w:r>
        <w:t xml:space="preserve"> </w:t>
      </w:r>
      <w:r>
        <w:t xml:space="preserve">(Apicella &amp; Barrett, 2016)</w:t>
      </w:r>
      <w:r>
        <w:t xml:space="preserve">. Indeed, evolutionary psychologists are particularly interested in the study of contemporary hunter-gatherers because they are believed to be a good model of our Pleistocene ancestors. By contrast, like most riverine Amazonian cultures, the SK culture is not based on hunting and gathering, but on horticulture, fishing, and to a limited extent, hunting.</w:t>
      </w:r>
    </w:p>
    <w:p>
      <w:pPr>
        <w:pStyle w:val="Textkrper"/>
      </w:pPr>
      <w:r>
        <w:t xml:space="preserve">Further,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cultural influences, the SK culture has been constantly reworked and reshaped through the centuries. This was especially true in the second half of the 20th century with intense contact with the Spanish-speaking Mestizo populations established along the Ucayali River. As a result, today’s SK culture straddles two worlds.</w:t>
      </w:r>
    </w:p>
    <w:p>
      <w:pPr>
        <w:pStyle w:val="Textkrper"/>
      </w:pP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pStyle w:val="Compact"/>
        <w:numPr>
          <w:numId w:val="1001"/>
          <w:ilvl w:val="0"/>
        </w:numPr>
      </w:pPr>
      <w:r>
        <w:t xml:space="preserve">What is the color vocabulary of SK and how has it changed since the WCS data collection effort?</w:t>
      </w:r>
    </w:p>
    <w:p>
      <w:pPr>
        <w:pStyle w:val="Compact"/>
        <w:numPr>
          <w:numId w:val="1001"/>
          <w:ilvl w:val="0"/>
        </w:numPr>
      </w:pPr>
      <w:r>
        <w:t xml:space="preserve">What is the developmental timeline of color term acquisition in a non-WEIRD population that has fewer industrial products (toys) and less early childhood education?</w:t>
      </w:r>
    </w:p>
    <w:p>
      <w:pPr>
        <w:pStyle w:val="Compact"/>
        <w:numPr>
          <w:numId w:val="1001"/>
          <w:ilvl w:val="0"/>
        </w:numPr>
      </w:pPr>
      <w:r>
        <w:t xml:space="preserve">Is the developmental course – especially with respect to generalization and the dynamics of comprehension and production – similar to that which has been documented in studies of English color learning?</w:t>
      </w:r>
    </w:p>
    <w:p>
      <w:pPr>
        <w:pStyle w:val="Compact"/>
        <w:numPr>
          <w:numId w:val="1001"/>
          <w:ilvl w:val="0"/>
        </w:numPr>
      </w:pPr>
      <w:r>
        <w:t xml:space="preserve">How is color term learning development affected by bilingual exposure?</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compared with modern descriptive studies in WEIRD contexts, but with similar dynamics. In particular, comprehension likely precedes production. Further, especially for Spanish, we observed substantial over-generalization</w:t>
      </w:r>
      <w:r>
        <w:t xml:space="preserve"> </w:t>
      </w:r>
      <w:r>
        <w:t xml:space="preserve">(Wagner et al., 2013, 2018)</w:t>
      </w:r>
      <w:r>
        <w:t xml:space="preserve">. Finally, we find that children draw on their fragmentary Spanish knowledge for colors where there is high uncertainty among adult speakers, suggesting that they are adaptively using their bilingual knowledge to facilitate accurate naming.</w:t>
      </w:r>
    </w:p>
    <w:p>
      <w:pPr>
        <w:pStyle w:val="berschrift1"/>
      </w:pPr>
      <w:bookmarkStart w:id="24" w:name="study-1"/>
      <w:r>
        <w:t xml:space="preserve">Study 1</w:t>
      </w:r>
      <w:bookmarkEnd w:id="24"/>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The goals were to characterize the current SK vocabulary and to generate a standard of adult knowledge against which subsequent child participants could be scored.</w:t>
      </w:r>
    </w:p>
    <w:p>
      <w:pPr>
        <w:pStyle w:val="berschrift2"/>
      </w:pPr>
      <w:bookmarkStart w:id="25" w:name="methods"/>
      <w:r>
        <w:t xml:space="preserve">Methods</w:t>
      </w:r>
      <w:bookmarkEnd w:id="25"/>
    </w:p>
    <w:p>
      <w:pPr>
        <w:pStyle w:val="FirstParagraph"/>
      </w:pPr>
      <w:r>
        <w:rPr>
          <w:i/>
        </w:rPr>
        <w:t xml:space="preserve">Participants</w:t>
      </w:r>
      <w:r>
        <w:t xml:space="preserve">. 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is predominantly female. Most participants (31, 4 men) were from SK communities of the Middle Ucayali region (Yarinacocha, San Francisco, and Nueva Betania), with a subset from communities of the Lower (Paoyhan) and Upper (Puerto Belén) Ucayali region. Within the small town of Yarinacocha (in the vicinity of Pucallpa), we recruited participants (9, 2 men) from Bena Jema, a predominantly SK neighborhood. All the other recruitment sites were native community villages with exclusively SK residents.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
        </w:rPr>
        <w:t xml:space="preserve">IQR</w:t>
      </w:r>
      <w:r>
        <w:t xml:space="preserve"> </w:t>
      </w:r>
      <w:r>
        <w:t xml:space="preserve">= 5-10).</w:t>
      </w:r>
    </w:p>
    <w:p>
      <w:pPr>
        <w:pStyle w:val="Textkrper"/>
      </w:pPr>
      <w:r>
        <w:rPr>
          <w:i/>
        </w:rPr>
        <w:t xml:space="preserve">Materials and procedure</w:t>
      </w:r>
      <w:r>
        <w:t xml:space="preserve">. 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a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BCTs. In the WCS, the experimenter would instruct participants to only provide BCTs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BCT compared to other terms</w:t>
      </w:r>
      <w:r>
        <w:rPr>
          <w:rStyle w:val="Funotenzeichen"/>
        </w:rPr>
        <w:footnoteReference w:id="26"/>
      </w:r>
      <w:r>
        <w:t xml:space="preserve">. We decided to allow participants to describe a chip with any term they wished, and to ask further questions to elicit a BCT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non-BCT). The experimenter would ask:</w:t>
      </w:r>
      <w:r>
        <w:t xml:space="preserve"> </w:t>
      </w:r>
      <w:r>
        <w:t xml:space="preserve">“</w:t>
      </w:r>
      <w:r>
        <w:t xml:space="preserve">Do you know of any other word to refer to the color of this chip?</w:t>
      </w:r>
      <w:r>
        <w:t xml:space="preserve">”</w:t>
      </w:r>
      <w:r>
        <w:t xml:space="preserve">. Should the participant subsequently respond with</w:t>
      </w:r>
      <w:r>
        <w:t xml:space="preserve"> </w:t>
      </w:r>
      <w:r>
        <w:t xml:space="preserve">“</w:t>
      </w:r>
      <w:r>
        <w:t xml:space="preserve">dark red</w:t>
      </w:r>
      <w:r>
        <w:t xml:space="preserve">”</w:t>
      </w:r>
      <w:r>
        <w:t xml:space="preserve"> </w:t>
      </w:r>
      <w:r>
        <w:t xml:space="preserve">(another non-BCT),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BCT). For some chips, participants provided a BCT as their first description. For others, a BCT might be preceded by 1 or 2 non-BCTs. When participants failed to provide a BCT after 3 attempts (i.e., two follow-up questions), no further questions were asked, and the experimenter moved on to the next chip. All responses, BCT or not, were recorded in the order produced by the participant.</w:t>
      </w:r>
    </w:p>
    <w:p>
      <w:pPr>
        <w:pStyle w:val="berschrift2"/>
      </w:pPr>
      <w:bookmarkStart w:id="27" w:name="results-and-discussion"/>
      <w:r>
        <w:t xml:space="preserve">Results and Discussion</w:t>
      </w:r>
      <w:bookmarkEnd w:id="27"/>
    </w:p>
    <w:p>
      <w:pPr>
        <w:pStyle w:val="FirstParagraph"/>
      </w:pPr>
      <w:r>
        <w:t xml:space="preserve">All participants used the following set of color terms to describe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as SK-language BCTs. Most (79%) participants also described at least 1 chip as</w:t>
      </w:r>
      <w:r>
        <w:t xml:space="preserve"> </w:t>
      </w:r>
      <w:r>
        <w:t xml:space="preserve">“</w:t>
      </w:r>
      <w:r>
        <w:t xml:space="preserve">manxan</w:t>
      </w:r>
      <w:r>
        <w:t xml:space="preserve">”</w:t>
      </w:r>
      <w:r>
        <w:t xml:space="preserve"> </w:t>
      </w:r>
      <w:r>
        <w:t xml:space="preserve">(faded), referring to a chip’s saturation. In terms of overall popularity, participants described a median of 32% of chips as</w:t>
      </w:r>
      <w:r>
        <w:t xml:space="preserve"> </w:t>
      </w:r>
      <w:r>
        <w:t xml:space="preserve">“</w:t>
      </w:r>
      <w:r>
        <w:t xml:space="preserve">yankon</w:t>
      </w:r>
      <w:r>
        <w:t xml:space="preserve">”</w:t>
      </w:r>
      <w:r>
        <w:t xml:space="preserve"> </w:t>
      </w:r>
      <w:r>
        <w:t xml:space="preserve">(</w:t>
      </w:r>
      <w:r>
        <w:rPr>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
        </w:rPr>
        <w:t xml:space="preserve">Mdn</w:t>
      </w:r>
      <w:r>
        <w:t xml:space="preserve"> </w:t>
      </w:r>
      <w:r>
        <w:t xml:space="preserve">= 10%,</w:t>
      </w:r>
      <w:r>
        <w:t xml:space="preserve"> </w:t>
      </w:r>
      <w:r>
        <w:rPr>
          <w:i/>
        </w:rPr>
        <w:t xml:space="preserve">IQR</w:t>
      </w:r>
      <w:r>
        <w:t xml:space="preserve"> </w:t>
      </w:r>
      <w:r>
        <w:t xml:space="preserve">= 7-16%),</w:t>
      </w:r>
      <w:r>
        <w:t xml:space="preserve"> </w:t>
      </w:r>
      <w:r>
        <w:t xml:space="preserve">“</w:t>
      </w:r>
      <w:r>
        <w:t xml:space="preserve">joxo</w:t>
      </w:r>
      <w:r>
        <w:t xml:space="preserve">”</w:t>
      </w:r>
      <w:r>
        <w:t xml:space="preserve"> </w:t>
      </w:r>
      <w:r>
        <w:t xml:space="preserve">(9%, 6-15%),</w:t>
      </w:r>
      <w:r>
        <w:t xml:space="preserve"> </w:t>
      </w:r>
      <w:r>
        <w:t xml:space="preserve">“</w:t>
      </w:r>
      <w:r>
        <w:t xml:space="preserve">panshin</w:t>
      </w:r>
      <w:r>
        <w:t xml:space="preserve">”</w:t>
      </w:r>
      <w:r>
        <w:t xml:space="preserve"> </w:t>
      </w:r>
      <w:r>
        <w:t xml:space="preserve">(10%, 6-12%),</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t>(</m:t>
        </m:r>
        <m:r>
          <m:t>59</m:t>
        </m:r>
        <m:r>
          <m:t>)</m:t>
        </m:r>
        <m:r>
          <m:t>=</m:t>
        </m:r>
        <m:r>
          <m:t>0.00</m:t>
        </m:r>
      </m:oMath>
      <w:r>
        <w:t xml:space="preserve">,</w:t>
      </w:r>
      <w:r>
        <w:t xml:space="preserve"> </w:t>
      </w:r>
      <m:oMath>
        <m:r>
          <m:t>p</m:t>
        </m:r>
        <m:r>
          <m:t>&gt;</m:t>
        </m:r>
        <m:r>
          <m:t>.999</m:t>
        </m:r>
      </m:oMath>
      <w:r>
        <w:t xml:space="preserve">) or in the proportion of subjects who used a term at least once during their session (</w:t>
      </w:r>
      <m:oMath>
        <m:r>
          <m:t>t</m:t>
        </m:r>
        <m:r>
          <m:t>(</m:t>
        </m:r>
        <m:r>
          <m:t>117.95</m:t>
        </m:r>
        <m:r>
          <m:t>)</m:t>
        </m:r>
        <m:r>
          <m:t>=</m:t>
        </m:r>
        <m:r>
          <m:t>−</m:t>
        </m:r>
        <m:r>
          <m:t>0.38</m:t>
        </m:r>
      </m:oMath>
      <w:r>
        <w:t xml:space="preserve">,</w:t>
      </w:r>
      <w:r>
        <w:t xml:space="preserve"> </w:t>
      </w:r>
      <m:oMath>
        <m:r>
          <m:t>p</m:t>
        </m:r>
        <m:r>
          <m:t>=</m:t>
        </m:r>
        <m:r>
          <m:t>.706</m:t>
        </m:r>
      </m:oMath>
      <w:r>
        <w:t xml:space="preserve">).</w:t>
      </w:r>
    </w:p>
    <w:p>
      <w:pPr>
        <w:pStyle w:val="Textkrper"/>
      </w:pPr>
      <w:r>
        <w:t xml:space="preserve">Compared to the WCS dataset which only reported SK language terms, 59% of our participants used a Spanish-language color term to describe at least 1 chip, which accounted for 4% of all responses. Across chips, Spanish use peaked at 55% when participants were asked to label chips that English speakers would consider to be orange. However, Spanish use varied greatly between subjects (</w:t>
      </w:r>
      <w:r>
        <w:rPr>
          <w:i/>
        </w:rPr>
        <w:t xml:space="preserve">Mdn</w:t>
      </w:r>
      <w:r>
        <w:t xml:space="preserve"> </w:t>
      </w:r>
      <w:r>
        <w:t xml:space="preserve">= 1%,</w:t>
      </w:r>
      <w:r>
        <w:t xml:space="preserve"> </w:t>
      </w:r>
      <w:r>
        <w:rPr>
          <w:i/>
        </w:rPr>
        <w:t xml:space="preserve">IQR</w:t>
      </w:r>
      <w:r>
        <w:t xml:space="preserve"> </w:t>
      </w:r>
      <w:r>
        <w:t xml:space="preserve">= 0-4%) with one participant responding in Spanish in 71% of the time despite being prompted solely in SK.</w:t>
      </w:r>
    </w:p>
    <w:p>
      <w:pPr>
        <w:pStyle w:val="CaptionedFigure"/>
      </w:pPr>
      <w:r>
        <w:drawing>
          <wp:inline>
            <wp:extent cx="5969000" cy="4775200"/>
            <wp:effectExtent b="0" l="0" r="0" t="0"/>
            <wp:docPr descr="Figure 1.   (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w:t>
      </w:r>
    </w:p>
    <w:p>
      <w:pPr>
        <w:pStyle w:val="Textkrper"/>
      </w:pPr>
      <w:r>
        <w:t xml:space="preserve">Participants used an SK-language BCT (i.e.,</w:t>
      </w:r>
      <w:r>
        <w:t xml:space="preserve"> </w:t>
      </w:r>
      <w:r>
        <w:t xml:space="preserve">“</w:t>
      </w:r>
      <w:r>
        <w:t xml:space="preserve">yankon</w:t>
      </w:r>
      <w:r>
        <w:t xml:space="preserve">”</w:t>
      </w:r>
      <w:r>
        <w:t xml:space="preserve">) to describe a median of 65% of chips (</w:t>
      </w:r>
      <w:r>
        <w:rPr>
          <w:i/>
        </w:rPr>
        <w:t xml:space="preserve">IQR</w:t>
      </w:r>
      <w:r>
        <w:t xml:space="preserve"> </w:t>
      </w:r>
      <w:r>
        <w:t xml:space="preserve">= 53-90%). Besides BCTs, 59% of participants used SK-language ad hoc hue terms (i.e.,</w:t>
      </w:r>
      <w:r>
        <w:t xml:space="preserve"> </w:t>
      </w:r>
      <w:r>
        <w:t xml:space="preserve">“</w:t>
      </w:r>
      <w:r>
        <w:t xml:space="preserve">nai</w:t>
      </w:r>
      <w:r>
        <w:t xml:space="preserve">”</w:t>
      </w:r>
      <w:r>
        <w:t xml:space="preserve"> </w:t>
      </w:r>
      <w:r>
        <w:t xml:space="preserve">or sky for blue chips) for an overall median of 6% of chips (</w:t>
      </w:r>
      <w:r>
        <w:rPr>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
        </w:rPr>
        <w:t xml:space="preserve">IQR</w:t>
      </w:r>
      <w:r>
        <w:t xml:space="preserve"> </w:t>
      </w:r>
      <w:r>
        <w:t xml:space="preserve">= 6-20%). Most instances (91%) of Spanish use involved a Spanish BCT such as</w:t>
      </w:r>
      <w:r>
        <w:t xml:space="preserve"> </w:t>
      </w:r>
      <w:r>
        <w:t xml:space="preserve">“</w:t>
      </w:r>
      <w:r>
        <w:t xml:space="preserve">rojo</w:t>
      </w:r>
      <w:r>
        <w:t xml:space="preserve">”</w:t>
      </w:r>
      <w:r>
        <w:t xml:space="preserve"> </w:t>
      </w:r>
      <w:r>
        <w:t xml:space="preserve">(overall</w:t>
      </w:r>
      <w:r>
        <w:t xml:space="preserve"> </w:t>
      </w:r>
      <w:r>
        <w:rPr>
          <w:i/>
        </w:rPr>
        <w:t xml:space="preserve">Mdn</w:t>
      </w:r>
      <w:r>
        <w:t xml:space="preserve"> </w:t>
      </w:r>
      <w:r>
        <w:t xml:space="preserve">= 1%,</w:t>
      </w:r>
      <w:r>
        <w:t xml:space="preserve"> </w:t>
      </w:r>
      <w:r>
        <w:rPr>
          <w:i/>
        </w:rPr>
        <w:t xml:space="preserve">IQR</w:t>
      </w:r>
      <w:r>
        <w:t xml:space="preserve"> </w:t>
      </w:r>
      <w:r>
        <w:t xml:space="preserve">= 0-4%). In other words, participants responded in Spanish to label chips with basic color categories but mostly relied on SK for all other descriptor types.</w:t>
      </w:r>
    </w:p>
    <w:p>
      <w:pPr>
        <w:pStyle w:val="berschrift1"/>
      </w:pPr>
      <w:bookmarkStart w:id="29" w:name="study-2"/>
      <w:r>
        <w:t xml:space="preserve">Study 2</w:t>
      </w:r>
      <w:bookmarkEnd w:id="29"/>
    </w:p>
    <w:p>
      <w:pPr>
        <w:pStyle w:val="FirstParagraph"/>
      </w:pPr>
      <w:r>
        <w:t xml:space="preserve">After generating an updated SK color term map using the responses from adult participants in Study 1, we created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Compact"/>
      </w:pPr>
      <w:r>
        <w:t xml:space="preserve">Table 1:</w:t>
      </w:r>
    </w:p>
    <w:p>
      <w:pPr>
        <w:pStyle w:val="Compact"/>
        <w:pStyle w:val="TableCaption"/>
      </w:pPr>
      <w:r>
        <w:rPr>
          <w:i/>
        </w:rPr>
        <w:t xml:space="preserve">Demographics of participants in Studies 2 and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Boys</w:t>
            </w:r>
          </w:p>
        </w:tc>
      </w:tr>
      <w:tr>
        <w:tc>
          <w:p>
            <w:pPr>
              <w:pStyle w:val="Compact"/>
              <w:jc w:val="left"/>
            </w:pPr>
            <w:r>
              <w:t xml:space="preserve">Study 1</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p>
      <w:pPr>
        <w:pStyle w:val="berschrift2"/>
      </w:pPr>
      <w:bookmarkStart w:id="30" w:name="methods-1"/>
      <w:r>
        <w:t xml:space="preserve">Methods</w:t>
      </w:r>
      <w:bookmarkEnd w:id="30"/>
    </w:p>
    <w:p>
      <w:pPr>
        <w:pStyle w:val="FirstParagraph"/>
      </w:pPr>
      <w:r>
        <w:rPr>
          <w:i/>
        </w:rPr>
        <w:t xml:space="preserve">Participants</w:t>
      </w:r>
      <w:r>
        <w:t xml:space="preserve">. 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only given by the parent.</w:t>
      </w:r>
    </w:p>
    <w:p>
      <w:pPr>
        <w:pStyle w:val="Textkrper"/>
      </w:pPr>
      <w:r>
        <w:rPr>
          <w:i/>
        </w:rPr>
        <w:t xml:space="preserve">Materials and procedure</w:t>
      </w:r>
      <w:r>
        <w:t xml:space="preserve">. Based on the findings of Study 1, we chose 8 color chips from our original set of 330 to serve as prototypical instances of major SK color terms. These color chips were blue (WCS n°1), green (n°234), red (n°245), white (n°274), yellow (n°297), black (n°312), greeny-yellow (WCS n°320), and purple (WCS n°325) (see Appendix 1).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p>
      <w:pPr>
        <w:pStyle w:val="Textkrper"/>
      </w:pPr>
      <w:r>
        <w:rPr>
          <w:i/>
        </w:rPr>
        <w:t xml:space="preserve">Production task</w:t>
      </w:r>
      <w:r>
        <w:t xml:space="preserve">. Similar to Study 1, the experimenter introduced a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BCT when the child’s initial response was not a BCT.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could only produce SK non-BCTs or Spanish-language terms for particular chips.</w:t>
      </w:r>
    </w:p>
    <w:p>
      <w:pPr>
        <w:pStyle w:val="Textkrper"/>
      </w:pPr>
      <w:r>
        <w:rPr>
          <w:i/>
        </w:rPr>
        <w:t xml:space="preserve">Comprehension task</w:t>
      </w:r>
      <w:r>
        <w:t xml:space="preserve">. The comprehension task had a notably different procedure compared to the preceding production task or that of Study 1. We tested the comprehension of 9 SK color terms. The choice of these terms was based on common responses given by adult participants in Study 1. The color term prompts included BCTs:</w:t>
      </w:r>
      <w:r>
        <w:t xml:space="preserve"> </w:t>
      </w:r>
      <w:r>
        <w:rPr>
          <w:i/>
        </w:rPr>
        <w:t xml:space="preserve">yankon</w:t>
      </w:r>
      <w:r>
        <w:t xml:space="preserve"> </w:t>
      </w:r>
      <w:r>
        <w:t xml:space="preserve">(</w:t>
      </w:r>
      <w:r>
        <w:t xml:space="preserve">“</w:t>
      </w:r>
      <w:r>
        <w:t xml:space="preserve">green/blue</w:t>
      </w:r>
      <w:r>
        <w:t xml:space="preserve">”</w:t>
      </w:r>
      <w:r>
        <w:t xml:space="preserve">),</w:t>
      </w:r>
      <w:r>
        <w:t xml:space="preserve"> </w:t>
      </w:r>
      <w:r>
        <w:rPr>
          <w:i/>
        </w:rPr>
        <w:t xml:space="preserve">joshin</w:t>
      </w:r>
      <w:r>
        <w:t xml:space="preserve"> </w:t>
      </w:r>
      <w:r>
        <w:t xml:space="preserve">(</w:t>
      </w:r>
      <w:r>
        <w:t xml:space="preserve">“</w:t>
      </w:r>
      <w:r>
        <w:t xml:space="preserve">red</w:t>
      </w:r>
      <w:r>
        <w:t xml:space="preserve">”</w:t>
      </w:r>
      <w:r>
        <w:t xml:space="preserve">),</w:t>
      </w:r>
      <w:r>
        <w:t xml:space="preserve"> </w:t>
      </w:r>
      <w:r>
        <w:rPr>
          <w:i/>
        </w:rPr>
        <w:t xml:space="preserve">panshin</w:t>
      </w:r>
      <w:r>
        <w:t xml:space="preserve"> </w:t>
      </w:r>
      <w:r>
        <w:t xml:space="preserve">(</w:t>
      </w:r>
      <w:r>
        <w:t xml:space="preserve">“</w:t>
      </w:r>
      <w:r>
        <w:t xml:space="preserve">yellow</w:t>
      </w:r>
      <w:r>
        <w:t xml:space="preserve">”</w:t>
      </w:r>
      <w:r>
        <w:t xml:space="preserve">),</w:t>
      </w:r>
      <w:r>
        <w:t xml:space="preserve"> </w:t>
      </w:r>
      <w:r>
        <w:rPr>
          <w:i/>
        </w:rPr>
        <w:t xml:space="preserve">joxo</w:t>
      </w:r>
      <w:r>
        <w:t xml:space="preserve"> </w:t>
      </w:r>
      <w:r>
        <w:t xml:space="preserve">(</w:t>
      </w:r>
      <w:r>
        <w:t xml:space="preserve">“</w:t>
      </w:r>
      <w:r>
        <w:t xml:space="preserve">white/light</w:t>
      </w:r>
      <w:r>
        <w:t xml:space="preserve">”</w:t>
      </w:r>
      <w:r>
        <w:t xml:space="preserve">),</w:t>
      </w:r>
      <w:r>
        <w:t xml:space="preserve"> </w:t>
      </w:r>
      <w:r>
        <w:rPr>
          <w:i/>
        </w:rPr>
        <w:t xml:space="preserve">wiso</w:t>
      </w:r>
      <w:r>
        <w:t xml:space="preserve"> </w:t>
      </w:r>
      <w:r>
        <w:t xml:space="preserve">(</w:t>
      </w:r>
      <w:r>
        <w:t xml:space="preserve">“</w:t>
      </w:r>
      <w:r>
        <w:t xml:space="preserve">black/dark</w:t>
      </w:r>
      <w:r>
        <w:t xml:space="preserve">”</w:t>
      </w:r>
      <w:r>
        <w:t xml:space="preserve">). We also included non-basic but prominent terms as prompts which were</w:t>
      </w:r>
      <w:r>
        <w:t xml:space="preserve"> </w:t>
      </w:r>
      <w:r>
        <w:rPr>
          <w:i/>
        </w:rPr>
        <w:t xml:space="preserve">nai</w:t>
      </w:r>
      <w:r>
        <w:t xml:space="preserve"> </w:t>
      </w:r>
      <w:r>
        <w:t xml:space="preserve">(</w:t>
      </w:r>
      <w:r>
        <w:t xml:space="preserve">“</w:t>
      </w:r>
      <w:r>
        <w:t xml:space="preserve">blue/sky</w:t>
      </w:r>
      <w:r>
        <w:t xml:space="preserve">”</w:t>
      </w:r>
      <w:r>
        <w:t xml:space="preserve">), and</w:t>
      </w:r>
      <w:r>
        <w:t xml:space="preserve"> </w:t>
      </w:r>
      <w:r>
        <w:rPr>
          <w:i/>
        </w:rPr>
        <w:t xml:space="preserve">barin poi</w:t>
      </w:r>
      <w:r>
        <w:t xml:space="preserve"> </w:t>
      </w:r>
      <w:r>
        <w:t xml:space="preserve">(</w:t>
      </w:r>
      <w:r>
        <w:t xml:space="preserve">“</w:t>
      </w:r>
      <w:r>
        <w:t xml:space="preserve">greenish-yellow</w:t>
      </w:r>
      <w:r>
        <w:t xml:space="preserve">”</w:t>
      </w:r>
      <w:r>
        <w:t xml:space="preserve">) and two dyads of non-basic terms</w:t>
      </w:r>
      <w:r>
        <w:t xml:space="preserve"> </w:t>
      </w:r>
      <w:r>
        <w:rPr>
          <w:i/>
        </w:rPr>
        <w:t xml:space="preserve">pei</w:t>
      </w:r>
      <w:r>
        <w:t xml:space="preserve">/</w:t>
      </w:r>
      <w:r>
        <w:rPr>
          <w:i/>
        </w:rPr>
        <w:t xml:space="preserve">xo</w:t>
      </w:r>
      <w:r>
        <w:t xml:space="preserve"> </w:t>
      </w:r>
      <w:r>
        <w:t xml:space="preserve">(</w:t>
      </w:r>
      <w:r>
        <w:t xml:space="preserve">“</w:t>
      </w:r>
      <w:r>
        <w:t xml:space="preserve">green</w:t>
      </w:r>
      <w:r>
        <w:t xml:space="preserve">”</w:t>
      </w:r>
      <w:r>
        <w:t xml:space="preserve">) and</w:t>
      </w:r>
      <w:r>
        <w:t xml:space="preserve"> </w:t>
      </w:r>
      <w:r>
        <w:rPr>
          <w:i/>
        </w:rPr>
        <w:t xml:space="preserve">ami</w:t>
      </w:r>
      <w:r>
        <w:t xml:space="preserve">/</w:t>
      </w:r>
      <w:r>
        <w:rPr>
          <w:i/>
        </w:rPr>
        <w:t xml:space="preserve">pua</w:t>
      </w:r>
      <w:r>
        <w:t xml:space="preserve"> </w:t>
      </w:r>
      <w:r>
        <w:t xml:space="preserve">(</w:t>
      </w:r>
      <w:r>
        <w:t xml:space="preserve">“</w:t>
      </w:r>
      <w:r>
        <w:t xml:space="preserve">purple</w:t>
      </w:r>
      <w:r>
        <w:t xml:space="preserve">”</w:t>
      </w:r>
      <w:r>
        <w:t xml:space="preserve">). Children sat at a table across from the experimenter with the 8 color chips of the production task displayed between them. The experimenter asked:</w:t>
      </w:r>
      <w:r>
        <w:t xml:space="preserve"> </w:t>
      </w:r>
      <w:r>
        <w:t xml:space="preserve">“</w:t>
      </w:r>
      <w:r>
        <w:t xml:space="preserve">Can you give me the [</w:t>
      </w:r>
      <w:r>
        <w:rPr>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rPr>
          <w:i/>
        </w:rPr>
        <w:t xml:space="preserve">wiso</w:t>
      </w:r>
      <w:r>
        <w:t xml:space="preserve"> </w:t>
      </w:r>
      <w:r>
        <w:t xml:space="preserve">best describes a narrow range of very dark to black. By contrast,</w:t>
      </w:r>
      <w:r>
        <w:t xml:space="preserve"> </w:t>
      </w:r>
      <w:r>
        <w:rPr>
          <w:i/>
        </w:rPr>
        <w:t xml:space="preserve">yankon</w:t>
      </w:r>
      <w:r>
        <w:t xml:space="preserve"> </w:t>
      </w:r>
      <w:r>
        <w:t xml:space="preserve">could encompass blue, green, greenish-yellow, and purple;</w:t>
      </w:r>
      <w:r>
        <w:t xml:space="preserve"> </w:t>
      </w:r>
      <w:r>
        <w:rPr>
          <w:i/>
        </w:rPr>
        <w:t xml:space="preserve">joshin</w:t>
      </w:r>
      <w:r>
        <w:t xml:space="preserve"> </w:t>
      </w:r>
      <w:r>
        <w:t xml:space="preserve">could describe red, purple, and orange;</w:t>
      </w:r>
      <w:r>
        <w:t xml:space="preserve"> </w:t>
      </w:r>
      <w:r>
        <w:rPr>
          <w:i/>
        </w:rPr>
        <w:t xml:space="preserve">pei</w:t>
      </w:r>
      <w:r>
        <w:t xml:space="preserve"> </w:t>
      </w:r>
      <w:r>
        <w:t xml:space="preserve">or</w:t>
      </w:r>
      <w:r>
        <w:t xml:space="preserve"> </w:t>
      </w:r>
      <w:r>
        <w:rPr>
          <w:i/>
        </w:rPr>
        <w:t xml:space="preserve">xo</w:t>
      </w:r>
      <w:r>
        <w:t xml:space="preserve"> </w:t>
      </w:r>
      <w:r>
        <w:t xml:space="preserve">to green or greenish-yellow. In cases where a term could apply for more than one chip (i.e.,</w:t>
      </w:r>
      <w:r>
        <w:t xml:space="preserve"> </w:t>
      </w:r>
      <w:r>
        <w:rPr>
          <w:i/>
        </w:rPr>
        <w:t xml:space="preserve">yankon</w:t>
      </w:r>
      <w:r>
        <w:t xml:space="preserve">), the initially selected chip would be removed from the table, leaving 7 remaining chips. The experimenter would then ask:</w:t>
      </w:r>
      <w:r>
        <w:t xml:space="preserve"> </w:t>
      </w:r>
      <w:r>
        <w:t xml:space="preserve">“</w:t>
      </w:r>
      <w:r>
        <w:t xml:space="preserve">Can you give me another [</w:t>
      </w:r>
      <w:r>
        <w:rPr>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rPr>
          <w:i/>
        </w:rPr>
        <w:t xml:space="preserve">yankon</w:t>
      </w:r>
      <w:r>
        <w:t xml:space="preserve"> </w:t>
      </w:r>
      <w:r>
        <w:t xml:space="preserve">and 2 times each for</w:t>
      </w:r>
      <w:r>
        <w:t xml:space="preserve"> </w:t>
      </w:r>
      <w:r>
        <w:rPr>
          <w:i/>
        </w:rPr>
        <w:t xml:space="preserve">joshin</w:t>
      </w:r>
      <w:r>
        <w:t xml:space="preserve"> </w:t>
      </w:r>
      <w:r>
        <w:t xml:space="preserve">and</w:t>
      </w:r>
      <w:r>
        <w:t xml:space="preserve"> </w:t>
      </w:r>
      <w:r>
        <w:rPr>
          <w:i/>
        </w:rPr>
        <w:t xml:space="preserve">pei</w:t>
      </w:r>
      <w:r>
        <w:t xml:space="preserve">/</w:t>
      </w:r>
      <w:r>
        <w:rPr>
          <w:i/>
        </w:rPr>
        <w:t xml:space="preserve">xo</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accuracy was scored as an average, rather than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775200"/>
            <wp:effectExtent b="0" l="0" r="0" t="0"/>
            <wp:docPr descr="Figure 2.   Proportion of accurate responses when applying different accuracy criteria, by age and study. Points show the mean for a 2-year age group (chosen arbitrarily for visualization) with 95% confidence intervals. Lines show a loess smoothing function. Points show the mean for a 2-year age group (chosen arbitrarily for visualization) with 95% confidence intervals."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loess smoothing function. Points show the mean for a 2-year age group (chosen arbitrarily for visualization) with 95% confidence intervals.</w:t>
      </w:r>
    </w:p>
    <w:p>
      <w:pPr>
        <w:pStyle w:val="CaptionedFigure"/>
      </w:pPr>
      <w:r>
        <w:drawing>
          <wp:inline>
            <wp:extent cx="5969000" cy="4775200"/>
            <wp:effectExtent b="0" l="0" r="0" t="0"/>
            <wp:docPr descr="Figure 3.   XXX Insert caption here"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XXX Insert caption here</w:t>
      </w:r>
    </w:p>
    <w:p>
      <w:pPr>
        <w:pStyle w:val="berschrift2"/>
      </w:pPr>
      <w:bookmarkStart w:id="33" w:name="results-and-discussion-1"/>
      <w:r>
        <w:t xml:space="preserve">Results and Discussion</w:t>
      </w:r>
      <w:bookmarkEnd w:id="33"/>
    </w:p>
    <w:p>
      <w:pPr>
        <w:pStyle w:val="FirstParagraph"/>
      </w:pPr>
      <w:r>
        <w:t xml:space="preserve">To confirm the existence of a developmental trajectory in SK color term knowledge, we fit generalized linear mixed-effects models (GLMMs) for both production and comprehension tasks with the following structure: accuracy of response [0-1] ~ age in years + (age | prompt) + (1 | subject). Parentheses denote random effects. Older children were more accurate in both production and comprehension compared to younger children (Figure</w:t>
      </w:r>
      <w:r>
        <w:t xml:space="preserve"> </w:t>
      </w:r>
      <w:r>
        <w:t xml:space="preserve">2</w:t>
      </w:r>
      <w:r>
        <w:t xml:space="preserve">). This produced a significant developmental projection for accuracy of term-chip pairings in both production (</w:t>
      </w:r>
      <m:oMath>
        <m:acc>
          <m:accPr>
            <m:chr m:val="̂"/>
          </m:accPr>
          <m:e>
            <m:r>
              <m:t>β</m:t>
            </m:r>
          </m:e>
        </m:acc>
        <m:r>
          <m:t>=</m:t>
        </m:r>
        <m:r>
          <m:t>1.05</m:t>
        </m:r>
      </m:oMath>
      <w:r>
        <w:t xml:space="preserve">, 95% CI</w:t>
      </w:r>
      <w:r>
        <w:t xml:space="preserve"> </w:t>
      </w:r>
      <m:oMath>
        <m:r>
          <m:t>[</m:t>
        </m:r>
        <m:r>
          <m:t>0.50</m:t>
        </m:r>
        <m:r>
          <m:t>,</m:t>
        </m:r>
        <m:r>
          <m:t>1.60</m:t>
        </m:r>
        <m:r>
          <m:t>]</m:t>
        </m:r>
      </m:oMath>
      <w:r>
        <w:t xml:space="preserve">,</w:t>
      </w:r>
      <w:r>
        <w:t xml:space="preserve"> </w:t>
      </w:r>
      <m:oMath>
        <m:r>
          <m:t>z</m:t>
        </m:r>
        <m:r>
          <m:t>=</m:t>
        </m:r>
        <m:r>
          <m:t>3.74</m:t>
        </m:r>
      </m:oMath>
      <w:r>
        <w:t xml:space="preserve">,</w:t>
      </w:r>
      <w:r>
        <w:t xml:space="preserve"> </w:t>
      </w:r>
      <m:oMath>
        <m:r>
          <m:t>p</m:t>
        </m:r>
        <m:r>
          <m:t>&lt;</m:t>
        </m:r>
        <m:r>
          <m:t>.001</m:t>
        </m:r>
      </m:oMath>
      <w:r>
        <w:t xml:space="preserve">) and comprehension (</w:t>
      </w:r>
      <m:oMath>
        <m:acc>
          <m:accPr>
            <m:chr m:val="̂"/>
          </m:accPr>
          <m:e>
            <m:r>
              <m:t>β</m:t>
            </m:r>
          </m:e>
        </m:acc>
        <m:r>
          <m:t>=</m:t>
        </m:r>
        <m:r>
          <m:t>0.60</m:t>
        </m:r>
      </m:oMath>
      <w:r>
        <w:t xml:space="preserve">, 95% CI</w:t>
      </w:r>
      <w:r>
        <w:t xml:space="preserve"> </w:t>
      </w:r>
      <m:oMath>
        <m:r>
          <m:t>[</m:t>
        </m:r>
        <m:r>
          <m:t>0.24</m:t>
        </m:r>
        <m:r>
          <m:t>,</m:t>
        </m:r>
        <m:r>
          <m:t>0.96</m:t>
        </m:r>
        <m:r>
          <m:t>]</m:t>
        </m:r>
      </m:oMath>
      <w:r>
        <w:t xml:space="preserve">,</w:t>
      </w:r>
      <w:r>
        <w:t xml:space="preserve"> </w:t>
      </w:r>
      <m:oMath>
        <m:r>
          <m:t>z</m:t>
        </m:r>
        <m:r>
          <m:t>=</m:t>
        </m:r>
        <m:r>
          <m:t>3.27</m:t>
        </m:r>
      </m:oMath>
      <w:r>
        <w:t xml:space="preserve">,</w:t>
      </w:r>
      <w:r>
        <w:t xml:space="preserve"> </w:t>
      </w:r>
      <m:oMath>
        <m:r>
          <m:t>p</m:t>
        </m:r>
        <m:r>
          <m:t>=</m:t>
        </m:r>
        <m:r>
          <m:t>.001</m:t>
        </m:r>
      </m:oMath>
      <w:r>
        <w:t xml:space="preserve">). For some term-chip pairings such as ami/pua and pei/xo, children performed failed to produce the correct term in the production task but improved significantly during the comprehension task (Figure</w:t>
      </w:r>
      <w:r>
        <w:t xml:space="preserve"> </w:t>
      </w:r>
      <w:r>
        <w:t xml:space="preserve">3</w:t>
      </w:r>
      <w:r>
        <w:t xml:space="preserve">). It is possible that for children’s color term knowledge, comprehension precedes production. It is also possible that, given that the comprehension task always followed the production task, children were able to pick up on their errors and update their color term mapping in real-time. However, given that the experimenter did not provide feedback on accuracy during sessions, the former explanation seems more likely.</w:t>
      </w:r>
    </w:p>
    <w:p>
      <w:pPr>
        <w:pStyle w:val="Textkrper"/>
      </w:pPr>
      <w:r>
        <w:t xml:space="preserve">Following</w:t>
      </w:r>
      <w:r>
        <w:t xml:space="preserve"> </w:t>
      </w:r>
      <w:r>
        <w:t xml:space="preserve">Frank, Braginsky, Yurovsky, and Marchman (n.d.)</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0.38 (odds of success multiplied by</w:t>
      </w:r>
      <w:r>
        <w:t xml:space="preserve"> </w:t>
      </w:r>
      <m:oMath>
        <m:r>
          <m:rPr>
            <m:nor/>
            <m:sty m:val="p"/>
          </m:rPr>
          <m:t>exp</m:t>
        </m:r>
        <m:r>
          <m:t>(</m:t>
        </m:r>
        <m:acc>
          <m:accPr>
            <m:chr m:val="̂"/>
          </m:accPr>
          <m:e>
            <m:r>
              <m:t>β</m:t>
            </m:r>
          </m:e>
        </m:acc>
        <m:r>
          <m:t>)</m:t>
        </m:r>
      </m:oMath>
      <w:r>
        <w:t xml:space="preserve"> </w:t>
      </w:r>
      <w:r>
        <w:t xml:space="preserve">= 1.50 with every added year of age) to 1.35 (odds multiplied by</w:t>
      </w:r>
      <w:r>
        <w:t xml:space="preserve"> </w:t>
      </w:r>
      <m:oMath>
        <m:r>
          <m:rPr>
            <m:nor/>
            <m:sty m:val="p"/>
          </m:rPr>
          <m:t>exp</m:t>
        </m:r>
        <m:r>
          <m:t>(</m:t>
        </m:r>
        <m:acc>
          <m:accPr>
            <m:chr m:val="̂"/>
          </m:accPr>
          <m:e>
            <m:r>
              <m:t>β</m:t>
            </m:r>
          </m:e>
        </m:acc>
        <m:r>
          <m:t>)</m:t>
        </m:r>
      </m:oMath>
      <w:r>
        <w:t xml:space="preserve"> </w:t>
      </w:r>
      <w:r>
        <w:t xml:space="preserve">= 3.80). To find age of acquisition then predicted the probability of success for the range of participant ages, 5.40- to 11.70-years-old at increments of 0.05 years, and selected the earliest age at which the accuracy crossed 0.5. Using this method, we predict that half of SK children first learn to label the</w:t>
      </w:r>
      <w:r>
        <w:t xml:space="preserve"> </w:t>
      </w:r>
      <w:r>
        <w:rPr>
          <w:i/>
        </w:rPr>
        <w:t xml:space="preserve">joxo</w:t>
      </w:r>
      <w:r>
        <w:t xml:space="preserve"> </w:t>
      </w:r>
      <w:r>
        <w:t xml:space="preserve">chip (</w:t>
      </w:r>
      <w:r>
        <w:t xml:space="preserve">“</w:t>
      </w:r>
      <w:r>
        <w:t xml:space="preserve">white</w:t>
      </w:r>
      <w:r>
        <w:t xml:space="preserve">”</w:t>
      </w:r>
      <w:r>
        <w:t xml:space="preserve">) at 5.4 years of age. This is followed by the</w:t>
      </w:r>
      <w:r>
        <w:t xml:space="preserve"> </w:t>
      </w:r>
      <w:r>
        <w:rPr>
          <w:i/>
        </w:rPr>
        <w:t xml:space="preserve">wiso</w:t>
      </w:r>
      <w:r>
        <w:t xml:space="preserve"> </w:t>
      </w:r>
      <w:r>
        <w:t xml:space="preserve">chip (</w:t>
      </w:r>
      <w:r>
        <w:t xml:space="preserve">“</w:t>
      </w:r>
      <w:r>
        <w:t xml:space="preserve">black</w:t>
      </w:r>
      <w:r>
        <w:t xml:space="preserve">”</w:t>
      </w:r>
      <w:r>
        <w:t xml:space="preserve">) at 5.5, the</w:t>
      </w:r>
      <w:r>
        <w:t xml:space="preserve"> </w:t>
      </w:r>
      <w:r>
        <w:rPr>
          <w:i/>
        </w:rPr>
        <w:t xml:space="preserve">hoshin</w:t>
      </w:r>
      <w:r>
        <w:t xml:space="preserve"> </w:t>
      </w:r>
      <w:r>
        <w:t xml:space="preserve">chip (</w:t>
      </w:r>
      <w:r>
        <w:t xml:space="preserve">“</w:t>
      </w:r>
      <w:r>
        <w:t xml:space="preserve">red</w:t>
      </w:r>
      <w:r>
        <w:t xml:space="preserve">”</w:t>
      </w:r>
      <w:r>
        <w:t xml:space="preserve">) at 6.2, the</w:t>
      </w:r>
      <w:r>
        <w:t xml:space="preserve"> </w:t>
      </w:r>
      <w:r>
        <w:rPr>
          <w:i/>
        </w:rPr>
        <w:t xml:space="preserve">panshin</w:t>
      </w:r>
      <w:r>
        <w:t xml:space="preserve"> </w:t>
      </w:r>
      <w:r>
        <w:t xml:space="preserve">chip (</w:t>
      </w:r>
      <w:r>
        <w:t xml:space="preserve">“</w:t>
      </w:r>
      <w:r>
        <w:t xml:space="preserve">yellow</w:t>
      </w:r>
      <w:r>
        <w:t xml:space="preserve">”</w:t>
      </w:r>
      <w:r>
        <w:t xml:space="preserve">) at 7.2, the</w:t>
      </w:r>
      <w:r>
        <w:t xml:space="preserve"> </w:t>
      </w:r>
      <w:r>
        <w:rPr>
          <w:i/>
        </w:rPr>
        <w:t xml:space="preserve">yankon</w:t>
      </w:r>
      <w:r>
        <w:t xml:space="preserve"> </w:t>
      </w:r>
      <w:r>
        <w:t xml:space="preserve">chip (</w:t>
      </w:r>
      <w:r>
        <w:t xml:space="preserve">“</w:t>
      </w:r>
      <w:r>
        <w:t xml:space="preserve">green</w:t>
      </w:r>
      <w:r>
        <w:t xml:space="preserve">”</w:t>
      </w:r>
      <w:r>
        <w:t xml:space="preserve">) at 7.8, the</w:t>
      </w:r>
      <w:r>
        <w:t xml:space="preserve"> </w:t>
      </w:r>
      <w:r>
        <w:rPr>
          <w:i/>
        </w:rPr>
        <w:t xml:space="preserve">nai</w:t>
      </w:r>
      <w:r>
        <w:t xml:space="preserve"> </w:t>
      </w:r>
      <w:r>
        <w:t xml:space="preserve">chip (</w:t>
      </w:r>
      <w:r>
        <w:t xml:space="preserve">“</w:t>
      </w:r>
      <w:r>
        <w:t xml:space="preserve">sky-blue</w:t>
      </w:r>
      <w:r>
        <w:t xml:space="preserve">”</w:t>
      </w:r>
      <w:r>
        <w:t xml:space="preserve">;</w:t>
      </w:r>
      <w:r>
        <w:t xml:space="preserve"> </w:t>
      </w:r>
      <w:r>
        <w:t xml:space="preserve">“</w:t>
      </w:r>
      <w:r>
        <w:t xml:space="preserve">yankon</w:t>
      </w:r>
      <w:r>
        <w:t xml:space="preserve">”</w:t>
      </w:r>
      <w:r>
        <w:t xml:space="preserve"> </w:t>
      </w:r>
      <w:r>
        <w:t xml:space="preserve">also accepted) at 9.4, and the</w:t>
      </w:r>
      <w:r>
        <w:t xml:space="preserve"> </w:t>
      </w:r>
      <w:r>
        <w:rPr>
          <w:i/>
        </w:rPr>
        <w:t xml:space="preserve">yankon</w:t>
      </w:r>
      <w:r>
        <w:t xml:space="preserve">/</w:t>
      </w:r>
      <w:r>
        <w:rPr>
          <w:i/>
        </w:rPr>
        <w:t xml:space="preserve">joshin</w:t>
      </w:r>
      <w:r>
        <w:t xml:space="preserve"> </w:t>
      </w:r>
      <w:r>
        <w:t xml:space="preserve">chip (</w:t>
      </w:r>
      <w:r>
        <w:t xml:space="preserve">“</w:t>
      </w:r>
      <w:r>
        <w:t xml:space="preserve">greenish-yellow</w:t>
      </w:r>
      <w:r>
        <w:t xml:space="preserve">”</w:t>
      </w:r>
      <w:r>
        <w:t xml:space="preserve">)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 It is worth noting that in Study 1, adult participants used 7 different labels for this chip (</w:t>
      </w:r>
      <w:r>
        <w:rPr>
          <w:i/>
        </w:rPr>
        <w:t xml:space="preserve">ambi</w:t>
      </w:r>
      <w:r>
        <w:t xml:space="preserve">,</w:t>
      </w:r>
      <w:r>
        <w:t xml:space="preserve"> </w:t>
      </w:r>
      <w:r>
        <w:rPr>
          <w:i/>
        </w:rPr>
        <w:t xml:space="preserve">ami</w:t>
      </w:r>
      <w:r>
        <w:t xml:space="preserve">,</w:t>
      </w:r>
      <w:r>
        <w:t xml:space="preserve"> </w:t>
      </w:r>
      <w:r>
        <w:rPr>
          <w:i/>
        </w:rPr>
        <w:t xml:space="preserve">jimi</w:t>
      </w:r>
      <w:r>
        <w:t xml:space="preserve">,</w:t>
      </w:r>
      <w:r>
        <w:t xml:space="preserve"> </w:t>
      </w:r>
      <w:r>
        <w:rPr>
          <w:i/>
        </w:rPr>
        <w:t xml:space="preserve">joshin</w:t>
      </w:r>
      <w:r>
        <w:t xml:space="preserve">,</w:t>
      </w:r>
      <w:r>
        <w:t xml:space="preserve"> </w:t>
      </w:r>
      <w:r>
        <w:rPr>
          <w:i/>
        </w:rPr>
        <w:t xml:space="preserve">kari</w:t>
      </w:r>
      <w:r>
        <w:t xml:space="preserve">,</w:t>
      </w:r>
      <w:r>
        <w:t xml:space="preserve"> </w:t>
      </w:r>
      <w:r>
        <w:rPr>
          <w:i/>
        </w:rPr>
        <w:t xml:space="preserve">morado</w:t>
      </w:r>
      <w:r>
        <w:t xml:space="preserve">, and</w:t>
      </w:r>
      <w:r>
        <w:t xml:space="preserve"> </w:t>
      </w:r>
      <w:r>
        <w:rPr>
          <w:i/>
        </w:rPr>
        <w:t xml:space="preserve">yankon</w:t>
      </w:r>
      <w:r>
        <w:t xml:space="preserve">), none of which were used more than 25% of the time. Even with the inability to predict age of acquisition for one of the 8 chips, our predictions suggest that SK children obtain color term knowledge at notably older ages compared to children in the United States</w:t>
      </w:r>
      <w:r>
        <w:t xml:space="preserve"> </w:t>
      </w:r>
      <w:r>
        <w:t xml:space="preserve">(Wagner et al., 2013)</w:t>
      </w:r>
      <w:r>
        <w:t xml:space="preserve">.</w:t>
      </w:r>
    </w:p>
    <w:p>
      <w:pPr>
        <w:pStyle w:val="Textkrper"/>
      </w:pPr>
      <w:r>
        <w:rPr>
          <w:i/>
        </w:rPr>
        <w:t xml:space="preserve">Language switching</w:t>
      </w:r>
      <w:r>
        <w:t xml:space="preserve">. Over a quarter (28%) of all responses were given in Spanish, despite children being prompted solely in SK (i.e., labeling a panshin chip as</w:t>
      </w:r>
      <w:r>
        <w:t xml:space="preserve"> </w:t>
      </w:r>
      <w:r>
        <w:t xml:space="preserve">“</w:t>
      </w:r>
      <w:r>
        <w:t xml:space="preserve">amarillo</w:t>
      </w:r>
      <w:r>
        <w:t xml:space="preserve">”</w:t>
      </w:r>
      <w:r>
        <w:t xml:space="preserve">). The distribution of Spanish responses was non-random, with median use in 2/8 trials (</w:t>
      </w:r>
      <w:r>
        <w:rPr>
          <w:i/>
        </w:rPr>
        <w:t xml:space="preserve">IQR</w:t>
      </w:r>
      <w:r>
        <w:t xml:space="preserve"> </w:t>
      </w:r>
      <w:r>
        <w:t xml:space="preserve">= 0-5). We failed to find a significant correlation between age and number of trials with Spanish-language responses throughout the production task (</w:t>
      </w:r>
      <m:oMath>
        <m:r>
          <m:t>t</m:t>
        </m:r>
        <m:r>
          <m:t>(</m:t>
        </m:r>
        <m:r>
          <m:t>55</m:t>
        </m:r>
        <m:r>
          <m:t>)</m:t>
        </m:r>
        <m:r>
          <m:t>=</m:t>
        </m:r>
        <m:r>
          <m:t>−</m:t>
        </m:r>
        <m:r>
          <m:t>1.13</m:t>
        </m:r>
      </m:oMath>
      <w:r>
        <w:t xml:space="preserve">,</w:t>
      </w:r>
      <w:r>
        <w:t xml:space="preserve"> </w:t>
      </w:r>
      <m:oMath>
        <m:r>
          <m:t>p</m:t>
        </m:r>
        <m:r>
          <m:t>=</m:t>
        </m:r>
        <m:r>
          <m:t>.263</m:t>
        </m:r>
      </m:oMath>
      <w:r>
        <w:t xml:space="preserve">).</w:t>
      </w:r>
    </w:p>
    <w:p>
      <w:pPr>
        <w:pStyle w:val="Compact"/>
      </w:pPr>
      <w:r>
        <w:t xml:space="preserve">Table 2:</w:t>
      </w:r>
    </w:p>
    <w:p>
      <w:pPr>
        <w:pStyle w:val="Compact"/>
        <w:pStyle w:val="TableCaption"/>
      </w:pPr>
      <w:r>
        <w:rPr>
          <w:i/>
        </w:rPr>
        <w:t xml:space="preserve">XXX Insert table title here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Chip ID</w:t>
            </w:r>
          </w:p>
        </w:tc>
        <w:tc>
          <w:tcPr>
            <w:tcBorders>
              <w:bottom w:val="single"/>
            </w:tcBorders>
            <w:vAlign w:val="bottom"/>
          </w:tcPr>
          <w:p>
            <w:pPr>
              <w:pStyle w:val="Compact"/>
              <w:jc w:val="left"/>
            </w:pPr>
            <w:r>
              <w:t xml:space="preserve">Entropy</w:t>
            </w:r>
          </w:p>
        </w:tc>
        <w:tc>
          <w:tcPr>
            <w:tcBorders>
              <w:bottom w:val="single"/>
            </w:tcBorders>
            <w:vAlign w:val="bottom"/>
          </w:tcPr>
          <w:p>
            <w:pPr>
              <w:pStyle w:val="Compact"/>
              <w:jc w:val="left"/>
            </w:pPr>
            <w:r>
              <w:t xml:space="preserve">Study 2</w:t>
            </w:r>
          </w:p>
        </w:tc>
        <w:tc>
          <w:tcPr>
            <w:tcBorders>
              <w:bottom w:val="single"/>
            </w:tcBorders>
            <w:vAlign w:val="bottom"/>
          </w:tcPr>
          <w:p>
            <w:pPr>
              <w:pStyle w:val="Compact"/>
              <w:jc w:val="left"/>
            </w:pPr>
            <w:r>
              <w:t xml:space="preserve">Study 3</w:t>
            </w:r>
          </w:p>
        </w:tc>
        <w:tc>
          <w:tcPr>
            <w:tcBorders>
              <w:bottom w:val="single"/>
            </w:tcBorders>
            <w:vAlign w:val="bottom"/>
          </w:tcPr>
          <w:p>
            <w:pPr>
              <w:pStyle w:val="Compact"/>
              <w:jc w:val="left"/>
            </w:pPr>
            <w:r>
              <w:t xml:space="preserve">Shipibo term</w:t>
            </w:r>
          </w:p>
        </w:tc>
        <w:tc>
          <w:tcPr>
            <w:tcBorders>
              <w:bottom w:val="single"/>
            </w:tcBorders>
            <w:vAlign w:val="bottom"/>
          </w:tcPr>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Ami/Poa</w:t>
            </w:r>
          </w:p>
        </w:tc>
        <w:tc>
          <w:p>
            <w:pPr>
              <w:pStyle w:val="Compact"/>
              <w:jc w:val="left"/>
            </w:pPr>
            <w:r>
              <w:t xml:space="preserve">Morado</w:t>
            </w:r>
          </w:p>
        </w:tc>
      </w:tr>
    </w:tbl>
    <w:p>
      <w:pPr>
        <w:pStyle w:val="Textkrper"/>
      </w:pPr>
      <w:r>
        <w:t xml:space="preserve">As an exploratory analysis, we attempted to quantify low naming consensus using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t>(</m:t>
        </m:r>
        <m:r>
          <m:t>l</m:t>
        </m:r>
        <m:r>
          <m:t>∣</m:t>
        </m:r>
        <m:r>
          <m:t>c</m:t>
        </m:r>
        <m:r>
          <m:t>)</m:t>
        </m:r>
      </m:oMath>
      <w:r>
        <w:t xml:space="preserve">) and then taking</w:t>
      </w:r>
      <w:r>
        <w:t xml:space="preserve"> </w:t>
      </w:r>
      <m:oMath>
        <m:r>
          <m:t>H</m:t>
        </m:r>
        <m:r>
          <m:t>(</m:t>
        </m:r>
        <m:r>
          <m:t>c</m:t>
        </m:r>
        <m:r>
          <m:t>)</m:t>
        </m:r>
        <m:r>
          <m:t>=</m:t>
        </m:r>
        <m:r>
          <m:t>−</m:t>
        </m:r>
        <m:r>
          <m:t>∑</m:t>
        </m:r>
        <m:r>
          <m:t>p</m:t>
        </m:r>
        <m:r>
          <m:t>(</m:t>
        </m:r>
        <m:r>
          <m:t>l</m:t>
        </m:r>
        <m:r>
          <m:t>∣</m:t>
        </m:r>
        <m:r>
          <m:t>c</m:t>
        </m:r>
        <m:r>
          <m:t>)</m:t>
        </m:r>
        <m:r>
          <m:rPr>
            <m:nor/>
            <m:sty m:val="p"/>
          </m:rPr>
          <m:t>log</m:t>
        </m:r>
        <m:r>
          <m:t>[</m:t>
        </m:r>
        <m:r>
          <m:t>p</m:t>
        </m:r>
        <m:r>
          <m:t>(</m:t>
        </m:r>
        <m:r>
          <m:t>l</m:t>
        </m:r>
        <m:r>
          <m:t>∣</m:t>
        </m:r>
        <m:r>
          <m:t>c</m:t>
        </m:r>
        <m:r>
          <m:t>)</m:t>
        </m:r>
        <m:r>
          <m:t>]</m:t>
        </m:r>
      </m:oMath>
      <w:r>
        <w:t xml:space="preserve"> </w:t>
      </w:r>
      <w:r>
        <w:t xml:space="preserve">(see inset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as a function of child age, entropy of the chip’s naming distribution for adults in Study 1, and their interaction. This led to a model with the following structure: Different-language response [0 or 1] ~ age in years * prompt entropy + (1 | subject). Despite age not being significantly correlated with overall frequency of Spanish responses, within this model, we found that older children were less likely to respond in Spanish (</w:t>
      </w:r>
      <m:oMath>
        <m:acc>
          <m:accPr>
            <m:chr m:val="̂"/>
          </m:accPr>
          <m:e>
            <m:r>
              <m:t>β</m:t>
            </m:r>
          </m:e>
        </m:acc>
        <m:r>
          <m:t>=</m:t>
        </m:r>
        <m:r>
          <m:t>−</m:t>
        </m:r>
        <m:r>
          <m:t>0.52</m:t>
        </m:r>
      </m:oMath>
      <w:r>
        <w:t xml:space="preserve">, 95% CI</w:t>
      </w:r>
      <w:r>
        <w:t xml:space="preserve"> </w:t>
      </w:r>
      <m:oMath>
        <m:r>
          <m:t>[</m:t>
        </m:r>
        <m:r>
          <m:t>−</m:t>
        </m:r>
        <m:r>
          <m:t>1.01</m:t>
        </m:r>
        <m:r>
          <m:t>,</m:t>
        </m:r>
        <m:r>
          <m:t>−</m:t>
        </m:r>
        <m:r>
          <m:t>0.03</m:t>
        </m:r>
        <m:r>
          <m:t>]</m:t>
        </m:r>
      </m:oMath>
      <w:r>
        <w:t xml:space="preserve">,</w:t>
      </w:r>
      <w:r>
        <w:t xml:space="preserve"> </w:t>
      </w:r>
      <m:oMath>
        <m:r>
          <m:t>z</m:t>
        </m:r>
        <m:r>
          <m:t>=</m:t>
        </m:r>
        <m:r>
          <m:t>−</m:t>
        </m:r>
        <m:r>
          <m:t>2.09</m:t>
        </m:r>
      </m:oMath>
      <w:r>
        <w:t xml:space="preserve">,</w:t>
      </w:r>
      <w:r>
        <w:t xml:space="preserve"> </w:t>
      </w:r>
      <m:oMath>
        <m:r>
          <m:t>p</m:t>
        </m:r>
        <m:r>
          <m:t>=</m:t>
        </m:r>
        <m:r>
          <m:t>.036</m:t>
        </m:r>
      </m:oMath>
      <w:r>
        <w:t xml:space="preserve">). Children were also more likely to respond in Spanish when presented with a chip with high entropy (low naming consensus) among adult participants in Study 1 (</w:t>
      </w:r>
      <m:oMath>
        <m:acc>
          <m:accPr>
            <m:chr m:val="̂"/>
          </m:accPr>
          <m:e>
            <m:r>
              <m:t>β</m:t>
            </m:r>
          </m:e>
        </m:acc>
        <m:r>
          <m:t>=</m:t>
        </m:r>
        <m:r>
          <m:t>1.54</m:t>
        </m:r>
      </m:oMath>
      <w:r>
        <w:t xml:space="preserve">, 95% CI</w:t>
      </w:r>
      <w:r>
        <w:t xml:space="preserve"> </w:t>
      </w:r>
      <m:oMath>
        <m:r>
          <m:t>[</m:t>
        </m:r>
        <m:r>
          <m:t>1.02</m:t>
        </m:r>
        <m:r>
          <m:t>,</m:t>
        </m:r>
        <m:r>
          <m:t>2.06</m:t>
        </m:r>
        <m:r>
          <m:t>]</m:t>
        </m:r>
      </m:oMath>
      <w:r>
        <w:t xml:space="preserve">,</w:t>
      </w:r>
      <w:r>
        <w:t xml:space="preserve"> </w:t>
      </w:r>
      <m:oMath>
        <m:r>
          <m:t>z</m:t>
        </m:r>
        <m:r>
          <m:t>=</m:t>
        </m:r>
        <m:r>
          <m:t>5.82</m:t>
        </m:r>
      </m:oMath>
      <w:r>
        <w:t xml:space="preserve">,</w:t>
      </w:r>
      <w:r>
        <w:t xml:space="preserve"> </w:t>
      </w:r>
      <m:oMath>
        <m:r>
          <m:t>p</m:t>
        </m:r>
        <m:r>
          <m:t>&lt;</m:t>
        </m:r>
        <m:r>
          <m:t>.001</m:t>
        </m:r>
      </m:oMath>
      <w:r>
        <w:t xml:space="preserve">). We found a positive interaction between age and entropy (</w:t>
      </w:r>
      <m:oMath>
        <m:acc>
          <m:accPr>
            <m:chr m:val="̂"/>
          </m:accPr>
          <m:e>
            <m:r>
              <m:t>β</m:t>
            </m:r>
          </m:e>
        </m:acc>
        <m:r>
          <m:t>=</m:t>
        </m:r>
        <m:r>
          <m:t>0.34</m:t>
        </m:r>
      </m:oMath>
      <w:r>
        <w:t xml:space="preserve">, 95% CI</w:t>
      </w:r>
      <w:r>
        <w:t xml:space="preserve"> </w:t>
      </w:r>
      <m:oMath>
        <m:r>
          <m:t>[</m:t>
        </m:r>
        <m:r>
          <m:t>0.03</m:t>
        </m:r>
        <m:r>
          <m:t>,</m:t>
        </m:r>
        <m:r>
          <m:t>0.66</m:t>
        </m:r>
        <m:r>
          <m:t>]</m:t>
        </m:r>
      </m:oMath>
      <w:r>
        <w:t xml:space="preserve">,</w:t>
      </w:r>
      <w:r>
        <w:t xml:space="preserve"> </w:t>
      </w:r>
      <m:oMath>
        <m:r>
          <m:t>z</m:t>
        </m:r>
        <m:r>
          <m:t>=</m:t>
        </m:r>
        <m:r>
          <m:t>2.13</m:t>
        </m:r>
      </m:oMath>
      <w:r>
        <w:t xml:space="preserve">,</w:t>
      </w:r>
      <w:r>
        <w:t xml:space="preserve"> </w:t>
      </w:r>
      <m:oMath>
        <m:r>
          <m:t>p</m:t>
        </m:r>
        <m:r>
          <m:t>=</m:t>
        </m:r>
        <m:r>
          <m:t>.034</m:t>
        </m:r>
      </m:oMath>
      <w:r>
        <w:t xml:space="preserve">).</w:t>
      </w:r>
    </w:p>
    <w:p>
      <w:pPr>
        <w:pStyle w:val="Textkrper"/>
      </w:pPr>
      <w:r>
        <w:rPr>
          <w:i/>
        </w:rPr>
        <w:t xml:space="preserve">Overextensions</w:t>
      </w:r>
      <w:r>
        <w:t xml:space="preserve">. One reason to use Spanish would be if children fail to recall the proper SK color term but do know the proper mapping in the Spanish. But another possibility is that children may have more imprecise representations and choose to respond with a same-language but adjacent color term (i.e., labeling a</w:t>
      </w:r>
      <w:r>
        <w:t xml:space="preserve"> </w:t>
      </w:r>
      <w:r>
        <w:rPr>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using the following formula: adjacent response [0 or 1] ~ age in years + prompt entropy + (1 | subject). We found that younger children were more likely to respond with SK-language but adjacent terms (</w:t>
      </w:r>
      <m:oMath>
        <m:acc>
          <m:accPr>
            <m:chr m:val="̂"/>
          </m:accPr>
          <m:e>
            <m:r>
              <m:t>β</m:t>
            </m:r>
          </m:e>
        </m:acc>
        <m:r>
          <m:t>=</m:t>
        </m:r>
        <m:r>
          <m:t>−</m:t>
        </m:r>
        <m:r>
          <m:t>1.16</m:t>
        </m:r>
      </m:oMath>
      <w:r>
        <w:t xml:space="preserve">, 95% CI</w:t>
      </w:r>
      <w:r>
        <w:t xml:space="preserve"> </w:t>
      </w:r>
      <m:oMath>
        <m:r>
          <m:t>[</m:t>
        </m:r>
        <m:r>
          <m:t>−</m:t>
        </m:r>
        <m:r>
          <m:t>1.96</m:t>
        </m:r>
        <m:r>
          <m:t>,</m:t>
        </m:r>
        <m:r>
          <m:t>−</m:t>
        </m:r>
        <m:r>
          <m:t>0.35</m:t>
        </m:r>
        <m:r>
          <m:t>]</m:t>
        </m:r>
      </m:oMath>
      <w:r>
        <w:t xml:space="preserve">,</w:t>
      </w:r>
      <w:r>
        <w:t xml:space="preserve"> </w:t>
      </w:r>
      <m:oMath>
        <m:r>
          <m:t>z</m:t>
        </m:r>
        <m:r>
          <m:t>=</m:t>
        </m:r>
        <m:r>
          <m:t>−</m:t>
        </m:r>
        <m:r>
          <m:t>2.81</m:t>
        </m:r>
      </m:oMath>
      <w:r>
        <w:t xml:space="preserve">,</w:t>
      </w:r>
      <w:r>
        <w:t xml:space="preserve"> </w:t>
      </w:r>
      <m:oMath>
        <m:r>
          <m:t>p</m:t>
        </m:r>
        <m:r>
          <m:t>=</m:t>
        </m:r>
        <m:r>
          <m:t>.005</m:t>
        </m:r>
      </m:oMath>
      <w:r>
        <w:t xml:space="preserve">) but chip entropy did not have a significant factor in this strategy (</w:t>
      </w:r>
      <m:oMath>
        <m:acc>
          <m:accPr>
            <m:chr m:val="̂"/>
          </m:accPr>
          <m:e>
            <m:r>
              <m:t>β</m:t>
            </m:r>
          </m:e>
        </m:acc>
        <m:r>
          <m:t>=</m:t>
        </m:r>
        <m:r>
          <m:t>−</m:t>
        </m:r>
        <m:r>
          <m:t>1.23</m:t>
        </m:r>
      </m:oMath>
      <w:r>
        <w:t xml:space="preserve">, 95% CI</w:t>
      </w:r>
      <w:r>
        <w:t xml:space="preserve"> </w:t>
      </w:r>
      <m:oMath>
        <m:r>
          <m:t>[</m:t>
        </m:r>
        <m:r>
          <m:t>−</m:t>
        </m:r>
        <m:r>
          <m:t>3.00</m:t>
        </m:r>
        <m:r>
          <m:t>,</m:t>
        </m:r>
        <m:r>
          <m:t>0.54</m:t>
        </m:r>
        <m:r>
          <m:t>]</m:t>
        </m:r>
      </m:oMath>
      <w:r>
        <w:t xml:space="preserve">,</w:t>
      </w:r>
      <w:r>
        <w:t xml:space="preserve"> </w:t>
      </w:r>
      <m:oMath>
        <m:r>
          <m:t>z</m:t>
        </m:r>
        <m:r>
          <m:t>=</m:t>
        </m:r>
        <m:r>
          <m:t>−</m:t>
        </m:r>
        <m:r>
          <m:t>1.36</m:t>
        </m:r>
      </m:oMath>
      <w:r>
        <w:t xml:space="preserve">,</w:t>
      </w:r>
      <w:r>
        <w:t xml:space="preserve"> </w:t>
      </w:r>
      <m:oMath>
        <m:r>
          <m:t>p</m:t>
        </m:r>
        <m:r>
          <m:t>=</m:t>
        </m:r>
        <m:r>
          <m:t>.173</m:t>
        </m:r>
      </m:oMath>
      <w:r>
        <w:t xml:space="preserve">).</w:t>
      </w:r>
    </w:p>
    <w:p>
      <w:pPr>
        <w:pStyle w:val="Textkrper"/>
      </w:pPr>
      <w:r>
        <w:t xml:space="preserve">If children fail to recall the proper color term in SK, but do know the proper mapping in the Spanish color system, language-switching may be an appropriate strategy. Should they lack knowledge of the corresponding Spanish color term, they may also choose to respond with a same-language but adjacent color term. If we allow for more leniency in scoring–accepting same-language but adjacent and/or different-language but corresponding responses–we can check for more subtlety surrounding color term mapping (Figure</w:t>
      </w:r>
      <w:r>
        <w:t xml:space="preserve"> </w:t>
      </w:r>
      <w:r>
        <w:t xml:space="preserve">2</w:t>
      </w:r>
      <w:r>
        <w:t xml:space="preserve">). In order to assess if changes in our scoring criteria would lead to significant changes in accuracy, we modified our original accuracy GLMM to include an interaction between age and different scoring criteria (same-language/adjacent,different-language/corresponding, and combined) which led to the following structure: accuracy of response [0-1] ~ age in years * scoring criteria + (age | prompt) + (1 | subject). We found a significant improvement in accuracy scores when we allowed different-language but corresponding responses (</w:t>
      </w:r>
      <m:oMath>
        <m:acc>
          <m:accPr>
            <m:chr m:val="̂"/>
          </m:accPr>
          <m:e>
            <m:r>
              <m:t>β</m:t>
            </m:r>
          </m:e>
        </m:acc>
        <m:r>
          <m:t>=</m:t>
        </m:r>
        <m:r>
          <m:t>1.57</m:t>
        </m:r>
      </m:oMath>
      <w:r>
        <w:t xml:space="preserve">, 95% CI</w:t>
      </w:r>
      <w:r>
        <w:t xml:space="preserve"> </w:t>
      </w:r>
      <m:oMath>
        <m:r>
          <m:t>[</m:t>
        </m:r>
        <m:r>
          <m:t>1.13</m:t>
        </m:r>
        <m:r>
          <m:t>,</m:t>
        </m:r>
        <m:r>
          <m:t>2.02</m:t>
        </m:r>
        <m:r>
          <m:t>]</m:t>
        </m:r>
      </m:oMath>
      <w:r>
        <w:t xml:space="preserve">,</w:t>
      </w:r>
      <w:r>
        <w:t xml:space="preserve"> </w:t>
      </w:r>
      <m:oMath>
        <m:r>
          <m:t>z</m:t>
        </m:r>
        <m:r>
          <m:t>=</m:t>
        </m:r>
        <m:r>
          <m:t>6.98</m:t>
        </m:r>
      </m:oMath>
      <w:r>
        <w:t xml:space="preserve">,</w:t>
      </w:r>
      <w:r>
        <w:t xml:space="preserve"> </w:t>
      </w:r>
      <m:oMath>
        <m:r>
          <m:t>p</m:t>
        </m:r>
        <m:r>
          <m:t>&lt;</m:t>
        </m:r>
        <m:r>
          <m:t>.001</m:t>
        </m:r>
      </m:oMath>
      <w:r>
        <w:t xml:space="preserve">) but no significant change when allowing for same-language but adjacent responses (</w:t>
      </w:r>
      <m:oMath>
        <m:acc>
          <m:accPr>
            <m:chr m:val="̂"/>
          </m:accPr>
          <m:e>
            <m:r>
              <m:t>β</m:t>
            </m:r>
          </m:e>
        </m:acc>
        <m:r>
          <m:t>=</m:t>
        </m:r>
        <m:r>
          <m:t>0.17</m:t>
        </m:r>
      </m:oMath>
      <w:r>
        <w:t xml:space="preserve">, 95% CI</w:t>
      </w:r>
      <w:r>
        <w:t xml:space="preserve"> </w:t>
      </w:r>
      <m:oMath>
        <m:r>
          <m:t>[</m:t>
        </m:r>
        <m:r>
          <m:t>−</m:t>
        </m:r>
        <m:r>
          <m:t>0.22</m:t>
        </m:r>
        <m:r>
          <m:t>,</m:t>
        </m:r>
        <m:r>
          <m:t>0.56</m:t>
        </m:r>
        <m:r>
          <m:t>]</m:t>
        </m:r>
      </m:oMath>
      <w:r>
        <w:t xml:space="preserve">,</w:t>
      </w:r>
      <w:r>
        <w:t xml:space="preserve"> </w:t>
      </w:r>
      <m:oMath>
        <m:r>
          <m:t>z</m:t>
        </m:r>
        <m:r>
          <m:t>=</m:t>
        </m:r>
        <m:r>
          <m:t>0.86</m:t>
        </m:r>
      </m:oMath>
      <w:r>
        <w:t xml:space="preserve">,</w:t>
      </w:r>
      <w:r>
        <w:t xml:space="preserve"> </w:t>
      </w:r>
      <m:oMath>
        <m:r>
          <m:t>p</m:t>
        </m:r>
        <m:r>
          <m:t>=</m:t>
        </m:r>
        <m:r>
          <m:t>.390</m:t>
        </m:r>
      </m:oMath>
      <w:r>
        <w:t xml:space="preserve">). This increase in accuracy with language-switching strengthened with age (</w:t>
      </w:r>
      <m:oMath>
        <m:acc>
          <m:accPr>
            <m:chr m:val="̂"/>
          </m:accPr>
          <m:e>
            <m:r>
              <m:t>β</m:t>
            </m:r>
          </m:e>
        </m:acc>
        <m:r>
          <m:t>=</m:t>
        </m:r>
        <m:r>
          <m:t>0.41</m:t>
        </m:r>
      </m:oMath>
      <w:r>
        <w:t xml:space="preserve">, 95% CI</w:t>
      </w:r>
      <w:r>
        <w:t xml:space="preserve"> </w:t>
      </w:r>
      <m:oMath>
        <m:r>
          <m:t>[</m:t>
        </m:r>
        <m:r>
          <m:t>0.12</m:t>
        </m:r>
        <m:r>
          <m:t>,</m:t>
        </m:r>
        <m:r>
          <m:t>0.70</m:t>
        </m:r>
        <m:r>
          <m:t>]</m:t>
        </m:r>
      </m:oMath>
      <w:r>
        <w:t xml:space="preserve">,</w:t>
      </w:r>
      <w:r>
        <w:t xml:space="preserve"> </w:t>
      </w:r>
      <m:oMath>
        <m:r>
          <m:t>z</m:t>
        </m:r>
        <m:r>
          <m:t>=</m:t>
        </m:r>
        <m:r>
          <m:t>2.74</m:t>
        </m:r>
      </m:oMath>
      <w:r>
        <w:t xml:space="preserve">,</w:t>
      </w:r>
      <w:r>
        <w:t xml:space="preserve"> </w:t>
      </w:r>
      <m:oMath>
        <m:r>
          <m:t>p</m:t>
        </m:r>
        <m:r>
          <m:t>=</m:t>
        </m:r>
        <m:r>
          <m:t>.006</m:t>
        </m:r>
      </m:oMath>
      <w:r>
        <w:t xml:space="preserve">).</w:t>
      </w:r>
    </w:p>
    <w:p>
      <w:pPr>
        <w:pStyle w:val="berschrift1"/>
      </w:pPr>
      <w:bookmarkStart w:id="34" w:name="study-3"/>
      <w:r>
        <w:t xml:space="preserve">Study 3</w:t>
      </w:r>
      <w:bookmarkEnd w:id="34"/>
    </w:p>
    <w:p>
      <w:pPr>
        <w:pStyle w:val="FirstParagraph"/>
      </w:pPr>
      <w:r>
        <w:t xml:space="preserve">Noting the apparent strategy of language switching seen in Study 2, we designed Study 3 as its complement. Here, we tested children’s production and comprehension of Spanish color terms with a similar protocol to Study 2, albeit with a subset of chips representing prototypical colors for the Spanish color system.</w:t>
      </w:r>
    </w:p>
    <w:p>
      <w:pPr>
        <w:pStyle w:val="berschrift2"/>
      </w:pPr>
      <w:bookmarkStart w:id="35" w:name="methods-2"/>
      <w:r>
        <w:t xml:space="preserve">Methods</w:t>
      </w:r>
      <w:bookmarkEnd w:id="35"/>
    </w:p>
    <w:p>
      <w:pPr>
        <w:pStyle w:val="FirstParagraph"/>
      </w:pPr>
      <w:r>
        <w:rPr>
          <w:i/>
        </w:rPr>
        <w:t xml:space="preserve">Participants</w:t>
      </w:r>
      <w:r>
        <w:t xml:space="preserve">. Similar to Study 2, 46 children (16 boys) ages 5- to 11-years-old were recruited from the neighborhood of Bena Jema in Yarinacocha and from Bawanisho. Recruitment occurred either through interested parents or a local school. With consent collected from parents and, if in a school environment, teachers as well.</w:t>
      </w:r>
    </w:p>
    <w:p>
      <w:pPr>
        <w:pStyle w:val="Textkrper"/>
      </w:pPr>
      <w:r>
        <w:rPr>
          <w:i/>
        </w:rPr>
        <w:t xml:space="preserve">Materials and procedure</w:t>
      </w:r>
      <w:r>
        <w:t xml:space="preserve">. Based on Study 1 and on previous studies of Spanish color systems (XXX et al),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
        </w:rPr>
        <w:t xml:space="preserve">yankon</w:t>
      </w:r>
      <w:r>
        <w:t xml:space="preserve"> </w:t>
      </w:r>
      <w:r>
        <w:t xml:space="preserve">and</w:t>
      </w:r>
      <w:r>
        <w:t xml:space="preserve"> </w:t>
      </w:r>
      <w:r>
        <w:rPr>
          <w:i/>
        </w:rPr>
        <w:t xml:space="preserve">azul</w:t>
      </w:r>
      <w:r>
        <w:t xml:space="preserve"> </w:t>
      </w:r>
      <w:r>
        <w:t xml:space="preserve">differed enough to warrant the use of a different chip.</w:t>
      </w:r>
    </w:p>
    <w:p>
      <w:pPr>
        <w:pStyle w:val="Textkrper"/>
      </w:pPr>
      <w:r>
        <w:t xml:space="preserve">As SK children are not very fluent in Spanish (formal Spanish education occurs in adolescence),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p>
      <w:pPr>
        <w:pStyle w:val="Textkrper"/>
      </w:pPr>
      <w:r>
        <w:rPr>
          <w:i/>
        </w:rPr>
        <w:t xml:space="preserve">Production task</w:t>
      </w:r>
      <w:r>
        <w:t xml:space="preserve">. 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If the participant responded in SK, the experimenter would record their response but further ask:</w:t>
      </w:r>
      <w:r>
        <w:t xml:space="preserve"> </w:t>
      </w:r>
      <w:r>
        <w:t xml:space="preserve">“</w:t>
      </w:r>
      <w:r>
        <w:t xml:space="preserve">What is the name of this color in Spanish?</w:t>
      </w:r>
      <w:r>
        <w:t xml:space="preserve">”</w:t>
      </w:r>
      <w:r>
        <w:t xml:space="preserve">. 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BCTs and only consist of non-basic and/or SK color terms. In total, we collected production data for 11 color chips. For each chip, the data include either one response (when children provided a Spanish basic color term in the first trial) or two or three responses (when children’s initial responses were either non-basic and/or in SK).</w:t>
      </w:r>
    </w:p>
    <w:p>
      <w:pPr>
        <w:pStyle w:val="Textkrper"/>
      </w:pPr>
      <w:r>
        <w:rPr>
          <w:i/>
        </w:rPr>
        <w:t xml:space="preserve">Comprehension task</w:t>
      </w:r>
      <w:r>
        <w:t xml:space="preserve">. The procedure was similar to that of Study 2. The experimenter would ask: Can you give me the [</w:t>
      </w:r>
      <w:r>
        <w:rPr>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rPr>
          <w:i/>
        </w:rPr>
        <w:t xml:space="preserve">blanco</w:t>
      </w:r>
      <w:r>
        <w:t xml:space="preserve"> </w:t>
      </w:r>
      <w:r>
        <w:t xml:space="preserve">(</w:t>
      </w:r>
      <w:r>
        <w:t xml:space="preserve">“</w:t>
      </w:r>
      <w:r>
        <w:t xml:space="preserve">white</w:t>
      </w:r>
      <w:r>
        <w:t xml:space="preserve">”</w:t>
      </w:r>
      <w:r>
        <w:t xml:space="preserve">),</w:t>
      </w:r>
      <w:r>
        <w:t xml:space="preserve"> </w:t>
      </w:r>
      <w:r>
        <w:rPr>
          <w:i/>
        </w:rPr>
        <w:t xml:space="preserve">verde</w:t>
      </w:r>
      <w:r>
        <w:t xml:space="preserve"> </w:t>
      </w:r>
      <w:r>
        <w:t xml:space="preserve">(</w:t>
      </w:r>
      <w:r>
        <w:t xml:space="preserve">“</w:t>
      </w:r>
      <w:r>
        <w:t xml:space="preserve">green</w:t>
      </w:r>
      <w:r>
        <w:t xml:space="preserve">”</w:t>
      </w:r>
      <w:r>
        <w:t xml:space="preserve">),</w:t>
      </w:r>
      <w:r>
        <w:t xml:space="preserve"> </w:t>
      </w:r>
      <w:r>
        <w:rPr>
          <w:i/>
        </w:rPr>
        <w:t xml:space="preserve">rojo</w:t>
      </w:r>
      <w:r>
        <w:t xml:space="preserve"> </w:t>
      </w:r>
      <w:r>
        <w:t xml:space="preserve">(</w:t>
      </w:r>
      <w:r>
        <w:t xml:space="preserve">“</w:t>
      </w:r>
      <w:r>
        <w:t xml:space="preserve">red</w:t>
      </w:r>
      <w:r>
        <w:t xml:space="preserve">”</w:t>
      </w:r>
      <w:r>
        <w:t xml:space="preserve">),</w:t>
      </w:r>
      <w:r>
        <w:t xml:space="preserve"> </w:t>
      </w:r>
      <w:r>
        <w:rPr>
          <w:i/>
        </w:rPr>
        <w:t xml:space="preserve">amarillo</w:t>
      </w:r>
      <w:r>
        <w:t xml:space="preserve"> </w:t>
      </w:r>
      <w:r>
        <w:t xml:space="preserve">(</w:t>
      </w:r>
      <w:r>
        <w:t xml:space="preserve">“</w:t>
      </w:r>
      <w:r>
        <w:t xml:space="preserve">yellow</w:t>
      </w:r>
      <w:r>
        <w:t xml:space="preserve">”</w:t>
      </w:r>
      <w:r>
        <w:t xml:space="preserve">),</w:t>
      </w:r>
      <w:r>
        <w:t xml:space="preserve"> </w:t>
      </w:r>
      <w:r>
        <w:rPr>
          <w:i/>
        </w:rPr>
        <w:t xml:space="preserve">azul</w:t>
      </w:r>
      <w:r>
        <w:t xml:space="preserve"> </w:t>
      </w:r>
      <w:r>
        <w:t xml:space="preserve">(</w:t>
      </w:r>
      <w:r>
        <w:t xml:space="preserve">“</w:t>
      </w:r>
      <w:r>
        <w:t xml:space="preserve">blue</w:t>
      </w:r>
      <w:r>
        <w:t xml:space="preserve">”</w:t>
      </w:r>
      <w:r>
        <w:t xml:space="preserve">),</w:t>
      </w:r>
      <w:r>
        <w:t xml:space="preserve"> </w:t>
      </w:r>
      <w:r>
        <w:rPr>
          <w:i/>
        </w:rPr>
        <w:t xml:space="preserve">negro</w:t>
      </w:r>
      <w:r>
        <w:t xml:space="preserve"> </w:t>
      </w:r>
      <w:r>
        <w:t xml:space="preserve">(</w:t>
      </w:r>
      <w:r>
        <w:t xml:space="preserve">“</w:t>
      </w:r>
      <w:r>
        <w:t xml:space="preserve">black</w:t>
      </w:r>
      <w:r>
        <w:t xml:space="preserve">”</w:t>
      </w:r>
      <w:r>
        <w:t xml:space="preserve">),</w:t>
      </w:r>
      <w:r>
        <w:t xml:space="preserve"> </w:t>
      </w:r>
      <w:r>
        <w:rPr>
          <w:i/>
        </w:rPr>
        <w:t xml:space="preserve">naranja</w:t>
      </w:r>
      <w:r>
        <w:t xml:space="preserve"> </w:t>
      </w:r>
      <w:r>
        <w:t xml:space="preserve">(</w:t>
      </w:r>
      <w:r>
        <w:t xml:space="preserve">“</w:t>
      </w:r>
      <w:r>
        <w:t xml:space="preserve">orange</w:t>
      </w:r>
      <w:r>
        <w:t xml:space="preserve">”</w:t>
      </w:r>
      <w:r>
        <w:t xml:space="preserve">),</w:t>
      </w:r>
      <w:r>
        <w:t xml:space="preserve"> </w:t>
      </w:r>
      <w:r>
        <w:rPr>
          <w:i/>
        </w:rPr>
        <w:t xml:space="preserve">gris</w:t>
      </w:r>
      <w:r>
        <w:t xml:space="preserve"> </w:t>
      </w:r>
      <w:r>
        <w:t xml:space="preserve">(</w:t>
      </w:r>
      <w:r>
        <w:t xml:space="preserve">“</w:t>
      </w:r>
      <w:r>
        <w:t xml:space="preserve">grey</w:t>
      </w:r>
      <w:r>
        <w:t xml:space="preserve">”</w:t>
      </w:r>
      <w:r>
        <w:t xml:space="preserve">),</w:t>
      </w:r>
      <w:r>
        <w:t xml:space="preserve"> </w:t>
      </w:r>
      <w:r>
        <w:rPr>
          <w:i/>
        </w:rPr>
        <w:t xml:space="preserve">morado</w:t>
      </w:r>
      <w:r>
        <w:t xml:space="preserve"> </w:t>
      </w:r>
      <w:r>
        <w:t xml:space="preserve">(</w:t>
      </w:r>
      <w:r>
        <w:t xml:space="preserve">“</w:t>
      </w:r>
      <w:r>
        <w:t xml:space="preserve">purple</w:t>
      </w:r>
      <w:r>
        <w:t xml:space="preserve">”</w:t>
      </w:r>
      <w:r>
        <w:t xml:space="preserve">),</w:t>
      </w:r>
      <w:r>
        <w:t xml:space="preserve"> </w:t>
      </w:r>
      <w:r>
        <w:rPr>
          <w:i/>
        </w:rPr>
        <w:t xml:space="preserve">marrón</w:t>
      </w:r>
      <w:r>
        <w:t xml:space="preserve"> </w:t>
      </w:r>
      <w:r>
        <w:t xml:space="preserve">(</w:t>
      </w:r>
      <w:r>
        <w:t xml:space="preserve">“</w:t>
      </w:r>
      <w:r>
        <w:t xml:space="preserve">brown</w:t>
      </w:r>
      <w:r>
        <w:t xml:space="preserve">”</w:t>
      </w:r>
      <w:r>
        <w:t xml:space="preserve">), and</w:t>
      </w:r>
      <w:r>
        <w:t xml:space="preserve"> </w:t>
      </w:r>
      <w:r>
        <w:rPr>
          <w:i/>
        </w:rPr>
        <w:t xml:space="preserve">rosa</w:t>
      </w:r>
      <w:r>
        <w:t xml:space="preserve"> </w:t>
      </w:r>
      <w:r>
        <w:t xml:space="preserve">(</w:t>
      </w:r>
      <w:r>
        <w:t xml:space="preserve">“</w:t>
      </w:r>
      <w:r>
        <w:t xml:space="preserve">pink</w:t>
      </w:r>
      <w:r>
        <w:t xml:space="preserve">”</w:t>
      </w:r>
      <w:r>
        <w:t xml:space="preserve">). Since each color term was best instantiated by a single color chip and lacked the ambiguity seen with certain SK color terms, accuracy was graded one-to-one for term-chip pairings with less leniency compared to Study 2.</w:t>
      </w:r>
    </w:p>
    <w:p>
      <w:pPr>
        <w:pStyle w:val="berschrift2"/>
      </w:pPr>
      <w:bookmarkStart w:id="36" w:name="results-and-discussion-2"/>
      <w:r>
        <w:t xml:space="preserve">Results and Discussion</w:t>
      </w:r>
      <w:bookmarkEnd w:id="36"/>
    </w:p>
    <w:p>
      <w:pPr>
        <w:pStyle w:val="FirstParagraph"/>
      </w:pPr>
      <w:r>
        <w:t xml:space="preserve">To assess age-associated changes in Spanish color term production and comprehension, we again fit GLMMs for both production and comprehension tasks with an identical structure to Study 2: accuracy of response [0-1] ~ age in years + (age | prompt) + (1 | subject). Contrasting Study 2, we found age to be a significant predictor of accuracy in the comprehension task (</w:t>
      </w:r>
      <m:oMath>
        <m:acc>
          <m:accPr>
            <m:chr m:val="̂"/>
          </m:accPr>
          <m:e>
            <m:r>
              <m:t>β</m:t>
            </m:r>
          </m:e>
        </m:acc>
        <m:r>
          <m:t>=</m:t>
        </m:r>
        <m:r>
          <m:t>0.64</m:t>
        </m:r>
      </m:oMath>
      <w:r>
        <w:t xml:space="preserve">, 95% CI</w:t>
      </w:r>
      <w:r>
        <w:t xml:space="preserve"> </w:t>
      </w:r>
      <m:oMath>
        <m:r>
          <m:t>[</m:t>
        </m:r>
        <m:r>
          <m:t>0.21</m:t>
        </m:r>
        <m:r>
          <m:t>,</m:t>
        </m:r>
        <m:r>
          <m:t>1.07</m:t>
        </m:r>
        <m:r>
          <m:t>]</m:t>
        </m:r>
      </m:oMath>
      <w:r>
        <w:t xml:space="preserve">,</w:t>
      </w:r>
      <w:r>
        <w:t xml:space="preserve"> </w:t>
      </w:r>
      <m:oMath>
        <m:r>
          <m:t>z</m:t>
        </m:r>
        <m:r>
          <m:t>=</m:t>
        </m:r>
        <m:r>
          <m:t>2.90</m:t>
        </m:r>
      </m:oMath>
      <w:r>
        <w:t xml:space="preserve">,</w:t>
      </w:r>
      <w:r>
        <w:t xml:space="preserve"> </w:t>
      </w:r>
      <m:oMath>
        <m:r>
          <m:t>p</m:t>
        </m:r>
        <m:r>
          <m:t>=</m:t>
        </m:r>
        <m:r>
          <m:t>.004</m:t>
        </m:r>
      </m:oMath>
      <w:r>
        <w:t xml:space="preserve">), but not in the production task (</w:t>
      </w:r>
      <m:oMath>
        <m:acc>
          <m:accPr>
            <m:chr m:val="̂"/>
          </m:accPr>
          <m:e>
            <m:r>
              <m:t>β</m:t>
            </m:r>
          </m:e>
        </m:acc>
        <m:r>
          <m:t>=</m:t>
        </m:r>
        <m:r>
          <m:t>0.32</m:t>
        </m:r>
      </m:oMath>
      <w:r>
        <w:t xml:space="preserve">, 95% CI</w:t>
      </w:r>
      <w:r>
        <w:t xml:space="preserve"> </w:t>
      </w:r>
      <m:oMath>
        <m:r>
          <m:t>[</m:t>
        </m:r>
        <m:r>
          <m:t>−</m:t>
        </m:r>
        <m:r>
          <m:t>0.07</m:t>
        </m:r>
        <m:r>
          <m:t>,</m:t>
        </m:r>
        <m:r>
          <m:t>0.71</m:t>
        </m:r>
        <m:r>
          <m:t>]</m:t>
        </m:r>
      </m:oMath>
      <w:r>
        <w:t xml:space="preserve">,</w:t>
      </w:r>
      <w:r>
        <w:t xml:space="preserve"> </w:t>
      </w:r>
      <m:oMath>
        <m:r>
          <m:t>z</m:t>
        </m:r>
        <m:r>
          <m:t>=</m:t>
        </m:r>
        <m:r>
          <m:t>1.61</m:t>
        </m:r>
      </m:oMath>
      <w:r>
        <w:t xml:space="preserve">,</w:t>
      </w:r>
      <w:r>
        <w:t xml:space="preserve"> </w:t>
      </w:r>
      <m:oMath>
        <m:r>
          <m:t>p</m:t>
        </m:r>
        <m:r>
          <m:t>=</m:t>
        </m:r>
        <m:r>
          <m:t>.108</m:t>
        </m:r>
      </m:oMath>
      <w:r>
        <w:t xml:space="preserve">, see Figure</w:t>
      </w:r>
      <w:r>
        <w:t xml:space="preserve"> </w:t>
      </w:r>
      <w:r>
        <w:t xml:space="preserve">2</w:t>
      </w:r>
      <w:r>
        <w:t xml:space="preserve">). Similar to Study 2, over a quarter (30%) of all responses were given in SK, despite being prompted to respond in Spanish. There was significant variation in language-switching with some children responding solely in Spanish while others responded to upwards of 9/11 trials in SK (</w:t>
      </w:r>
      <w:r>
        <w:rPr>
          <w:i/>
        </w:rPr>
        <w:t xml:space="preserve">Mdn</w:t>
      </w:r>
      <w:r>
        <w:t xml:space="preserve"> </w:t>
      </w:r>
      <w:r>
        <w:t xml:space="preserve">= 5 trials,</w:t>
      </w:r>
      <w:r>
        <w:t xml:space="preserve"> </w:t>
      </w:r>
      <w:r>
        <w:rPr>
          <w:i/>
        </w:rPr>
        <w:t xml:space="preserve">IQR</w:t>
      </w:r>
      <w:r>
        <w:t xml:space="preserve"> </w:t>
      </w:r>
      <w:r>
        <w:t xml:space="preserve">= 1.25-6). We found only a marginal correlation between age and accuracy (</w:t>
      </w:r>
      <m:oMath>
        <m:r>
          <m:t>t</m:t>
        </m:r>
        <m:r>
          <m:t>(</m:t>
        </m:r>
        <m:r>
          <m:t>44</m:t>
        </m:r>
        <m:r>
          <m:t>)</m:t>
        </m:r>
        <m:r>
          <m:t>=</m:t>
        </m:r>
        <m:r>
          <m:t>1.91</m:t>
        </m:r>
      </m:oMath>
      <w:r>
        <w:t xml:space="preserve">,</w:t>
      </w:r>
      <w:r>
        <w:t xml:space="preserve"> </w:t>
      </w:r>
      <m:oMath>
        <m:r>
          <m:t>p</m:t>
        </m:r>
        <m:r>
          <m:t>=</m:t>
        </m:r>
        <m:r>
          <m:t>.063</m:t>
        </m:r>
      </m:oMath>
      <w:r>
        <w:t xml:space="preserve">) and no significant correlation between age and language-switching (</w:t>
      </w:r>
      <m:oMath>
        <m:r>
          <m:t>t</m:t>
        </m:r>
        <m:r>
          <m:t>(</m:t>
        </m:r>
        <m:r>
          <m:t>44</m:t>
        </m:r>
        <m:r>
          <m:t>)</m:t>
        </m:r>
        <m:r>
          <m:t>=</m:t>
        </m:r>
        <m:r>
          <m:t>0.44</m:t>
        </m:r>
      </m:oMath>
      <w:r>
        <w:t xml:space="preserve">,</w:t>
      </w:r>
      <w:r>
        <w:t xml:space="preserve"> </w:t>
      </w:r>
      <m:oMath>
        <m:r>
          <m:t>p</m:t>
        </m:r>
        <m:r>
          <m:t>=</m:t>
        </m:r>
        <m:r>
          <m:t>.663</m:t>
        </m:r>
      </m:oMath>
      <w:r>
        <w:t xml:space="preserve">). Still, due to our hypothesis that older children would have more Spanish-language exposure and color term knowledge, we included age as a predictor in our GLMM assessing the effect of prompt entropy on likelihood to switch languages from Spanish to SK, similar to the one used in Study 2. With the original structure, we failed to find a significant interaction between age and prompt entropy (</w:t>
      </w:r>
      <m:oMath>
        <m:acc>
          <m:accPr>
            <m:chr m:val="̂"/>
          </m:accPr>
          <m:e>
            <m:r>
              <m:t>β</m:t>
            </m:r>
          </m:e>
        </m:acc>
        <m:r>
          <m:t>=</m:t>
        </m:r>
        <m:r>
          <m:t>−</m:t>
        </m:r>
        <m:r>
          <m:t>0.27</m:t>
        </m:r>
      </m:oMath>
      <w:r>
        <w:t xml:space="preserve">, 95% CI</w:t>
      </w:r>
      <w:r>
        <w:t xml:space="preserve"> </w:t>
      </w:r>
      <m:oMath>
        <m:r>
          <m:t>[</m:t>
        </m:r>
        <m:r>
          <m:t>−</m:t>
        </m:r>
        <m:r>
          <m:t>0.63</m:t>
        </m:r>
        <m:r>
          <m:t>,</m:t>
        </m:r>
        <m:r>
          <m:t>0.09</m:t>
        </m:r>
        <m:r>
          <m:t>]</m:t>
        </m:r>
      </m:oMath>
      <w:r>
        <w:t xml:space="preserve">,</w:t>
      </w:r>
      <w:r>
        <w:t xml:space="preserve"> </w:t>
      </w:r>
      <m:oMath>
        <m:r>
          <m:t>z</m:t>
        </m:r>
        <m:r>
          <m:t>=</m:t>
        </m:r>
        <m:r>
          <m:t>−</m:t>
        </m:r>
        <m:r>
          <m:t>1.49</m:t>
        </m:r>
      </m:oMath>
      <w:r>
        <w:t xml:space="preserve">,</w:t>
      </w:r>
      <w:r>
        <w:t xml:space="preserve"> </w:t>
      </w:r>
      <m:oMath>
        <m:r>
          <m:t>p</m:t>
        </m:r>
        <m:r>
          <m:t>=</m:t>
        </m:r>
        <m:r>
          <m:t>.137</m:t>
        </m:r>
      </m:oMath>
      <w:r>
        <w:t xml:space="preserve">) and removed that item, yielding the following structure: Different-language response [0 or 1] ~ age in years + prompt entropy + (1 | subject). We found that participants tended to respond in SK when presented with items that had low entropy (</w:t>
      </w:r>
      <m:oMath>
        <m:acc>
          <m:accPr>
            <m:chr m:val="̂"/>
          </m:accPr>
          <m:e>
            <m:r>
              <m:t>β</m:t>
            </m:r>
          </m:e>
        </m:acc>
        <m:r>
          <m:t>=</m:t>
        </m:r>
        <m:r>
          <m:t>−</m:t>
        </m:r>
        <m:r>
          <m:t>1.49</m:t>
        </m:r>
      </m:oMath>
      <w:r>
        <w:t xml:space="preserve">, 95% CI</w:t>
      </w:r>
      <w:r>
        <w:t xml:space="preserve"> </w:t>
      </w:r>
      <m:oMath>
        <m:r>
          <m:t>[</m:t>
        </m:r>
        <m:r>
          <m:t>−</m:t>
        </m:r>
        <m:r>
          <m:t>2.07</m:t>
        </m:r>
        <m:r>
          <m:t>,</m:t>
        </m:r>
        <m:r>
          <m:t>−</m:t>
        </m:r>
        <m:r>
          <m:t>0.92</m:t>
        </m:r>
        <m:r>
          <m:t>]</m:t>
        </m:r>
      </m:oMath>
      <w:r>
        <w:t xml:space="preserve">,</w:t>
      </w:r>
      <w:r>
        <w:t xml:space="preserve"> </w:t>
      </w:r>
      <m:oMath>
        <m:r>
          <m:t>z</m:t>
        </m:r>
        <m:r>
          <m:t>=</m:t>
        </m:r>
        <m:r>
          <m:t>−</m:t>
        </m:r>
        <m:r>
          <m:t>5.10</m:t>
        </m:r>
      </m:oMath>
      <w:r>
        <w:t xml:space="preserve">,</w:t>
      </w:r>
      <w:r>
        <w:t xml:space="preserve"> </w:t>
      </w:r>
      <m:oMath>
        <m:r>
          <m:t>p</m:t>
        </m:r>
        <m:r>
          <m:t>&lt;</m:t>
        </m:r>
        <m:r>
          <m:t>.001</m:t>
        </m:r>
      </m:oMath>
      <w:r>
        <w:t xml:space="preserve">) but there was no significant effect of age (</w:t>
      </w:r>
      <m:oMath>
        <m:acc>
          <m:accPr>
            <m:chr m:val="̂"/>
          </m:accPr>
          <m:e>
            <m:r>
              <m:t>β</m:t>
            </m:r>
          </m:e>
        </m:acc>
        <m:r>
          <m:t>=</m:t>
        </m:r>
        <m:r>
          <m:t>−</m:t>
        </m:r>
        <m:r>
          <m:t>0.02</m:t>
        </m:r>
      </m:oMath>
      <w:r>
        <w:t xml:space="preserve">, 95% CI</w:t>
      </w:r>
      <w:r>
        <w:t xml:space="preserve"> </w:t>
      </w:r>
      <m:oMath>
        <m:r>
          <m:t>[</m:t>
        </m:r>
        <m:r>
          <m:t>−</m:t>
        </m:r>
        <m:r>
          <m:t>0.49</m:t>
        </m:r>
        <m:r>
          <m:t>,</m:t>
        </m:r>
        <m:r>
          <m:t>0.45</m:t>
        </m:r>
        <m:r>
          <m:t>]</m:t>
        </m:r>
      </m:oMath>
      <w:r>
        <w:t xml:space="preserve">,</w:t>
      </w:r>
      <w:r>
        <w:t xml:space="preserve"> </w:t>
      </w:r>
      <m:oMath>
        <m:r>
          <m:t>z</m:t>
        </m:r>
        <m:r>
          <m:t>=</m:t>
        </m:r>
        <m:r>
          <m:t>−</m:t>
        </m:r>
        <m:r>
          <m:t>0.08</m:t>
        </m:r>
      </m:oMath>
      <w:r>
        <w:t xml:space="preserve">,</w:t>
      </w:r>
      <w:r>
        <w:t xml:space="preserve"> </w:t>
      </w:r>
      <m:oMath>
        <m:r>
          <m:t>p</m:t>
        </m:r>
        <m:r>
          <m:t>=</m:t>
        </m:r>
        <m:r>
          <m:t>.939</m:t>
        </m:r>
      </m:oMath>
      <w:r>
        <w:t xml:space="preserve">). This suggests that child participants across Studies 2 and 3 preferred to respond in SK when presented with a high-consensus chip, and in Spanish with a low-consensus chip.</w:t>
      </w:r>
    </w:p>
    <w:p>
      <w:pPr>
        <w:pStyle w:val="Textkrper"/>
      </w:pPr>
      <w:r>
        <w:t xml:space="preserve">Similar to Study 2, we adopted alternative scoring to accommodate language-switching from Spanish to SK (different-language) but corresponding and same-language but adjacent responses. We used a GLMM identical to that of Study 2 in order to assess if changes in scoring criteria were associated with significant changes in task performance: accuracy of response [0-1] ~ age in years * scoring criteria + (age | prompt) + (1 | subject). We failed to find age as a significant predictor for accuracy even with this more lenient scoring (</w:t>
      </w:r>
      <m:oMath>
        <m:acc>
          <m:accPr>
            <m:chr m:val="̂"/>
          </m:accPr>
          <m:e>
            <m:r>
              <m:t>β</m:t>
            </m:r>
          </m:e>
        </m:acc>
        <m:r>
          <m:t>=</m:t>
        </m:r>
        <m:r>
          <m:t>0.25</m:t>
        </m:r>
      </m:oMath>
      <w:r>
        <w:t xml:space="preserve">, 95% CI</w:t>
      </w:r>
      <w:r>
        <w:t xml:space="preserve"> </w:t>
      </w:r>
      <m:oMath>
        <m:r>
          <m:t>[</m:t>
        </m:r>
        <m:r>
          <m:t>−</m:t>
        </m:r>
        <m:r>
          <m:t>0.09</m:t>
        </m:r>
        <m:r>
          <m:t>,</m:t>
        </m:r>
        <m:r>
          <m:t>0.58</m:t>
        </m:r>
        <m:r>
          <m:t>]</m:t>
        </m:r>
      </m:oMath>
      <w:r>
        <w:t xml:space="preserve">,</w:t>
      </w:r>
      <w:r>
        <w:t xml:space="preserve"> </w:t>
      </w:r>
      <m:oMath>
        <m:r>
          <m:t>z</m:t>
        </m:r>
        <m:r>
          <m:t>=</m:t>
        </m:r>
        <m:r>
          <m:t>1.45</m:t>
        </m:r>
      </m:oMath>
      <w:r>
        <w:t xml:space="preserve">,</w:t>
      </w:r>
      <w:r>
        <w:t xml:space="preserve"> </w:t>
      </w:r>
      <m:oMath>
        <m:r>
          <m:t>p</m:t>
        </m:r>
        <m:r>
          <m:t>=</m:t>
        </m:r>
        <m:r>
          <m:t>.146</m:t>
        </m:r>
      </m:oMath>
      <w:r>
        <w:t xml:space="preserve">), in concordance with earlier analyses. However, we did find that participants improved accuracy through both mapping strategies of either providing different-language but corresponding responses (</w:t>
      </w:r>
      <m:oMath>
        <m:acc>
          <m:accPr>
            <m:chr m:val="̂"/>
          </m:accPr>
          <m:e>
            <m:r>
              <m:t>β</m:t>
            </m:r>
          </m:e>
        </m:acc>
        <m:r>
          <m:t>=</m:t>
        </m:r>
        <m:r>
          <m:t>1.76</m:t>
        </m:r>
      </m:oMath>
      <w:r>
        <w:t xml:space="preserve">, 95% CI</w:t>
      </w:r>
      <w:r>
        <w:t xml:space="preserve"> </w:t>
      </w:r>
      <m:oMath>
        <m:r>
          <m:t>[</m:t>
        </m:r>
        <m:r>
          <m:t>1.43</m:t>
        </m:r>
        <m:r>
          <m:t>,</m:t>
        </m:r>
        <m:r>
          <m:t>2.09</m:t>
        </m:r>
        <m:r>
          <m:t>]</m:t>
        </m:r>
      </m:oMath>
      <w:r>
        <w:t xml:space="preserve">,</w:t>
      </w:r>
      <w:r>
        <w:t xml:space="preserve"> </w:t>
      </w:r>
      <m:oMath>
        <m:r>
          <m:t>z</m:t>
        </m:r>
        <m:r>
          <m:t>=</m:t>
        </m:r>
        <m:r>
          <m:t>10.51</m:t>
        </m:r>
      </m:oMath>
      <w:r>
        <w:t xml:space="preserve">,</w:t>
      </w:r>
      <w:r>
        <w:t xml:space="preserve"> </w:t>
      </w:r>
      <m:oMath>
        <m:r>
          <m:t>p</m:t>
        </m:r>
        <m:r>
          <m:t>&lt;</m:t>
        </m:r>
        <m:r>
          <m:t>.001</m:t>
        </m:r>
      </m:oMath>
      <w:r>
        <w:t xml:space="preserve">) or same-language but adjacent responses (</w:t>
      </w:r>
      <m:oMath>
        <m:acc>
          <m:accPr>
            <m:chr m:val="̂"/>
          </m:accPr>
          <m:e>
            <m:r>
              <m:t>β</m:t>
            </m:r>
          </m:e>
        </m:acc>
        <m:r>
          <m:t>=</m:t>
        </m:r>
        <m:r>
          <m:t>0.51</m:t>
        </m:r>
      </m:oMath>
      <w:r>
        <w:t xml:space="preserve">, 95% CI</w:t>
      </w:r>
      <w:r>
        <w:t xml:space="preserve"> </w:t>
      </w:r>
      <m:oMath>
        <m:r>
          <m:t>[</m:t>
        </m:r>
        <m:r>
          <m:t>0.21</m:t>
        </m:r>
        <m:r>
          <m:t>,</m:t>
        </m:r>
        <m:r>
          <m:t>0.82</m:t>
        </m:r>
        <m:r>
          <m:t>]</m:t>
        </m:r>
      </m:oMath>
      <w:r>
        <w:t xml:space="preserve">,</w:t>
      </w:r>
      <w:r>
        <w:t xml:space="preserve"> </w:t>
      </w:r>
      <m:oMath>
        <m:r>
          <m:t>z</m:t>
        </m:r>
        <m:r>
          <m:t>=</m:t>
        </m:r>
        <m:r>
          <m:t>3.29</m:t>
        </m:r>
      </m:oMath>
      <w:r>
        <w:t xml:space="preserve">,</w:t>
      </w:r>
      <w:r>
        <w:t xml:space="preserve"> </w:t>
      </w:r>
      <m:oMath>
        <m:r>
          <m:t>p</m:t>
        </m:r>
        <m:r>
          <m:t>=</m:t>
        </m:r>
        <m:r>
          <m:t>.001</m:t>
        </m:r>
      </m:oMath>
      <w:r>
        <w:t xml:space="preserve">). We find frequent use of language switching in both Studies 2 and 3, but only Study 3 exhibits significant use of same-language but adjacent terms.</w:t>
      </w:r>
    </w:p>
    <w:p>
      <w:pPr>
        <w:pStyle w:val="Textkrper"/>
      </w:pPr>
      <w:r>
        <w:t xml:space="preserve">It is possible that early but informal Spanish language exposure can explain the discrepancies seen in Studies 2 and 3. Children may be exposed to Spanish at a young age but likely do not receive any formal Spanish education until adolescence. With limited knowledge of Spanish color terms, children may spontaneously supplement their color term knowledge with Spanish terms during SK-language Study 2 but struggle to succeed during Spanish-language Study 3. More generally, we see children relying on a mixture of strategies to communicate colors even in the absence of mastery in either language.</w:t>
      </w:r>
    </w:p>
    <w:p>
      <w:pPr>
        <w:pStyle w:val="berschrift1"/>
      </w:pPr>
      <w:bookmarkStart w:id="37" w:name="general-discussion"/>
      <w:r>
        <w:t xml:space="preserve">General Discussion</w:t>
      </w:r>
      <w:bookmarkEnd w:id="37"/>
    </w:p>
    <w:p>
      <w:pPr>
        <w:pStyle w:val="FirstParagraph"/>
      </w:pPr>
      <w:r>
        <w:t xml:space="preserve">TO BE PASTED FROM GOOGLE DOC</w:t>
      </w:r>
    </w:p>
    <w:p>
      <w:pPr>
        <w:pStyle w:val="Textkrper"/>
      </w:pPr>
      <w:r>
        <w:t xml:space="preserve">In our current studies, we mapped the color vocabulary of the Shipibo-Konibo (SK) language and used these data to study the development of color vocabulary in SK children growing up in a bilingual environment. This effort parallels other efforts to use methods from language development that have typically been employed in WEIRD contexts to study populations that are under-represented in developmental science</w:t>
      </w:r>
      <w:r>
        <w:t xml:space="preserve"> </w:t>
      </w:r>
      <w:r>
        <w:t xml:space="preserve">(e.g., Piantadosi et al., 2014; Fortier, Kellier, Fernández Flecha, &amp; Frank, n.d.)</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there was substantial use of Spanish terms, even though the task was conducted in SK, likely because the adults were recognizing focal colors for Spanish BCTs that have no parallel in SK (e.g.,</w:t>
      </w:r>
      <w:r>
        <w:t xml:space="preserve"> </w:t>
      </w:r>
      <w:r>
        <w:t xml:space="preserve">“</w:t>
      </w:r>
      <w:r>
        <w:t xml:space="preserve">naranja</w:t>
      </w:r>
      <w:r>
        <w:t xml:space="preserve">”</w:t>
      </w:r>
      <w:r>
        <w:t xml:space="preserve"> </w:t>
      </w:r>
      <w:r>
        <w:t xml:space="preserve">for orange). This finding suggests an adaptive use of color vocabulary from both languages to succeed on the labeling task; future work will be required to understand whether such strategies are used in naturalistic communication as well. Second, we noted substantial use of ad-hoc color terms (including luminance terms). These terms were used more often in SK than in Spanish, supporting the idea that Amazonian languages may make greater use of ad-hoc color terms (at least in naming tasks) than Spanish speakers</w:t>
      </w:r>
      <w:r>
        <w:t xml:space="preserve"> </w:t>
      </w:r>
      <w:r>
        <w:t xml:space="preserve">(e.g., Everett, 2005)</w:t>
      </w:r>
      <w:r>
        <w:t xml:space="preserve">. Again,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who noted that even purported BCTs in Yélî Dnye did not fully span hue space and were often supplemented creatively with ad-hoc terms.</w:t>
      </w:r>
    </w:p>
    <w:p>
      <w:pPr>
        <w:pStyle w:val="Textkrper"/>
      </w:pPr>
      <w:r>
        <w:t xml:space="preserve">When we turned to the children’s data, we observed a much longer developmental trajectory for color than is observed in modern US populations. As noted by</w:t>
      </w:r>
      <w:r>
        <w:t xml:space="preserve"> </w:t>
      </w:r>
      <w:r>
        <w:t xml:space="preserve">H.Bornstein (1985)</w:t>
      </w:r>
      <w:r>
        <w:t xml:space="preserve">, however, it is a very recent development that color terms are mastered as early as they are – one hundred years ago,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 The children of one author of the current paper both learned their color terms in their second year through repeated practice with sets of manufactured plastic artifacts that varied only in hue.</w:t>
      </w:r>
    </w:p>
    <w:p>
      <w:pPr>
        <w:pStyle w:val="Textkrper"/>
      </w:pPr>
      <w:r>
        <w:t xml:space="preserve">Children’s production and comprehension of SK and Spanish color terms was roughly comparable; there were not children who could not produce terms but had high comprehension</w:t>
      </w:r>
      <w:r>
        <w:t xml:space="preserve"> </w:t>
      </w:r>
      <w:r>
        <w:t xml:space="preserve">(contra Wagner et al., 2018)</w:t>
      </w:r>
      <w:r>
        <w:t xml:space="preserve">. Further, we did not find strong evidence for overextension in children’s SK production or comprehension (with one or two exceptions). On the other hand, we did observe substantial overextension in the children’s production and comprehension of Spanish color terms. This asymmetry might be due to less exposure to and/or less formal instruction in Spanish vocabulary, but this explanation is merely speculative. We did, however, observe robust evidence for competition between the SK and Spanish color systems. Children differentially used Spanish terms when there was high uncertainty for a particular color chip among adults. This finding suggests a potential route for functionally-driven language change, such that Spanish terms are borrowed – and perhaps eventually conventionalized – by children in cases where adult input data indicate uncertainty about the appropriate SK label.</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p. @zaslavsky2018)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Our work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in principle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need to document both children’s knowledge and the structure of their environments.</w:t>
      </w:r>
    </w:p>
    <w:p>
      <w:r>
        <w:br w:type="page"/>
      </w:r>
    </w:p>
    <w:p>
      <w:pPr>
        <w:pStyle w:val="berschrift1"/>
      </w:pPr>
      <w:bookmarkStart w:id="38" w:name="references"/>
      <w:r>
        <w:t xml:space="preserve">References</w:t>
      </w:r>
      <w:bookmarkEnd w:id="38"/>
    </w:p>
    <w:bookmarkStart w:id="79" w:name="refs"/>
    <w:bookmarkStart w:id="39" w:name="ref-apicella2016"/>
    <w:p>
      <w:pPr>
        <w:pStyle w:val="Literaturverzeichnis"/>
      </w:pPr>
      <w:r>
        <w:t xml:space="preserve">Apicella, C. L., &amp; Barrett, H. C. (2016). Cross-cultural evolutionary psychology.</w:t>
      </w:r>
      <w:r>
        <w:t xml:space="preserve"> </w:t>
      </w:r>
      <w:r>
        <w:rPr>
          <w:i/>
        </w:rPr>
        <w:t xml:space="preserve">Current Opinion in Psychology</w:t>
      </w:r>
      <w:r>
        <w:t xml:space="preserve">,</w:t>
      </w:r>
      <w:r>
        <w:t xml:space="preserve"> </w:t>
      </w:r>
      <w:r>
        <w:rPr>
          <w:i/>
        </w:rPr>
        <w:t xml:space="preserve">7</w:t>
      </w:r>
      <w:r>
        <w:t xml:space="preserve">, 92–97.</w:t>
      </w:r>
    </w:p>
    <w:bookmarkEnd w:id="39"/>
    <w:bookmarkStart w:id="40" w:name="ref-aragon2016"/>
    <w:p>
      <w:pPr>
        <w:pStyle w:val="Literaturverzeichnis"/>
      </w:pPr>
      <w:r>
        <w:t xml:space="preserve">Aragón, K. (2016). Color language and color categorization. In G. Paulsen, M. Uusküla, &amp; J. Brindle (Eds.). Cambridge Scholars.</w:t>
      </w:r>
    </w:p>
    <w:bookmarkEnd w:id="40"/>
    <w:bookmarkStart w:id="41" w:name="ref-bartlett1977"/>
    <w:p>
      <w:pPr>
        <w:pStyle w:val="Literaturverzeichnis"/>
      </w:pPr>
      <w:r>
        <w:t xml:space="preserve">Bartlett, E. J. (1977).</w:t>
      </w:r>
      <w:r>
        <w:t xml:space="preserve"> </w:t>
      </w:r>
      <w:r>
        <w:rPr>
          <w:i/>
        </w:rPr>
        <w:t xml:space="preserve">Semantic organization and reference: Acquisition of two aspects of the meaning of color terms</w:t>
      </w:r>
      <w:r>
        <w:t xml:space="preserve">. Biennial Meeting of the Society for Research in Child Development.</w:t>
      </w:r>
    </w:p>
    <w:bookmarkEnd w:id="41"/>
    <w:bookmarkStart w:id="42" w:name="ref-berlin1969"/>
    <w:p>
      <w:pPr>
        <w:pStyle w:val="Literaturverzeichnis"/>
      </w:pPr>
      <w:r>
        <w:t xml:space="preserve">Berlin, B., &amp; Kay, P. (1969).</w:t>
      </w:r>
      <w:r>
        <w:t xml:space="preserve"> </w:t>
      </w:r>
      <w:r>
        <w:rPr>
          <w:i/>
        </w:rPr>
        <w:t xml:space="preserve">Basic color terms: Their universality and evolution</w:t>
      </w:r>
      <w:r>
        <w:t xml:space="preserve">. Berkeley, CA: University of California Press.</w:t>
      </w:r>
    </w:p>
    <w:bookmarkEnd w:id="42"/>
    <w:bookmarkStart w:id="43" w:name="ref-bornstein1976"/>
    <w:p>
      <w:pPr>
        <w:pStyle w:val="Literaturverzeichnis"/>
      </w:pPr>
      <w:r>
        <w:t xml:space="preserve">Bornstein, M. H., Kessen, W., &amp; Weiskopf, S. (1976). Color vision and hue categorization in young human infants.</w:t>
      </w:r>
      <w:r>
        <w:t xml:space="preserve"> </w:t>
      </w:r>
      <w:r>
        <w:rPr>
          <w:i/>
        </w:rPr>
        <w:t xml:space="preserve">Journal of Experimental Psychology: Human Perception and Performance</w:t>
      </w:r>
      <w:r>
        <w:t xml:space="preserve">,</w:t>
      </w:r>
      <w:r>
        <w:t xml:space="preserve"> </w:t>
      </w:r>
      <w:r>
        <w:rPr>
          <w:i/>
        </w:rPr>
        <w:t xml:space="preserve">2</w:t>
      </w:r>
      <w:r>
        <w:t xml:space="preserve">(1), 115–129.</w:t>
      </w:r>
    </w:p>
    <w:bookmarkEnd w:id="43"/>
    <w:bookmarkStart w:id="44" w:name="ref-chater2010"/>
    <w:p>
      <w:pPr>
        <w:pStyle w:val="Literaturverzeichnis"/>
      </w:pPr>
      <w:r>
        <w:t xml:space="preserve">Chater, N., &amp; Christiansen, M. H. (2010). Language acquisition meets language evolution.</w:t>
      </w:r>
      <w:r>
        <w:t xml:space="preserve"> </w:t>
      </w:r>
      <w:r>
        <w:rPr>
          <w:i/>
        </w:rPr>
        <w:t xml:space="preserve">Cognitive Science</w:t>
      </w:r>
      <w:r>
        <w:t xml:space="preserve">,</w:t>
      </w:r>
      <w:r>
        <w:t xml:space="preserve"> </w:t>
      </w:r>
      <w:r>
        <w:rPr>
          <w:i/>
        </w:rPr>
        <w:t xml:space="preserve">34</w:t>
      </w:r>
      <w:r>
        <w:t xml:space="preserve">(7), 1131–1157.</w:t>
      </w:r>
    </w:p>
    <w:bookmarkEnd w:id="44"/>
    <w:bookmarkStart w:id="45" w:name="ref-clark1973"/>
    <w:p>
      <w:pPr>
        <w:pStyle w:val="Literaturverzeichnis"/>
      </w:pPr>
      <w:r>
        <w:t xml:space="preserve">Clark, E. V. (1973). Cognitive development and acquisition of language. In (pp. 65–110). Academic Press.</w:t>
      </w:r>
    </w:p>
    <w:bookmarkEnd w:id="45"/>
    <w:bookmarkStart w:id="46" w:name="ref-clark1987"/>
    <w:p>
      <w:pPr>
        <w:pStyle w:val="Literaturverzeichnis"/>
      </w:pPr>
      <w:r>
        <w:t xml:space="preserve">Clark, E. V. (1987). Mechanisms of language acquisition. In B. MacWhinney (Ed.) (pp. 1–33). Psychology Press.</w:t>
      </w:r>
    </w:p>
    <w:bookmarkEnd w:id="46"/>
    <w:bookmarkStart w:id="47" w:name="ref-culbertson2012"/>
    <w:p>
      <w:pPr>
        <w:pStyle w:val="Literaturverzeichnis"/>
      </w:pPr>
      <w:r>
        <w:t xml:space="preserve">Culbertson, J., Smolensky, P., &amp; Legendre, G. (2012). Learning biases predict a word order universal.</w:t>
      </w:r>
      <w:r>
        <w:t xml:space="preserve"> </w:t>
      </w:r>
      <w:r>
        <w:rPr>
          <w:i/>
        </w:rPr>
        <w:t xml:space="preserve">Cognition</w:t>
      </w:r>
      <w:r>
        <w:t xml:space="preserve">,</w:t>
      </w:r>
      <w:r>
        <w:t xml:space="preserve"> </w:t>
      </w:r>
      <w:r>
        <w:rPr>
          <w:i/>
        </w:rPr>
        <w:t xml:space="preserve">122</w:t>
      </w:r>
      <w:r>
        <w:t xml:space="preserve">(3), 306–329.</w:t>
      </w:r>
    </w:p>
    <w:bookmarkEnd w:id="47"/>
    <w:bookmarkStart w:id="48" w:name="ref-dobson1978"/>
    <w:p>
      <w:pPr>
        <w:pStyle w:val="Literaturverzeichnis"/>
      </w:pPr>
      <w:r>
        <w:t xml:space="preserve">Dobson, V., &amp; Teller, D. Y. (1978). Visual acuity in human infants: A review and comparison of behavioral and electrophysiological studies.</w:t>
      </w:r>
      <w:r>
        <w:t xml:space="preserve"> </w:t>
      </w:r>
      <w:r>
        <w:rPr>
          <w:i/>
        </w:rPr>
        <w:t xml:space="preserve">Vision Research</w:t>
      </w:r>
      <w:r>
        <w:t xml:space="preserve">,</w:t>
      </w:r>
      <w:r>
        <w:t xml:space="preserve"> </w:t>
      </w:r>
      <w:r>
        <w:rPr>
          <w:i/>
        </w:rPr>
        <w:t xml:space="preserve">18</w:t>
      </w:r>
      <w:r>
        <w:t xml:space="preserve">(11), 1469–1483.</w:t>
      </w:r>
    </w:p>
    <w:bookmarkEnd w:id="48"/>
    <w:bookmarkStart w:id="49" w:name="ref-everett2005"/>
    <w:p>
      <w:pPr>
        <w:pStyle w:val="Literaturverzeichnis"/>
      </w:pPr>
      <w:r>
        <w:t xml:space="preserve">Everett, D. L. (2005). Cultural constraints on grammar and cognition in pirahã another look at the design features of human language.</w:t>
      </w:r>
      <w:r>
        <w:t xml:space="preserve"> </w:t>
      </w:r>
      <w:r>
        <w:rPr>
          <w:i/>
        </w:rPr>
        <w:t xml:space="preserve">Current Anthropology</w:t>
      </w:r>
      <w:r>
        <w:t xml:space="preserve">,</w:t>
      </w:r>
      <w:r>
        <w:t xml:space="preserve"> </w:t>
      </w:r>
      <w:r>
        <w:rPr>
          <w:i/>
        </w:rPr>
        <w:t xml:space="preserve">46</w:t>
      </w:r>
      <w:r>
        <w:t xml:space="preserve">(4), 621–646.</w:t>
      </w:r>
    </w:p>
    <w:bookmarkEnd w:id="49"/>
    <w:bookmarkStart w:id="50" w:name="ref-fortierunderreview"/>
    <w:p>
      <w:pPr>
        <w:pStyle w:val="Literaturverzeichnis"/>
      </w:pPr>
      <w:r>
        <w:t xml:space="preserve">Fortier, M., Kellier, D., Fernández Flecha, M., &amp; Frank, M. C. (n.d.). Ad-hoc pragmatic implicatures among shipibo-konibo children in the peruvian amazon.</w:t>
      </w:r>
    </w:p>
    <w:bookmarkEnd w:id="50"/>
    <w:bookmarkStart w:id="51" w:name="ref-frank2020"/>
    <w:p>
      <w:pPr>
        <w:pStyle w:val="Literaturverzeichnis"/>
      </w:pPr>
      <w:r>
        <w:t xml:space="preserve">Frank, M. C., Braginsky, M., Yurovsky, D., &amp; Marchman, V. A. (n.d.).</w:t>
      </w:r>
      <w:r>
        <w:t xml:space="preserve"> </w:t>
      </w:r>
      <w:r>
        <w:rPr>
          <w:i/>
        </w:rPr>
        <w:t xml:space="preserve">Variability and consistency in early language learning: The wordbank project</w:t>
      </w:r>
      <w:r>
        <w:t xml:space="preserve">. Cambridge, MA: MIT Press.</w:t>
      </w:r>
    </w:p>
    <w:bookmarkEnd w:id="51"/>
    <w:bookmarkStart w:id="52" w:name="ref-frank2014"/>
    <w:p>
      <w:pPr>
        <w:pStyle w:val="Literaturverzeichnis"/>
      </w:pPr>
      <w:r>
        <w:t xml:space="preserve">Frank, M. C., &amp; Goodman, N. D. (2014). Inferring word meanings by assuming that speakers are informative.</w:t>
      </w:r>
      <w:r>
        <w:t xml:space="preserve"> </w:t>
      </w:r>
      <w:r>
        <w:rPr>
          <w:i/>
        </w:rPr>
        <w:t xml:space="preserve">Cognitive Psychology</w:t>
      </w:r>
      <w:r>
        <w:t xml:space="preserve">,</w:t>
      </w:r>
      <w:r>
        <w:t xml:space="preserve"> </w:t>
      </w:r>
      <w:r>
        <w:rPr>
          <w:i/>
        </w:rPr>
        <w:t xml:space="preserve">75</w:t>
      </w:r>
      <w:r>
        <w:t xml:space="preserve">, 80–96.</w:t>
      </w:r>
    </w:p>
    <w:bookmarkEnd w:id="52"/>
    <w:bookmarkStart w:id="53" w:name="ref-franklin2005"/>
    <w:p>
      <w:pPr>
        <w:pStyle w:val="Literaturverzeichnis"/>
      </w:pPr>
      <w:r>
        <w:t xml:space="preserve">Franklin, A., Pilling, M., &amp; Davies, I. (2005). The nature of infant color categorization: Evidence from eye movements on a target detection task.</w:t>
      </w:r>
      <w:r>
        <w:t xml:space="preserve"> </w:t>
      </w:r>
      <w:r>
        <w:rPr>
          <w:i/>
        </w:rPr>
        <w:t xml:space="preserve">Journal of Experimental Child Psychology</w:t>
      </w:r>
      <w:r>
        <w:t xml:space="preserve">,</w:t>
      </w:r>
      <w:r>
        <w:t xml:space="preserve"> </w:t>
      </w:r>
      <w:r>
        <w:rPr>
          <w:i/>
        </w:rPr>
        <w:t xml:space="preserve">91</w:t>
      </w:r>
      <w:r>
        <w:t xml:space="preserve">(3), 227–248.</w:t>
      </w:r>
    </w:p>
    <w:bookmarkEnd w:id="53"/>
    <w:bookmarkStart w:id="54" w:name="ref-gibson2017"/>
    <w:p>
      <w:pPr>
        <w:pStyle w:val="Literaturverzeichnis"/>
      </w:pPr>
      <w:r>
        <w:t xml:space="preserve">Gibson, E., Futrell, R., Jara-Ettinger, J., Mahowald, K., Bergen, L., Ratnasingam, S., … Conway, B. (2017). Color naming across languages reflects color use.</w:t>
      </w:r>
      <w:r>
        <w:t xml:space="preserve"> </w:t>
      </w:r>
      <w:r>
        <w:rPr>
          <w:i/>
        </w:rPr>
        <w:t xml:space="preserve">Proceedings of the National Academy of Sciences</w:t>
      </w:r>
      <w:r>
        <w:t xml:space="preserve">,</w:t>
      </w:r>
      <w:r>
        <w:t xml:space="preserve"> </w:t>
      </w:r>
      <w:r>
        <w:rPr>
          <w:i/>
        </w:rPr>
        <w:t xml:space="preserve">114</w:t>
      </w:r>
      <w:r>
        <w:t xml:space="preserve">(40), 10785–10790.</w:t>
      </w:r>
    </w:p>
    <w:bookmarkEnd w:id="54"/>
    <w:bookmarkStart w:id="55" w:name="ref-bornstein1985"/>
    <w:p>
      <w:pPr>
        <w:pStyle w:val="Literaturverzeichnis"/>
      </w:pPr>
      <w:r>
        <w:t xml:space="preserve">H.Bornstein, M. (1985). On the development of color naming in young children: Data and theory.</w:t>
      </w:r>
      <w:r>
        <w:t xml:space="preserve"> </w:t>
      </w:r>
      <w:r>
        <w:rPr>
          <w:i/>
        </w:rPr>
        <w:t xml:space="preserve">Brain and Language</w:t>
      </w:r>
      <w:r>
        <w:t xml:space="preserve">,</w:t>
      </w:r>
      <w:r>
        <w:t xml:space="preserve"> </w:t>
      </w:r>
      <w:r>
        <w:rPr>
          <w:i/>
        </w:rPr>
        <w:t xml:space="preserve">26</w:t>
      </w:r>
      <w:r>
        <w:t xml:space="preserve">(1), 72–93.</w:t>
      </w:r>
    </w:p>
    <w:bookmarkEnd w:id="55"/>
    <w:bookmarkStart w:id="56" w:name="ref-henrich2010"/>
    <w:p>
      <w:pPr>
        <w:pStyle w:val="Literaturverzeichnis"/>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61–83.</w:t>
      </w:r>
    </w:p>
    <w:bookmarkEnd w:id="56"/>
    <w:bookmarkStart w:id="57" w:name="ref-berlin2009"/>
    <w:p>
      <w:pPr>
        <w:pStyle w:val="Literaturverzeichnis"/>
      </w:pPr>
      <w:r>
        <w:t xml:space="preserve">Kay, P., Berlin, B., Maffin, L., Merrifield, W. R., &amp; Cook, R. (2009).</w:t>
      </w:r>
      <w:r>
        <w:t xml:space="preserve"> </w:t>
      </w:r>
      <w:r>
        <w:rPr>
          <w:i/>
        </w:rPr>
        <w:t xml:space="preserve">The world color survey</w:t>
      </w:r>
      <w:r>
        <w:t xml:space="preserve">. Stanford, CA: Center for the Study of Language; Information.</w:t>
      </w:r>
    </w:p>
    <w:bookmarkEnd w:id="57"/>
    <w:bookmarkStart w:id="58" w:name="ref-kitayama2007"/>
    <w:p>
      <w:pPr>
        <w:pStyle w:val="Literaturverzeichnis"/>
      </w:pPr>
      <w:r>
        <w:t xml:space="preserve">Kitayama, S., &amp; Cohen, D. (2007).</w:t>
      </w:r>
      <w:r>
        <w:t xml:space="preserve"> </w:t>
      </w:r>
      <w:r>
        <w:rPr>
          <w:i/>
        </w:rPr>
        <w:t xml:space="preserve">Handbook of cultural psychology</w:t>
      </w:r>
      <w:r>
        <w:t xml:space="preserve">. Guilford Press.</w:t>
      </w:r>
    </w:p>
    <w:bookmarkEnd w:id="58"/>
    <w:bookmarkStart w:id="59" w:name="ref-kristol1980"/>
    <w:p>
      <w:pPr>
        <w:pStyle w:val="Literaturverzeichnis"/>
      </w:pPr>
      <w:r>
        <w:t xml:space="preserve">Kristol, A. M. (1980). Color systems in southern italy: A case of regression.</w:t>
      </w:r>
      <w:r>
        <w:t xml:space="preserve"> </w:t>
      </w:r>
      <w:r>
        <w:rPr>
          <w:i/>
        </w:rPr>
        <w:t xml:space="preserve">Language</w:t>
      </w:r>
      <w:r>
        <w:t xml:space="preserve">,</w:t>
      </w:r>
      <w:r>
        <w:t xml:space="preserve"> </w:t>
      </w:r>
      <w:r>
        <w:rPr>
          <w:i/>
        </w:rPr>
        <w:t xml:space="preserve">56</w:t>
      </w:r>
      <w:r>
        <w:t xml:space="preserve">(1), 137–145.</w:t>
      </w:r>
    </w:p>
    <w:bookmarkEnd w:id="59"/>
    <w:bookmarkStart w:id="60" w:name="ref-lathrap1970"/>
    <w:p>
      <w:pPr>
        <w:pStyle w:val="Literaturverzeichnis"/>
      </w:pPr>
      <w:r>
        <w:t xml:space="preserve">Lathrap, D. W. (1970).</w:t>
      </w:r>
      <w:r>
        <w:t xml:space="preserve"> </w:t>
      </w:r>
      <w:r>
        <w:rPr>
          <w:i/>
        </w:rPr>
        <w:t xml:space="preserve">The upper amazon</w:t>
      </w:r>
      <w:r>
        <w:t xml:space="preserve">. Thames; Hudson.</w:t>
      </w:r>
    </w:p>
    <w:bookmarkEnd w:id="60"/>
    <w:bookmarkStart w:id="61" w:name="ref-levinson2000"/>
    <w:p>
      <w:pPr>
        <w:pStyle w:val="Literaturverzeichnis"/>
      </w:pPr>
      <w:r>
        <w:t xml:space="preserve">Levinson, S. C. (2000). Yeli dnye and the theory of basic color terms.</w:t>
      </w:r>
      <w:r>
        <w:t xml:space="preserve"> </w:t>
      </w:r>
      <w:r>
        <w:rPr>
          <w:i/>
        </w:rPr>
        <w:t xml:space="preserve">Journal of Linguistic Anthropology</w:t>
      </w:r>
      <w:r>
        <w:t xml:space="preserve">,</w:t>
      </w:r>
      <w:r>
        <w:t xml:space="preserve"> </w:t>
      </w:r>
      <w:r>
        <w:rPr>
          <w:i/>
        </w:rPr>
        <w:t xml:space="preserve">10</w:t>
      </w:r>
      <w:r>
        <w:t xml:space="preserve">(1), 3–55.</w:t>
      </w:r>
    </w:p>
    <w:bookmarkEnd w:id="61"/>
    <w:bookmarkStart w:id="62" w:name="ref-lillo2018"/>
    <w:p>
      <w:pPr>
        <w:pStyle w:val="Literaturverzeichnis"/>
      </w:pPr>
      <w:r>
        <w:t xml:space="preserve">Lillo, J., González-Perilli, F., Prado-León, L., Melnikova, A., Álvaro, L., Collado, J. A., &amp; Moreira, H. (2018). Basic color terms (bcts) and categories (bccs) in three dialects of the spanish language: Interaction between cultural and universal factors.</w:t>
      </w:r>
      <w:r>
        <w:t xml:space="preserve"> </w:t>
      </w:r>
      <w:r>
        <w:rPr>
          <w:i/>
        </w:rPr>
        <w:t xml:space="preserve">Frontiers in Psychology</w:t>
      </w:r>
      <w:r>
        <w:t xml:space="preserve">,</w:t>
      </w:r>
      <w:r>
        <w:t xml:space="preserve"> </w:t>
      </w:r>
      <w:r>
        <w:rPr>
          <w:i/>
        </w:rPr>
        <w:t xml:space="preserve">9</w:t>
      </w:r>
      <w:r>
        <w:t xml:space="preserve">.</w:t>
      </w:r>
    </w:p>
    <w:bookmarkEnd w:id="62"/>
    <w:bookmarkStart w:id="63" w:name="ref-R-robustbase"/>
    <w:p>
      <w:pPr>
        <w:pStyle w:val="Literaturverzeichnis"/>
      </w:pPr>
      <w:r>
        <w:t xml:space="preserve">Maechler, M., Rousseeuw, P., Croux, C., Todorov, V., Ruckstuhl, A., Salibian-Barrera, M., … Anna di Palma, M. (2020).</w:t>
      </w:r>
      <w:r>
        <w:t xml:space="preserve"> </w:t>
      </w:r>
      <w:r>
        <w:rPr>
          <w:i/>
        </w:rPr>
        <w:t xml:space="preserve">Robustbase: Basic robust statistics</w:t>
      </w:r>
      <w:r>
        <w:t xml:space="preserve"> </w:t>
      </w:r>
      <w:r>
        <w:t xml:space="preserve">(R package version 0.93-6).</w:t>
      </w:r>
    </w:p>
    <w:bookmarkEnd w:id="63"/>
    <w:bookmarkStart w:id="64" w:name="ref-monroy1989"/>
    <w:p>
      <w:pPr>
        <w:pStyle w:val="Literaturverzeichnis"/>
      </w:pPr>
      <w:r>
        <w:t xml:space="preserve">Monroy, M., &amp; Custodio, S. (1989). Algunos usos de los terminos del color en el español de colombia.</w:t>
      </w:r>
      <w:r>
        <w:t xml:space="preserve"> </w:t>
      </w:r>
      <w:r>
        <w:rPr>
          <w:i/>
        </w:rPr>
        <w:t xml:space="preserve">Thesaurus; Bogotà</w:t>
      </w:r>
      <w:r>
        <w:t xml:space="preserve">,</w:t>
      </w:r>
      <w:r>
        <w:t xml:space="preserve"> </w:t>
      </w:r>
      <w:r>
        <w:rPr>
          <w:i/>
        </w:rPr>
        <w:t xml:space="preserve">44</w:t>
      </w:r>
      <w:r>
        <w:t xml:space="preserve">(2), 441.</w:t>
      </w:r>
    </w:p>
    <w:bookmarkEnd w:id="64"/>
    <w:bookmarkStart w:id="65" w:name="ref-morin1973"/>
    <w:p>
      <w:pPr>
        <w:pStyle w:val="Literaturverzeichnis"/>
      </w:pPr>
      <w:r>
        <w:t xml:space="preserve">Morin, E. (1973).</w:t>
      </w:r>
      <w:r>
        <w:t xml:space="preserve"> </w:t>
      </w:r>
      <w:r>
        <w:rPr>
          <w:i/>
        </w:rPr>
        <w:t xml:space="preserve">Le paradigme perdu: La nature humaine</w:t>
      </w:r>
      <w:r>
        <w:t xml:space="preserve">. Éditions du Seuil.</w:t>
      </w:r>
    </w:p>
    <w:bookmarkEnd w:id="65"/>
    <w:bookmarkStart w:id="66" w:name="ref-myslin2015"/>
    <w:p>
      <w:pPr>
        <w:pStyle w:val="Literaturverzeichnis"/>
      </w:pPr>
      <w:r>
        <w:t xml:space="preserve">Myslin, M., &amp; Levy, R. (2015). Code-switching and predictability of meaning in discourse.</w:t>
      </w:r>
      <w:r>
        <w:t xml:space="preserve"> </w:t>
      </w:r>
      <w:r>
        <w:rPr>
          <w:i/>
        </w:rPr>
        <w:t xml:space="preserve">Language</w:t>
      </w:r>
      <w:r>
        <w:t xml:space="preserve">,</w:t>
      </w:r>
      <w:r>
        <w:t xml:space="preserve"> </w:t>
      </w:r>
      <w:r>
        <w:rPr>
          <w:i/>
        </w:rPr>
        <w:t xml:space="preserve">91</w:t>
      </w:r>
      <w:r>
        <w:t xml:space="preserve">(4), 871–905.</w:t>
      </w:r>
    </w:p>
    <w:bookmarkEnd w:id="66"/>
    <w:bookmarkStart w:id="67" w:name="ref-nielson2017"/>
    <w:p>
      <w:pPr>
        <w:pStyle w:val="Literaturverzeichnis"/>
      </w:pPr>
      <w:r>
        <w:t xml:space="preserve">Nielsen, M., Haun, D., Kärtner, J., &amp; Legare, C. H. (2017). The persistent sampling bias in developmental psychology: A call to action.</w:t>
      </w:r>
      <w:r>
        <w:t xml:space="preserve"> </w:t>
      </w:r>
      <w:r>
        <w:rPr>
          <w:i/>
        </w:rPr>
        <w:t xml:space="preserve">Journal of Experimental Child Psychology</w:t>
      </w:r>
      <w:r>
        <w:t xml:space="preserve">,</w:t>
      </w:r>
      <w:r>
        <w:t xml:space="preserve"> </w:t>
      </w:r>
      <w:r>
        <w:rPr>
          <w:i/>
        </w:rPr>
        <w:t xml:space="preserve">162</w:t>
      </w:r>
      <w:r>
        <w:t xml:space="preserve">, 31–38.</w:t>
      </w:r>
    </w:p>
    <w:bookmarkEnd w:id="67"/>
    <w:bookmarkStart w:id="68" w:name="ref-piantadosi2014"/>
    <w:p>
      <w:pPr>
        <w:pStyle w:val="Literaturverzeichnis"/>
      </w:pPr>
      <w:r>
        <w:t xml:space="preserve">Piantadosi, S. T., Jara‐Ettinger, J., &amp; Gibson, E. (2014). Children’s learning of number words in an indigenous farming‐foraging group.</w:t>
      </w:r>
      <w:r>
        <w:t xml:space="preserve"> </w:t>
      </w:r>
      <w:r>
        <w:rPr>
          <w:i/>
        </w:rPr>
        <w:t xml:space="preserve">Developmental Science</w:t>
      </w:r>
      <w:r>
        <w:t xml:space="preserve">,</w:t>
      </w:r>
      <w:r>
        <w:t xml:space="preserve"> </w:t>
      </w:r>
      <w:r>
        <w:rPr>
          <w:i/>
        </w:rPr>
        <w:t xml:space="preserve">17</w:t>
      </w:r>
      <w:r>
        <w:t xml:space="preserve">(4), 553–563.</w:t>
      </w:r>
    </w:p>
    <w:bookmarkEnd w:id="68"/>
    <w:bookmarkStart w:id="69" w:name="ref-regier2007"/>
    <w:p>
      <w:pPr>
        <w:pStyle w:val="Literaturverzeichnis"/>
      </w:pPr>
      <w:r>
        <w:t xml:space="preserve">Regier, T., Kay, P., &amp; Khetarpal, N. (2007). Color naming reflects optimal partitions of color space.</w:t>
      </w:r>
      <w:r>
        <w:t xml:space="preserve"> </w:t>
      </w:r>
      <w:r>
        <w:rPr>
          <w:i/>
        </w:rPr>
        <w:t xml:space="preserve">Proceedings of the National Academy of Sciences</w:t>
      </w:r>
      <w:r>
        <w:t xml:space="preserve">,</w:t>
      </w:r>
      <w:r>
        <w:t xml:space="preserve"> </w:t>
      </w:r>
      <w:r>
        <w:rPr>
          <w:i/>
        </w:rPr>
        <w:t xml:space="preserve">104</w:t>
      </w:r>
      <w:r>
        <w:t xml:space="preserve">(4), 1436–1441.</w:t>
      </w:r>
    </w:p>
    <w:bookmarkEnd w:id="69"/>
    <w:bookmarkStart w:id="70" w:name="ref-sandhofer1999"/>
    <w:p>
      <w:pPr>
        <w:pStyle w:val="Literaturverzeichnis"/>
      </w:pPr>
      <w:r>
        <w:t xml:space="preserve">Sandhofer, C. M., &amp; Smith, L. B. (1999). Learning color words involves learning a system of mappings.</w:t>
      </w:r>
      <w:r>
        <w:t xml:space="preserve"> </w:t>
      </w:r>
      <w:r>
        <w:rPr>
          <w:i/>
        </w:rPr>
        <w:t xml:space="preserve">Developmental Psychology</w:t>
      </w:r>
      <w:r>
        <w:t xml:space="preserve">,</w:t>
      </w:r>
      <w:r>
        <w:t xml:space="preserve"> </w:t>
      </w:r>
      <w:r>
        <w:rPr>
          <w:i/>
        </w:rPr>
        <w:t xml:space="preserve">35</w:t>
      </w:r>
      <w:r>
        <w:t xml:space="preserve">(3), 668–679.</w:t>
      </w:r>
    </w:p>
    <w:bookmarkEnd w:id="70"/>
    <w:bookmarkStart w:id="71" w:name="ref-sedivy2003"/>
    <w:p>
      <w:pPr>
        <w:pStyle w:val="Literaturverzeichnis"/>
      </w:pPr>
      <w:r>
        <w:t xml:space="preserve">Sedivy, J. C. (2003). Pragmatic versus form-based accounts of referential contrast: Evidence for effects of informativity expectations.</w:t>
      </w:r>
      <w:r>
        <w:t xml:space="preserve"> </w:t>
      </w:r>
      <w:r>
        <w:rPr>
          <w:i/>
        </w:rPr>
        <w:t xml:space="preserve">Journal of Psycholinguistic Research</w:t>
      </w:r>
      <w:r>
        <w:t xml:space="preserve">,</w:t>
      </w:r>
      <w:r>
        <w:t xml:space="preserve"> </w:t>
      </w:r>
      <w:r>
        <w:rPr>
          <w:i/>
        </w:rPr>
        <w:t xml:space="preserve">32</w:t>
      </w:r>
      <w:r>
        <w:t xml:space="preserve">(1), 3–23.</w:t>
      </w:r>
    </w:p>
    <w:bookmarkEnd w:id="71"/>
    <w:bookmarkStart w:id="72" w:name="ref-stclair2016"/>
    <w:p>
      <w:pPr>
        <w:pStyle w:val="Literaturverzeichnis"/>
      </w:pPr>
      <w:r>
        <w:t xml:space="preserve">St. Clair, K. (2016).</w:t>
      </w:r>
      <w:r>
        <w:t xml:space="preserve"> </w:t>
      </w:r>
      <w:r>
        <w:rPr>
          <w:i/>
        </w:rPr>
        <w:t xml:space="preserve">The secret lives of colour</w:t>
      </w:r>
      <w:r>
        <w:t xml:space="preserve">. John Murray.</w:t>
      </w:r>
    </w:p>
    <w:bookmarkEnd w:id="72"/>
    <w:bookmarkStart w:id="73" w:name="ref-surralles2016"/>
    <w:p>
      <w:pPr>
        <w:pStyle w:val="Literaturverzeichnis"/>
      </w:pPr>
      <w:r>
        <w:t xml:space="preserve">Surrallés, A. (2016). On contrastive perception and ineffability: Assessing sensory experience without colour terms in an amazonian society.</w:t>
      </w:r>
      <w:r>
        <w:t xml:space="preserve"> </w:t>
      </w:r>
      <w:r>
        <w:rPr>
          <w:i/>
        </w:rPr>
        <w:t xml:space="preserve">Journal of the Royal Anthropological Institute</w:t>
      </w:r>
      <w:r>
        <w:t xml:space="preserve">,</w:t>
      </w:r>
      <w:r>
        <w:t xml:space="preserve"> </w:t>
      </w:r>
      <w:r>
        <w:rPr>
          <w:i/>
        </w:rPr>
        <w:t xml:space="preserve">22</w:t>
      </w:r>
      <w:r>
        <w:t xml:space="preserve">(4), 962–979.</w:t>
      </w:r>
    </w:p>
    <w:bookmarkEnd w:id="73"/>
    <w:bookmarkStart w:id="74" w:name="ref-tournon2002"/>
    <w:p>
      <w:pPr>
        <w:pStyle w:val="Literaturverzeichnis"/>
      </w:pPr>
      <w:r>
        <w:t xml:space="preserve">Tournon, J. (2002).</w:t>
      </w:r>
      <w:r>
        <w:t xml:space="preserve"> </w:t>
      </w:r>
      <w:r>
        <w:rPr>
          <w:i/>
        </w:rPr>
        <w:t xml:space="preserve">La merma magica: Vida e historia de los shipibo-conibo del ucayali</w:t>
      </w:r>
      <w:r>
        <w:t xml:space="preserve">. Centro Amazonico de Antropologia Yaplicacion.</w:t>
      </w:r>
    </w:p>
    <w:bookmarkEnd w:id="74"/>
    <w:bookmarkStart w:id="75" w:name="ref-wagner2013"/>
    <w:p>
      <w:pPr>
        <w:pStyle w:val="Literaturverzeichnis"/>
      </w:pPr>
      <w:r>
        <w:t xml:space="preserve">Wagner, K., Dobkins, K., &amp; Barner, D. (2013). Slow mapping: Color word learning as a gradual inductive process.</w:t>
      </w:r>
      <w:r>
        <w:t xml:space="preserve"> </w:t>
      </w:r>
      <w:r>
        <w:rPr>
          <w:i/>
        </w:rPr>
        <w:t xml:space="preserve">Cognition</w:t>
      </w:r>
      <w:r>
        <w:t xml:space="preserve">,</w:t>
      </w:r>
      <w:r>
        <w:t xml:space="preserve"> </w:t>
      </w:r>
      <w:r>
        <w:rPr>
          <w:i/>
        </w:rPr>
        <w:t xml:space="preserve">127</w:t>
      </w:r>
      <w:r>
        <w:t xml:space="preserve">, 307–317.</w:t>
      </w:r>
    </w:p>
    <w:bookmarkEnd w:id="75"/>
    <w:bookmarkStart w:id="76" w:name="ref-wagner2018"/>
    <w:p>
      <w:pPr>
        <w:pStyle w:val="Literaturverzeichnis"/>
      </w:pPr>
      <w:r>
        <w:t xml:space="preserve">Wagner, K., Jergens, J., &amp; Barner, D. (2018). Partial color word comprehension precedes production.</w:t>
      </w:r>
      <w:r>
        <w:t xml:space="preserve"> </w:t>
      </w:r>
      <w:r>
        <w:rPr>
          <w:i/>
        </w:rPr>
        <w:t xml:space="preserve">Language Learning and Development</w:t>
      </w:r>
      <w:r>
        <w:t xml:space="preserve">,</w:t>
      </w:r>
      <w:r>
        <w:t xml:space="preserve"> </w:t>
      </w:r>
      <w:r>
        <w:rPr>
          <w:i/>
        </w:rPr>
        <w:t xml:space="preserve">14</w:t>
      </w:r>
      <w:r>
        <w:t xml:space="preserve">(4), 241–261.</w:t>
      </w:r>
    </w:p>
    <w:bookmarkEnd w:id="76"/>
    <w:bookmarkStart w:id="77" w:name="ref-yurovsky2015"/>
    <w:p>
      <w:pPr>
        <w:pStyle w:val="Literaturverzeichnis"/>
      </w:pPr>
      <w:r>
        <w:t xml:space="preserve">Yurovsky, D., Wagner, K., Barner, D., &amp; Frank, M. C. (2015). Signatures of domain-general categorization mechanisms in color word learning. In</w:t>
      </w:r>
      <w:r>
        <w:t xml:space="preserve"> </w:t>
      </w:r>
      <w:r>
        <w:rPr>
          <w:i/>
        </w:rPr>
        <w:t xml:space="preserve">Proceedings of the 37th annual conference of the cognitive science society</w:t>
      </w:r>
      <w:r>
        <w:t xml:space="preserve">.</w:t>
      </w:r>
    </w:p>
    <w:bookmarkEnd w:id="77"/>
    <w:bookmarkStart w:id="78" w:name="ref-zaslavsky2018"/>
    <w:p>
      <w:pPr>
        <w:pStyle w:val="Literaturverzeichnis"/>
      </w:pPr>
      <w:r>
        <w:t xml:space="preserve">Zaslavsky, N., Kemp, C., Tishby, N., &amp; Regier, T. (2018).</w:t>
      </w:r>
      <w:r>
        <w:t xml:space="preserve"> </w:t>
      </w:r>
      <w:r>
        <w:rPr>
          <w:i/>
        </w:rPr>
        <w:t xml:space="preserve">Color naming reflects both perceptual structure and communicative need</w:t>
      </w:r>
      <w:r>
        <w:t xml:space="preserve"> </w:t>
      </w:r>
      <w:r>
        <w:t xml:space="preserve">(Vols. 1250-1255). Proceedings of the 40th Annual Conference of the Cognitive Science Society.</w:t>
      </w:r>
    </w:p>
    <w:bookmarkEnd w:id="78"/>
    <w:bookmarkEnd w:id="7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2020-08-25T14:46:23Z</dcterms:created>
  <dcterms:modified xsi:type="dcterms:W3CDTF">2020-08-25T14:46:23Z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man</vt:lpwstr>
  </property>
  <property fmtid="{D5CDD505-2E9C-101B-9397-08002B2CF9AE}" pid="7" name="csl">
    <vt:lpwstr>/Library/Frameworks/R.framework/Versions/3.6/Resources/library/papaja/rmd/apa6.csl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X</vt:lpwstr>
  </property>
</Properties>
</file>