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AsterVale | Meeting Minutes</w:t>
      </w:r>
    </w:p>
    <w:p>
      <w:pPr>
        <w:pStyle w:val="Subtitle"/>
      </w:pPr>
      <w:r>
        <w:t>Project workspace and advisory deliverables evaluation</w:t>
      </w:r>
    </w:p>
    <w:p>
      <w:pPr>
        <w:spacing w:after="60"/>
      </w:pPr>
      <w:r>
        <w:rPr>
          <w:rFonts w:ascii="Calibri" w:hAnsi="Calibri" w:eastAsia="Calibri"/>
          <w:b/>
          <w:color w:val="0B2545"/>
          <w:sz w:val="22"/>
        </w:rPr>
        <w:t xml:space="preserve">Meeting (as stated): </w:t>
      </w:r>
      <w:r>
        <w:rPr>
          <w:rFonts w:ascii="Calibri" w:hAnsi="Calibri" w:eastAsia="Calibri"/>
          <w:color w:val="000000"/>
          <w:sz w:val="22"/>
        </w:rPr>
        <w:t>22 October 2026, 15:00–16:00 Singapore time  |  Opportunity AV-2026-041  |  Procurement AV-RFP-2026-17</w:t>
      </w:r>
    </w:p>
    <w:p>
      <w:pPr>
        <w:spacing w:after="60"/>
      </w:pPr>
      <w:r>
        <w:rPr>
          <w:rFonts w:ascii="Calibri" w:hAnsi="Calibri" w:eastAsia="Calibri"/>
          <w:b/>
          <w:color w:val="0B2545"/>
          <w:sz w:val="22"/>
        </w:rPr>
        <w:t xml:space="preserve">Record status: </w:t>
      </w:r>
      <w:r>
        <w:rPr>
          <w:rFonts w:ascii="Calibri" w:hAnsi="Calibri" w:eastAsia="Calibri"/>
          <w:color w:val="000000"/>
          <w:sz w:val="22"/>
        </w:rPr>
        <w:t>Draft for confirmation; customer confirmation is not recorded.</w:t>
      </w:r>
    </w:p>
    <w:p>
      <w:pPr>
        <w:spacing w:after="60"/>
      </w:pPr>
      <w:r>
        <w:rPr>
          <w:rFonts w:ascii="Calibri" w:hAnsi="Calibri" w:eastAsia="Calibri"/>
          <w:b/>
          <w:color w:val="0B2545"/>
          <w:sz w:val="22"/>
        </w:rPr>
        <w:t xml:space="preserve">Intended distribution (per transcript): </w:t>
      </w:r>
      <w:r>
        <w:rPr>
          <w:rFonts w:ascii="Calibri" w:hAnsi="Calibri" w:eastAsia="Calibri"/>
          <w:color w:val="000000"/>
          <w:sz w:val="22"/>
        </w:rPr>
        <w:t>Evaluation participants and authorized procurement reviewers.</w:t>
      </w:r>
    </w:p>
    <w:p>
      <w:pPr>
        <w:shd w:fill="FFF8E8"/>
        <w:pBdr>
          <w:left w:val="single" w:sz="18" w:space="8" w:color="B7791F"/>
        </w:pBdr>
        <w:spacing w:before="140" w:after="200" w:line="264" w:lineRule="auto"/>
        <w:ind w:left="144" w:right="115"/>
      </w:pPr>
      <w:r>
        <w:rPr>
          <w:rFonts w:ascii="Calibri" w:hAnsi="Calibri" w:eastAsia="Calibri"/>
          <w:b/>
          <w:color w:val="9B1C1C"/>
          <w:sz w:val="22"/>
        </w:rPr>
        <w:t xml:space="preserve">Chronology hold: </w:t>
      </w:r>
      <w:r>
        <w:rPr>
          <w:rFonts w:ascii="Calibri" w:hAnsi="Calibri" w:eastAsia="Calibri"/>
          <w:color w:val="000000"/>
          <w:sz w:val="22"/>
        </w:rPr>
        <w:t>The supplied transcript is dated 22 October 2026, and the proposal/quote copies include 14 October 2026 dates; both are later than today, 8 October 2026. The associated source sequence and meeting occurrence are not independently verified. Treat meeting-derived commitments and dates below as reported, not verified; confirm chronology before circulation or using the action dates.</w:t>
      </w:r>
    </w:p>
    <w:p>
      <w:pPr>
        <w:pStyle w:val="Heading1"/>
      </w:pPr>
      <w:r>
        <w:t>Executive summary</w:t>
      </w:r>
    </w:p>
    <w:p>
      <w:r>
        <w:rPr>
          <w:b/>
        </w:rPr>
        <w:t xml:space="preserve">Disposition: </w:t>
      </w:r>
      <w:r>
        <w:t>The transcript records progress toward a restricted 12-user pilot, not an award, purchase authorization, production-security approval or acceptance of contract terms. Pilot work is conditional on the limited processing route being approved, test-account readiness and written evaluation conditions. Its purpose is to test continuity and reviewer usefulness with measured preparation, review and correction effort, including unsuccessful tasks.</w:t>
      </w:r>
    </w:p>
    <w:p>
      <w:pPr>
        <w:pStyle w:val="Heading2"/>
      </w:pPr>
      <w:r>
        <w:t>Conclusions reached</w:t>
      </w:r>
    </w:p>
    <w:p>
      <w:pPr>
        <w:spacing w:before="0" w:after="160" w:line="280" w:lineRule="auto"/>
        <w:numPr>
          <w:ilvl w:val="0"/>
          <w:numId w:val="10"/>
        </w:numPr>
      </w:pPr>
      <w:r>
        <w:rPr>
          <w:rFonts w:ascii="Calibri" w:hAnsi="Calibri" w:eastAsia="Calibri"/>
          <w:b/>
          <w:color w:val="000000"/>
          <w:sz w:val="22"/>
        </w:rPr>
        <w:t xml:space="preserve">Pilot posture. </w:t>
      </w:r>
      <w:r>
        <w:rPr>
          <w:rFonts w:ascii="Calibri" w:hAnsi="Calibri" w:eastAsia="Calibri"/>
          <w:color w:val="000000"/>
          <w:sz w:val="22"/>
        </w:rPr>
        <w:t>Continue toward a restricted pilot only; the planned 26 October–20 November window is a target, subject to readiness gates and date confirmation.</w:t>
      </w:r>
    </w:p>
    <w:p>
      <w:pPr>
        <w:spacing w:before="0" w:after="160" w:line="280" w:lineRule="auto"/>
        <w:numPr>
          <w:ilvl w:val="0"/>
          <w:numId w:val="10"/>
        </w:numPr>
      </w:pPr>
      <w:r>
        <w:rPr>
          <w:rFonts w:ascii="Calibri" w:hAnsi="Calibri" w:eastAsia="Calibri"/>
          <w:b/>
          <w:color w:val="000000"/>
          <w:sz w:val="22"/>
        </w:rPr>
        <w:t xml:space="preserve">Evidence standard. </w:t>
      </w:r>
      <w:r>
        <w:rPr>
          <w:rFonts w:ascii="Calibri" w:hAnsi="Calibri" w:eastAsia="Calibri"/>
          <w:color w:val="000000"/>
          <w:sz w:val="22"/>
        </w:rPr>
        <w:t>Separate preparation time from reviewer time; count material corrections and format rework, retain failed/abandoned runs, and keep proposal, briefing and presentation categories mutually exclusive.</w:t>
      </w:r>
    </w:p>
    <w:p>
      <w:pPr>
        <w:spacing w:before="0" w:after="160" w:line="280" w:lineRule="auto"/>
        <w:numPr>
          <w:ilvl w:val="0"/>
          <w:numId w:val="10"/>
        </w:numPr>
      </w:pPr>
      <w:r>
        <w:rPr>
          <w:rFonts w:ascii="Calibri" w:hAnsi="Calibri" w:eastAsia="Calibri"/>
          <w:b/>
          <w:color w:val="000000"/>
          <w:sz w:val="22"/>
        </w:rPr>
        <w:t xml:space="preserve">Decision boundary. </w:t>
      </w:r>
      <w:r>
        <w:rPr>
          <w:rFonts w:ascii="Calibri" w:hAnsi="Calibri" w:eastAsia="Calibri"/>
          <w:color w:val="000000"/>
          <w:sz w:val="22"/>
        </w:rPr>
        <w:t>A technical recommendation or successful pilot will not settle security, contract, budget or procurement decisions. No award or signed amendment is recorded.</w:t>
      </w:r>
    </w:p>
    <w:p>
      <w:pPr>
        <w:pStyle w:val="Heading2"/>
      </w:pPr>
      <w:r>
        <w:t>Open / to confirm</w:t>
      </w:r>
    </w:p>
    <w:p>
      <w:pPr>
        <w:spacing w:before="0" w:after="160" w:line="280" w:lineRule="auto"/>
        <w:numPr>
          <w:ilvl w:val="0"/>
          <w:numId w:val="10"/>
        </w:numPr>
      </w:pPr>
      <w:r>
        <w:rPr>
          <w:rFonts w:ascii="Calibri" w:hAnsi="Calibri" w:eastAsia="Calibri"/>
          <w:b/>
          <w:color w:val="000000"/>
          <w:sz w:val="22"/>
        </w:rPr>
        <w:t xml:space="preserve">Chronology. </w:t>
      </w:r>
      <w:r>
        <w:rPr>
          <w:rFonts w:ascii="Calibri" w:hAnsi="Calibri" w:eastAsia="Calibri"/>
          <w:color w:val="000000"/>
          <w:sz w:val="22"/>
        </w:rPr>
        <w:t>Confirm the meeting date and operative versions/issue dates before treating the transcript, proposal, quote or action dates as current.</w:t>
      </w:r>
    </w:p>
    <w:p>
      <w:pPr>
        <w:spacing w:before="0" w:after="160" w:line="280" w:lineRule="auto"/>
        <w:numPr>
          <w:ilvl w:val="0"/>
          <w:numId w:val="10"/>
        </w:numPr>
      </w:pPr>
      <w:r>
        <w:rPr>
          <w:rFonts w:ascii="Calibri" w:hAnsi="Calibri" w:eastAsia="Calibri"/>
          <w:b/>
          <w:color w:val="000000"/>
          <w:sz w:val="22"/>
        </w:rPr>
        <w:t xml:space="preserve">Security and contract. </w:t>
      </w:r>
      <w:r>
        <w:rPr>
          <w:rFonts w:ascii="Calibri" w:hAnsi="Calibri" w:eastAsia="Calibri"/>
          <w:color w:val="000000"/>
          <w:sz w:val="22"/>
        </w:rPr>
        <w:t>The processing route, production security approval and the differences in incident notice, payment, liability and convenience termination remain open.</w:t>
      </w:r>
    </w:p>
    <w:p>
      <w:pPr>
        <w:spacing w:before="0" w:after="160" w:line="280" w:lineRule="auto"/>
        <w:numPr>
          <w:ilvl w:val="0"/>
          <w:numId w:val="10"/>
        </w:numPr>
      </w:pPr>
      <w:r>
        <w:rPr>
          <w:rFonts w:ascii="Calibri" w:hAnsi="Calibri" w:eastAsia="Calibri"/>
          <w:b/>
          <w:color w:val="000000"/>
          <w:sz w:val="22"/>
        </w:rPr>
        <w:t xml:space="preserve">Business case. </w:t>
      </w:r>
      <w:r>
        <w:rPr>
          <w:rFonts w:ascii="Calibri" w:hAnsi="Calibri" w:eastAsia="Calibri"/>
          <w:color w:val="000000"/>
          <w:sz w:val="22"/>
        </w:rPr>
        <w:t>35% improvement and 70% adoption are planning assumptions, not results; no cash or headcount saving is established. Finance review timing and the next checkpoint are unconfirmed.</w:t>
      </w:r>
    </w:p>
    <w:p>
      <w:pPr>
        <w:spacing w:before="0" w:after="160" w:line="280" w:lineRule="auto"/>
        <w:numPr>
          <w:ilvl w:val="0"/>
          <w:numId w:val="10"/>
        </w:numPr>
      </w:pPr>
      <w:r>
        <w:rPr>
          <w:rFonts w:ascii="Calibri" w:hAnsi="Calibri" w:eastAsia="Calibri"/>
          <w:b/>
          <w:color w:val="000000"/>
          <w:sz w:val="22"/>
        </w:rPr>
        <w:t xml:space="preserve">Provisioning. </w:t>
      </w:r>
      <w:r>
        <w:rPr>
          <w:rFonts w:ascii="Calibri" w:hAnsi="Calibri" w:eastAsia="Calibri"/>
          <w:color w:val="000000"/>
          <w:sz w:val="22"/>
        </w:rPr>
        <w:t>Manual provisioning may support the limited pilot; SCIM and 60-user operating cost remain open for a rollout decision.</w:t>
      </w:r>
    </w:p>
    <w:p>
      <w:pPr>
        <w:pStyle w:val="Heading1"/>
      </w:pPr>
      <w:r>
        <w:t>Meeting information</w:t>
      </w:r>
    </w:p>
    <w:p>
      <w:pPr>
        <w:spacing w:after="60"/>
      </w:pPr>
      <w:r>
        <w:rPr>
          <w:rFonts w:ascii="Calibri" w:hAnsi="Calibri" w:eastAsia="Calibri"/>
          <w:b/>
          <w:color w:val="0B2545"/>
          <w:sz w:val="22"/>
        </w:rPr>
        <w:t xml:space="preserve">Meeting type: </w:t>
      </w:r>
      <w:r>
        <w:rPr>
          <w:rFonts w:ascii="Calibri" w:hAnsi="Calibri" w:eastAsia="Calibri"/>
          <w:color w:val="000000"/>
          <w:sz w:val="22"/>
        </w:rPr>
        <w:t>Client-facing solution evaluation and pilot-readiness alignment.</w:t>
      </w:r>
    </w:p>
    <w:p>
      <w:pPr>
        <w:spacing w:after="60"/>
      </w:pPr>
      <w:r>
        <w:rPr>
          <w:rFonts w:ascii="Calibri" w:hAnsi="Calibri" w:eastAsia="Calibri"/>
          <w:b/>
          <w:color w:val="0B2545"/>
          <w:sz w:val="22"/>
        </w:rPr>
        <w:t xml:space="preserve">Purpose: </w:t>
      </w:r>
      <w:r>
        <w:rPr>
          <w:rFonts w:ascii="Calibri" w:hAnsi="Calibri" w:eastAsia="Calibri"/>
          <w:color w:val="000000"/>
          <w:sz w:val="22"/>
        </w:rPr>
        <w:t>Evaluate the proposed service and demonstration, identify validation boundaries, and record action owners and gates before any pilot.</w:t>
      </w:r>
    </w:p>
    <w:p>
      <w:pPr>
        <w:spacing w:after="60"/>
      </w:pPr>
      <w:r>
        <w:rPr>
          <w:rFonts w:ascii="Calibri" w:hAnsi="Calibri" w:eastAsia="Calibri"/>
          <w:b/>
          <w:color w:val="0B2545"/>
          <w:sz w:val="22"/>
        </w:rPr>
        <w:t xml:space="preserve">Source basis: </w:t>
      </w:r>
      <w:r>
        <w:rPr>
          <w:rFonts w:ascii="Calibri" w:hAnsi="Calibri" w:eastAsia="Calibri"/>
          <w:color w:val="000000"/>
          <w:sz w:val="22"/>
        </w:rPr>
        <w:t>AsterVale_Meeting_Transcript.md v1.0; AsterVale_RFP_Response.docx v1.0 (14 Oct 2026); AsterVale_RFP_Response_v1.1_Controlled_Draft.docx (conditional bid-preparation draft); AsterVale_Noumi_Customer_Evaluation_Refined.pptx and companion PDF; existing AsterVale_Mutual_Action_Plan.xlsx.</w:t>
      </w:r>
    </w:p>
    <w:p>
      <w:pPr>
        <w:spacing w:after="100"/>
      </w:pPr>
      <w:r>
        <w:rPr>
          <w:rFonts w:ascii="Calibri" w:hAnsi="Calibri" w:eastAsia="Calibri"/>
          <w:i/>
          <w:color w:val="5B6573"/>
          <w:sz w:val="18"/>
        </w:rPr>
        <w:t>Participant roles beyond the named affiliations below are described from each person’s statements and actions; decision weight is an inference from the discussion, not a confirmed job title.</w:t>
      </w:r>
    </w:p>
    <w:tbl>
      <w:tblPr>
        <w:tblW w:type="dxa" w:w="9360"/>
        <w:jc w:val="left"/>
        <w:tblLayout w:type="fixed"/>
        <w:tblLook w:firstColumn="1" w:firstRow="1" w:lastColumn="0" w:lastRow="0" w:noHBand="0" w:noVBand="1" w:val="04A0"/>
        <w:tblInd w:w="12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760"/>
        <w:gridCol w:w="3860"/>
        <w:gridCol w:w="3740"/>
      </w:tblGrid>
      <w:tr>
        <w:trPr>
          <w:tblHeader w:val="true"/>
          <w:cantSplit/>
        </w:trPr>
        <w:tc>
          <w:tcPr>
            <w:tcW w:type="dxa" w:w="1760"/>
            <w:shd w:fill="F2F4F7"/>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color w:val="000000"/>
                <w:sz w:val="18"/>
              </w:rPr>
              <w:t>Participant</w:t>
            </w:r>
          </w:p>
        </w:tc>
        <w:tc>
          <w:tcPr>
            <w:tcW w:type="dxa" w:w="3860"/>
            <w:shd w:fill="F2F4F7"/>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color w:val="000000"/>
                <w:sz w:val="18"/>
              </w:rPr>
              <w:t>Evidence / contribution</w:t>
            </w:r>
          </w:p>
        </w:tc>
        <w:tc>
          <w:tcPr>
            <w:tcW w:type="dxa" w:w="3740"/>
            <w:shd w:fill="F2F4F7"/>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color w:val="000000"/>
                <w:sz w:val="18"/>
              </w:rPr>
              <w:t>Stance and inferred weight</w:t>
            </w:r>
          </w:p>
        </w:tc>
      </w:tr>
      <w:tr>
        <w:trPr>
          <w:cantSplit/>
        </w:trPr>
        <w:tc>
          <w:tcPr>
            <w:tcW w:type="dxa" w:w="17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color w:val="000000"/>
                <w:sz w:val="18"/>
              </w:rPr>
              <w:t>Maya Chen</w:t>
            </w:r>
          </w:p>
        </w:tc>
        <w:tc>
          <w:tcPr>
            <w:tcW w:type="dxa" w:w="38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AsterVale; procurement/facilitation (proposal identifies Head of Procurement).</w:t>
            </w:r>
          </w:p>
        </w:tc>
        <w:tc>
          <w:tcPr>
            <w:tcW w:type="dxa" w:w="374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Customer side; procurement lead / facilitator.</w:t>
            </w:r>
          </w:p>
        </w:tc>
      </w:tr>
      <w:tr>
        <w:trPr>
          <w:cantSplit/>
        </w:trPr>
        <w:tc>
          <w:tcPr>
            <w:tcW w:type="dxa" w:w="17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color w:val="000000"/>
                <w:sz w:val="18"/>
              </w:rPr>
              <w:t>Elena Ward</w:t>
            </w:r>
          </w:p>
        </w:tc>
        <w:tc>
          <w:tcPr>
            <w:tcW w:type="dxa" w:w="38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AsterVale; workflow value, measurement and Finance assumptions.</w:t>
            </w:r>
          </w:p>
        </w:tc>
        <w:tc>
          <w:tcPr>
            <w:tcW w:type="dxa" w:w="374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Customer side; business driver.</w:t>
            </w:r>
          </w:p>
        </w:tc>
      </w:tr>
      <w:tr>
        <w:trPr>
          <w:cantSplit/>
        </w:trPr>
        <w:tc>
          <w:tcPr>
            <w:tcW w:type="dxa" w:w="17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color w:val="000000"/>
                <w:sz w:val="18"/>
              </w:rPr>
              <w:t>Jonah Reed</w:t>
            </w:r>
          </w:p>
        </w:tc>
        <w:tc>
          <w:tcPr>
            <w:tcW w:type="dxa" w:w="38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AsterVale; source selection, context continuity and preference wording.</w:t>
            </w:r>
          </w:p>
        </w:tc>
        <w:tc>
          <w:tcPr>
            <w:tcW w:type="dxa" w:w="374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Customer side; workflow/requirements driver.</w:t>
            </w:r>
          </w:p>
        </w:tc>
      </w:tr>
      <w:tr>
        <w:trPr>
          <w:cantSplit/>
        </w:trPr>
        <w:tc>
          <w:tcPr>
            <w:tcW w:type="dxa" w:w="17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color w:val="000000"/>
                <w:sz w:val="18"/>
              </w:rPr>
              <w:t>Rachel Bell</w:t>
            </w:r>
          </w:p>
        </w:tc>
        <w:tc>
          <w:tcPr>
            <w:tcW w:type="dxa" w:w="38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AsterVale; editable outputs, layout and effort measurement.</w:t>
            </w:r>
          </w:p>
        </w:tc>
        <w:tc>
          <w:tcPr>
            <w:tcW w:type="dxa" w:w="374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Customer side; workflow reviewer / driver.</w:t>
            </w:r>
          </w:p>
        </w:tc>
      </w:tr>
      <w:tr>
        <w:trPr>
          <w:cantSplit/>
        </w:trPr>
        <w:tc>
          <w:tcPr>
            <w:tcW w:type="dxa" w:w="17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color w:val="000000"/>
                <w:sz w:val="18"/>
              </w:rPr>
              <w:t>Omar Shah</w:t>
            </w:r>
          </w:p>
        </w:tc>
        <w:tc>
          <w:tcPr>
            <w:tcW w:type="dxa" w:w="38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AsterVale; access, identity and offboarding tests.</w:t>
            </w:r>
          </w:p>
        </w:tc>
        <w:tc>
          <w:tcPr>
            <w:tcW w:type="dxa" w:w="374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Customer side; technical readiness driver.</w:t>
            </w:r>
          </w:p>
        </w:tc>
      </w:tr>
      <w:tr>
        <w:trPr>
          <w:cantSplit/>
        </w:trPr>
        <w:tc>
          <w:tcPr>
            <w:tcW w:type="dxa" w:w="17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color w:val="000000"/>
                <w:sz w:val="18"/>
              </w:rPr>
              <w:t>Leila Tan</w:t>
            </w:r>
          </w:p>
        </w:tc>
        <w:tc>
          <w:tcPr>
            <w:tcW w:type="dxa" w:w="38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AsterVale; processing, incident terms and security review.</w:t>
            </w:r>
          </w:p>
        </w:tc>
        <w:tc>
          <w:tcPr>
            <w:tcW w:type="dxa" w:w="374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Customer side; security reviewer / approval gate for limited route.</w:t>
            </w:r>
          </w:p>
        </w:tc>
      </w:tr>
      <w:tr>
        <w:trPr>
          <w:cantSplit/>
        </w:trPr>
        <w:tc>
          <w:tcPr>
            <w:tcW w:type="dxa" w:w="17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color w:val="000000"/>
                <w:sz w:val="18"/>
              </w:rPr>
              <w:t>Daniel Mercer</w:t>
            </w:r>
          </w:p>
        </w:tc>
        <w:tc>
          <w:tcPr>
            <w:tcW w:type="dxa" w:w="38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Noumi; commercial contact (proposal identifies Account Director).</w:t>
            </w:r>
          </w:p>
        </w:tc>
        <w:tc>
          <w:tcPr>
            <w:tcW w:type="dxa" w:w="374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Our side; commercial coordination owner.</w:t>
            </w:r>
          </w:p>
        </w:tc>
      </w:tr>
      <w:tr>
        <w:trPr>
          <w:cantSplit/>
        </w:trPr>
        <w:tc>
          <w:tcPr>
            <w:tcW w:type="dxa" w:w="17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color w:val="000000"/>
                <w:sz w:val="18"/>
              </w:rPr>
              <w:t>Priya Nair</w:t>
            </w:r>
          </w:p>
        </w:tc>
        <w:tc>
          <w:tcPr>
            <w:tcW w:type="dxa" w:w="386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Noumi; solution demonstration and technical follow-up (proposal identifies Solutions Engineer).</w:t>
            </w:r>
          </w:p>
        </w:tc>
        <w:tc>
          <w:tcPr>
            <w:tcW w:type="dxa" w:w="3740"/>
            <w:vAlign w:val="center"/>
            <w:tcMar>
              <w:top w:w="80" w:type="dxa"/>
              <w:start w:w="120" w:type="dxa"/>
              <w:bottom w:w="80" w:type="dxa"/>
              <w:end w:w="120" w:type="dxa"/>
            </w:tcMar>
          </w:tcPr>
          <w:p>
            <w:pPr>
              <w:spacing w:before="0" w:after="40" w:line="252" w:lineRule="auto"/>
            </w:pPr>
            <w:r>
              <w:rPr>
                <w:rFonts w:ascii="Calibri" w:hAnsi="Calibri" w:eastAsia="Calibri"/>
                <w:color w:val="000000"/>
                <w:sz w:val="18"/>
              </w:rPr>
            </w:r>
            <w:r>
              <w:rPr>
                <w:rFonts w:ascii="Calibri" w:hAnsi="Calibri" w:eastAsia="Calibri"/>
                <w:b w:val="0"/>
                <w:color w:val="000000"/>
                <w:sz w:val="18"/>
              </w:rPr>
              <w:t>Our side; solution and evidence coordinator.</w:t>
            </w:r>
          </w:p>
        </w:tc>
      </w:tr>
    </w:tbl>
    <w:p>
      <w:pPr>
        <w:pStyle w:val="Heading1"/>
      </w:pPr>
      <w:r>
        <w:t>Discussion and evidence reconciliation</w:t>
      </w:r>
    </w:p>
    <w:p>
      <w:pPr>
        <w:pStyle w:val="Heading2"/>
      </w:pPr>
      <w:r>
        <w:t>Continuity, source control and learned preferences</w:t>
      </w:r>
    </w:p>
    <w:p>
      <w:r>
        <w:t>AsterVale’s stated need is for the next consultant task to reuse relevant project context without repeatedly collecting the same material, while ensuring the reviewer receives a usable result rather than extra checking work. The demonstration showed project-file discovery, explicit selection of a named Checklist, preservation of original procurement files, a separate editable analysis output, and a restricted-account denial for a named source. The observed denial is limited to the test account/files shown; it does not establish full offboarding behavior. Omar specifically requested separate tests for group removal and a direct grant that remains effective.</w:t>
      </w:r>
    </w:p>
    <w:p>
      <w:r>
        <w:rPr>
          <w:b/>
        </w:rPr>
        <w:t xml:space="preserve">Preference recorded in the transcript: </w:t>
      </w:r>
      <w:r>
        <w:t>“customer objective, proposed scope, decisions required.”</w:t>
      </w:r>
      <w:r>
        <w:t xml:space="preserve"> The transcript says the saved preference was corrected from “outstanding decisions” to “decisions required,” and that a fresh task applied it; formal RFP instructions remain controlling. The deck’s slide 6 instead presents an “internal decision brief” preference (“recommendation first … evidence and open decisions”). Confirm whether that is only an illustrative example or revise it before reusing it as AsterVale’s preference. [Source check: transcript 15:30–15:35; deck slide 6.]</w:t>
      </w:r>
    </w:p>
    <w:p>
      <w:pPr>
        <w:pStyle w:val="Heading2"/>
      </w:pPr>
      <w:r>
        <w:t>Editable outputs and pilot measurement</w:t>
      </w:r>
    </w:p>
    <w:p>
      <w:r>
        <w:t>AsterVale requested native editable files. The proposal/deck and transcript describe editable Word and Excel outputs and editable PowerPoint text/basic shapes, with no promise that arbitrary embedded objects or advanced animations survive unchanged. The animated opening is excluded from the proposed pilot. AsterVale requested an approved layout and cleared representative brief, with no live client deck taken from another folder; Rachel’s stated delivery date is 23 October at noon (reported, chronology unverified).</w:t>
      </w:r>
    </w:p>
    <w:p>
      <w:r>
        <w:t>The meeting calls for separate preparation and reviewer-effort measures, with material factual corrections and formatting rework counted, and unsuccessful tasks retained. Jonah and Rachel are to agree ten non-overlapping work packages with Priya. These points align with the proposal’s ten-package/12-user pilot scope and the deck’s evidence framing (slides 7, 12–13); neither alignment nor the plan makes a pilot an approval or proves savings.</w:t>
      </w:r>
    </w:p>
    <w:p>
      <w:pPr>
        <w:pStyle w:val="Heading2"/>
      </w:pPr>
      <w:r>
        <w:t>Access, security and operating boundaries</w:t>
      </w:r>
    </w:p>
    <w:p>
      <w:r>
        <w:t>The restricted account’s denied retrieval was viewed positively for that test only; remaining work includes group/direct-grant removal and post-removal verification. The response proposes SAML sign-in with manual provisioning and states SCIM is unavailable. Omar said manual provisioning is workable for a 12-user pilot, but the 60-user operating cost remains to be evaluated.</w:t>
      </w:r>
    </w:p>
    <w:p>
      <w:r>
        <w:t>Leila requires the processing register and incident wording review. The proposed Singapore region/model route is not security approval. She can review the limited pilot route by 26 October only if she receives the complete schedule by 23 October; until then, use only already-cleared evaluation documents. Maya stated the pilot start depends on limited-access approval and the date will move if approval slips. No general client-data upload or production approval was granted. [Source check: transcript 15:39–15:47; proposal v1.0 §§3.2–3.6 and 6.5; controlled draft v1.1.]</w:t>
      </w:r>
    </w:p>
    <w:p>
      <w:pPr>
        <w:pStyle w:val="Heading2"/>
      </w:pPr>
      <w:r>
        <w:t>Commercial and business-case boundaries</w:t>
      </w:r>
    </w:p>
    <w:p>
      <w:r>
        <w:t>The transcript restates the supplier quote as 60 Enterprise seats at USD 1,080 per seat/year, USD 4,800 annual critical-incident coverage and USD 9,600 one-time onboarding: USD 79,200 first year and USD 69,600 recurring at the stated scope, before tax. The proposal records validity through 30 November. These are supplier-offered terms, not customer acceptance. Net 30 vs. AsterVale’s net 60, liability cap, incident-notice wording and convenience termination remain for legal/commercial review.</w:t>
      </w:r>
    </w:p>
    <w:p>
      <w:r>
        <w:t>For the business case, Elena identified USD 85/hour as a capacity valuation (not a billing rate), and 35% improvement / 70% adoption as planning assumptions. The requested model should include setup, training attendance and ongoing administration, use a monthly ramp, and separate released hours/economic value from cash savings. No authorized headcount saving was claimed. Finance review by Victor Hale and the next checkpoint have no agreed date. The deck’s slide 10 also assumes 100% productive use and displays a modeled year-one result; the transcript does not endorse that assumption or result as achieved evidence. Refresh and review the model before using it for a rollout decision. [Source check: transcript 15:48–15:53; proposal v1.0 §§5–6; deck slides 10–11.]</w:t>
      </w:r>
    </w:p>
    <w:p>
      <w:pPr>
        <w:pStyle w:val="Heading1"/>
      </w:pPr>
      <w:r>
        <w:t>Agreed actions (as reported; chronology unverified)</w:t>
      </w:r>
    </w:p>
    <w:p>
      <w:pPr>
        <w:spacing w:before="0" w:after="120" w:line="280" w:lineRule="auto"/>
        <w:numPr>
          <w:ilvl w:val="0"/>
          <w:numId w:val="10"/>
        </w:numPr>
      </w:pPr>
      <w:r>
        <w:rPr>
          <w:rFonts w:ascii="Calibri" w:hAnsi="Calibri" w:eastAsia="Calibri"/>
          <w:b/>
          <w:color w:val="000000"/>
          <w:sz w:val="22"/>
        </w:rPr>
        <w:t xml:space="preserve">Priya Nair. </w:t>
      </w:r>
      <w:r>
        <w:rPr>
          <w:rFonts w:ascii="Calibri" w:hAnsi="Calibri" w:eastAsia="Calibri"/>
          <w:color w:val="000000"/>
          <w:sz w:val="22"/>
        </w:rPr>
        <w:t>Provide the existing processing schedule for Leila’s review, draft the scorecard, and send grant/offboarding test steps; stated due 23 October 2026.</w:t>
      </w:r>
    </w:p>
    <w:p>
      <w:pPr>
        <w:spacing w:before="0" w:after="120" w:line="280" w:lineRule="auto"/>
        <w:numPr>
          <w:ilvl w:val="0"/>
          <w:numId w:val="10"/>
        </w:numPr>
      </w:pPr>
      <w:r>
        <w:rPr>
          <w:rFonts w:ascii="Calibri" w:hAnsi="Calibri" w:eastAsia="Calibri"/>
          <w:b/>
          <w:color w:val="000000"/>
          <w:sz w:val="22"/>
        </w:rPr>
        <w:t xml:space="preserve">Rachel Bell. </w:t>
      </w:r>
      <w:r>
        <w:rPr>
          <w:rFonts w:ascii="Calibri" w:hAnsi="Calibri" w:eastAsia="Calibri"/>
          <w:color w:val="000000"/>
          <w:sz w:val="22"/>
        </w:rPr>
        <w:t>Provide an approved layout and cleared representative brief by 23 October 2026 at noon; no live client deck from an unrelated folder.</w:t>
      </w:r>
    </w:p>
    <w:p>
      <w:pPr>
        <w:spacing w:before="0" w:after="120" w:line="280" w:lineRule="auto"/>
        <w:numPr>
          <w:ilvl w:val="0"/>
          <w:numId w:val="10"/>
        </w:numPr>
      </w:pPr>
      <w:r>
        <w:rPr>
          <w:rFonts w:ascii="Calibri" w:hAnsi="Calibri" w:eastAsia="Calibri"/>
          <w:b/>
          <w:color w:val="000000"/>
          <w:sz w:val="22"/>
        </w:rPr>
        <w:t xml:space="preserve">Elena Ward. </w:t>
      </w:r>
      <w:r>
        <w:rPr>
          <w:rFonts w:ascii="Calibri" w:hAnsi="Calibri" w:eastAsia="Calibri"/>
          <w:color w:val="000000"/>
          <w:sz w:val="22"/>
        </w:rPr>
        <w:t>Nominate 12 pilot users by 23 October 2026.</w:t>
      </w:r>
    </w:p>
    <w:p>
      <w:pPr>
        <w:spacing w:before="0" w:after="120" w:line="280" w:lineRule="auto"/>
        <w:numPr>
          <w:ilvl w:val="0"/>
          <w:numId w:val="10"/>
        </w:numPr>
      </w:pPr>
      <w:r>
        <w:rPr>
          <w:rFonts w:ascii="Calibri" w:hAnsi="Calibri" w:eastAsia="Calibri"/>
          <w:b/>
          <w:color w:val="000000"/>
          <w:sz w:val="22"/>
        </w:rPr>
        <w:t xml:space="preserve">Omar Shah. </w:t>
      </w:r>
      <w:r>
        <w:rPr>
          <w:rFonts w:ascii="Calibri" w:hAnsi="Calibri" w:eastAsia="Calibri"/>
          <w:color w:val="000000"/>
          <w:sz w:val="22"/>
        </w:rPr>
        <w:t>Nominate the identity administrator by 23 October and coordinate test-account readiness for 26 October.</w:t>
      </w:r>
    </w:p>
    <w:p>
      <w:pPr>
        <w:spacing w:before="0" w:after="120" w:line="280" w:lineRule="auto"/>
        <w:numPr>
          <w:ilvl w:val="0"/>
          <w:numId w:val="10"/>
        </w:numPr>
      </w:pPr>
      <w:r>
        <w:rPr>
          <w:rFonts w:ascii="Calibri" w:hAnsi="Calibri" w:eastAsia="Calibri"/>
          <w:b/>
          <w:color w:val="000000"/>
          <w:sz w:val="22"/>
        </w:rPr>
        <w:t xml:space="preserve">Jonah Reed and Rachel Bell, with Priya Nair. </w:t>
      </w:r>
      <w:r>
        <w:rPr>
          <w:rFonts w:ascii="Calibri" w:hAnsi="Calibri" w:eastAsia="Calibri"/>
          <w:color w:val="000000"/>
          <w:sz w:val="22"/>
        </w:rPr>
        <w:t>Confirm ten work packages by 26 October; keep proposal, briefing and presentation time categories non-overlapping.</w:t>
      </w:r>
    </w:p>
    <w:p>
      <w:pPr>
        <w:spacing w:before="0" w:after="120" w:line="280" w:lineRule="auto"/>
        <w:numPr>
          <w:ilvl w:val="0"/>
          <w:numId w:val="10"/>
        </w:numPr>
      </w:pPr>
      <w:r>
        <w:rPr>
          <w:rFonts w:ascii="Calibri" w:hAnsi="Calibri" w:eastAsia="Calibri"/>
          <w:b/>
          <w:color w:val="000000"/>
          <w:sz w:val="22"/>
        </w:rPr>
        <w:t xml:space="preserve">Daniel Mercer. </w:t>
      </w:r>
      <w:r>
        <w:rPr>
          <w:rFonts w:ascii="Calibri" w:hAnsi="Calibri" w:eastAsia="Calibri"/>
          <w:color w:val="000000"/>
          <w:sz w:val="22"/>
        </w:rPr>
        <w:t>Coordinate a security/legal response and a clause-by-clause commercial response by 27 October.</w:t>
      </w:r>
    </w:p>
    <w:p>
      <w:pPr>
        <w:spacing w:before="0" w:after="120" w:line="280" w:lineRule="auto"/>
        <w:numPr>
          <w:ilvl w:val="0"/>
          <w:numId w:val="10"/>
        </w:numPr>
      </w:pPr>
      <w:r>
        <w:rPr>
          <w:rFonts w:ascii="Calibri" w:hAnsi="Calibri" w:eastAsia="Calibri"/>
          <w:b/>
          <w:color w:val="000000"/>
          <w:sz w:val="22"/>
        </w:rPr>
        <w:t xml:space="preserve">Daniel Mercer / Noumi. </w:t>
      </w:r>
      <w:r>
        <w:rPr>
          <w:rFonts w:ascii="Calibri" w:hAnsi="Calibri" w:eastAsia="Calibri"/>
          <w:color w:val="000000"/>
          <w:sz w:val="22"/>
        </w:rPr>
        <w:t>Circulate these draft minutes and the proposed action plan for confirmation; no external message is sent by this document.</w:t>
      </w:r>
    </w:p>
    <w:p>
      <w:pPr>
        <w:pStyle w:val="Heading1"/>
      </w:pPr>
      <w:r>
        <w:t>Conditional decision</w:t>
      </w:r>
    </w:p>
    <w:p>
      <w:pPr>
        <w:spacing w:before="0" w:after="120" w:line="280" w:lineRule="auto"/>
        <w:numPr>
          <w:ilvl w:val="0"/>
          <w:numId w:val="10"/>
        </w:numPr>
      </w:pPr>
      <w:r>
        <w:rPr>
          <w:rFonts w:ascii="Calibri" w:hAnsi="Calibri" w:eastAsia="Calibri"/>
          <w:b/>
          <w:color w:val="000000"/>
          <w:sz w:val="22"/>
        </w:rPr>
        <w:t xml:space="preserve">Restricted pilot. </w:t>
      </w:r>
      <w:r>
        <w:rPr>
          <w:rFonts w:ascii="Calibri" w:hAnsi="Calibri" w:eastAsia="Calibri"/>
          <w:color w:val="000000"/>
          <w:sz w:val="22"/>
        </w:rPr>
        <w:t>Proceed only toward the proposed 26 October–20 November window, subject to Leila’s limited-route approval, Omar’s test-account readiness, written evaluation conditions and use of approved material. This is not an award or purchase authorization. [Source check: transcript 15:55–16:00; proposal v1.1 §4.3; deck slides 12–13.]</w:t>
      </w:r>
    </w:p>
    <w:p>
      <w:pPr>
        <w:pStyle w:val="Heading1"/>
      </w:pPr>
      <w:r>
        <w:t>Unresolved points and next checks</w:t>
      </w:r>
    </w:p>
    <w:p>
      <w:pPr>
        <w:spacing w:before="0" w:after="120" w:line="280" w:lineRule="auto"/>
        <w:numPr>
          <w:ilvl w:val="0"/>
          <w:numId w:val="10"/>
        </w:numPr>
      </w:pPr>
      <w:r>
        <w:rPr>
          <w:rFonts w:ascii="Calibri" w:hAnsi="Calibri" w:eastAsia="Calibri"/>
          <w:b/>
          <w:color w:val="000000"/>
          <w:sz w:val="22"/>
        </w:rPr>
        <w:t xml:space="preserve">Chronology and status. </w:t>
      </w:r>
      <w:r>
        <w:rPr>
          <w:rFonts w:ascii="Calibri" w:hAnsi="Calibri" w:eastAsia="Calibri"/>
          <w:color w:val="000000"/>
          <w:sz w:val="22"/>
        </w:rPr>
        <w:t>Confirm whether the 22 October meeting and the 14 October response/quote dates are valid before relying on the recorded action dates; verify any completion/receipt.</w:t>
      </w:r>
    </w:p>
    <w:p>
      <w:pPr>
        <w:spacing w:before="0" w:after="120" w:line="280" w:lineRule="auto"/>
        <w:numPr>
          <w:ilvl w:val="0"/>
          <w:numId w:val="10"/>
        </w:numPr>
      </w:pPr>
      <w:r>
        <w:rPr>
          <w:rFonts w:ascii="Calibri" w:hAnsi="Calibri" w:eastAsia="Calibri"/>
          <w:b/>
          <w:color w:val="000000"/>
          <w:sz w:val="22"/>
        </w:rPr>
        <w:t xml:space="preserve">Security and contract. </w:t>
      </w:r>
      <w:r>
        <w:rPr>
          <w:rFonts w:ascii="Calibri" w:hAnsi="Calibri" w:eastAsia="Calibri"/>
          <w:color w:val="000000"/>
          <w:sz w:val="22"/>
        </w:rPr>
        <w:t>Obtain customer review of the processing schedule/route and resolve incident timing (24 hours after awareness vs. 48 hours after confirming customer-data impact), payment, liability and convenience termination.</w:t>
      </w:r>
    </w:p>
    <w:p>
      <w:pPr>
        <w:spacing w:before="0" w:after="120" w:line="280" w:lineRule="auto"/>
        <w:numPr>
          <w:ilvl w:val="0"/>
          <w:numId w:val="10"/>
        </w:numPr>
      </w:pPr>
      <w:r>
        <w:rPr>
          <w:rFonts w:ascii="Calibri" w:hAnsi="Calibri" w:eastAsia="Calibri"/>
          <w:b/>
          <w:color w:val="000000"/>
          <w:sz w:val="22"/>
        </w:rPr>
        <w:t xml:space="preserve">Scale and business case. </w:t>
      </w:r>
      <w:r>
        <w:rPr>
          <w:rFonts w:ascii="Calibri" w:hAnsi="Calibri" w:eastAsia="Calibri"/>
          <w:color w:val="000000"/>
          <w:sz w:val="22"/>
        </w:rPr>
        <w:t>Keep SCIM/60-user provisioning cost open; obtain Finance review of a refreshed, cost-complete model. The response date is unconfirmed.</w:t>
      </w:r>
    </w:p>
    <w:p>
      <w:pPr>
        <w:spacing w:before="0" w:after="120" w:line="280" w:lineRule="auto"/>
        <w:numPr>
          <w:ilvl w:val="0"/>
          <w:numId w:val="10"/>
        </w:numPr>
      </w:pPr>
      <w:r>
        <w:rPr>
          <w:rFonts w:ascii="Calibri" w:hAnsi="Calibri" w:eastAsia="Calibri"/>
          <w:b/>
          <w:color w:val="000000"/>
          <w:sz w:val="22"/>
        </w:rPr>
        <w:t xml:space="preserve">Decision chain. </w:t>
      </w:r>
      <w:r>
        <w:rPr>
          <w:rFonts w:ascii="Calibri" w:hAnsi="Calibri" w:eastAsia="Calibri"/>
          <w:color w:val="000000"/>
          <w:sz w:val="22"/>
        </w:rPr>
        <w:t>No award, production security approval, contract amendment or order is recorded. Agree the next checkpoint only after readiness status is known.</w:t>
      </w:r>
    </w:p>
    <w:p>
      <w:pPr>
        <w:spacing w:before="100" w:after="0"/>
      </w:pPr>
      <w:r>
        <w:rPr>
          <w:rFonts w:ascii="Calibri" w:hAnsi="Calibri" w:eastAsia="Calibri"/>
          <w:b/>
          <w:color w:val="0B2545"/>
          <w:sz w:val="22"/>
        </w:rPr>
        <w:t xml:space="preserve">Record limitation: </w:t>
      </w:r>
      <w:r>
        <w:rPr>
          <w:rFonts w:ascii="Calibri" w:hAnsi="Calibri" w:eastAsia="Calibri"/>
          <w:color w:val="5B6573"/>
          <w:sz w:val="19"/>
        </w:rPr>
        <w:t>The transcript states that customer confirmation of the minutes is not recorded and that no contract amendment, production-security approval or purchase authorization was signed during the meeting. This draft preserves that boundary.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3"/>
        <w:sz w:val="17"/>
      </w:rPr>
      <w:t xml:space="preserve">Draft for confirmation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ASTERVALE  |  JOINT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60"/>
    </w:pPr>
    <w:rPr>
      <w:rFonts w:asciiTheme="majorHAnsi" w:eastAsiaTheme="majorEastAsia" w:hAnsiTheme="majorHAnsi" w:cstheme="majorBidi" w:ascii="Calibri" w:hAnsi="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