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200" w:line="264" w:lineRule="auto"/>
      </w:pPr>
      <w:r>
        <w:rPr>
          <w:rFonts w:ascii="Calibri" w:hAnsi="Calibri"/>
          <w:b/>
          <w:i w:val="0"/>
          <w:color w:val="0A8587"/>
          <w:sz w:val="20"/>
        </w:rPr>
        <w:t>ILLUSTRATIVE SOLUTION BRIEF</w:t>
      </w:r>
    </w:p>
    <w:p>
      <w:pPr>
        <w:keepNext w:val="0"/>
        <w:spacing w:before="0" w:after="80" w:line="264" w:lineRule="auto"/>
      </w:pPr>
      <w:r>
        <w:rPr>
          <w:rFonts w:ascii="Calibri" w:hAnsi="Calibri"/>
          <w:b/>
          <w:i w:val="0"/>
          <w:color w:val="0B2D5C"/>
          <w:sz w:val="52"/>
        </w:rPr>
        <w:t>Enterprise Delivery Orchestration</w:t>
      </w:r>
    </w:p>
    <w:p>
      <w:pPr>
        <w:keepNext w:val="0"/>
        <w:spacing w:before="0" w:after="280" w:line="264" w:lineRule="auto"/>
      </w:pPr>
      <w:r>
        <w:rPr>
          <w:rFonts w:ascii="Calibri" w:hAnsi="Calibri"/>
          <w:b w:val="0"/>
          <w:i w:val="0"/>
          <w:color w:val="5F6B7A"/>
          <w:sz w:val="28"/>
        </w:rPr>
        <w:t>Turning fragmented client conversations into governed, traceable work</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1450"/>
        <w:gridCol w:w="3230"/>
        <w:gridCol w:w="1450"/>
        <w:gridCol w:w="3230"/>
      </w:tblGrid>
      <w:tr>
        <w:trPr>
          <w:cantSplit/>
        </w:trPr>
        <w:tc>
          <w:tcPr>
            <w:tcW w:type="dxa" w:w="1450"/>
            <w:tcMar>
              <w:top w:w="100" w:type="dxa"/>
              <w:start w:w="120" w:type="dxa"/>
              <w:bottom w:w="100" w:type="dxa"/>
              <w:end w:w="120" w:type="dxa"/>
            </w:tcMar>
            <w:shd w:fill="F2F6F8"/>
          </w:tcPr>
          <w:p>
            <w:pPr>
              <w:spacing w:after="0"/>
            </w:pPr>
            <w:r>
              <w:rPr>
                <w:rFonts w:ascii="Calibri" w:hAnsi="Calibri"/>
                <w:b/>
                <w:i w:val="0"/>
                <w:color w:val="5F6B7A"/>
                <w:sz w:val="16"/>
              </w:rPr>
              <w:t>CLIENT SCENARIO</w:t>
            </w:r>
          </w:p>
        </w:tc>
        <w:tc>
          <w:tcPr>
            <w:tcW w:type="dxa" w:w="3230"/>
            <w:tcMar>
              <w:top w:w="100" w:type="dxa"/>
              <w:start w:w="120" w:type="dxa"/>
              <w:bottom w:w="100" w:type="dxa"/>
              <w:end w:w="120" w:type="dxa"/>
            </w:tcMar>
          </w:tcPr>
          <w:p>
            <w:pPr>
              <w:spacing w:after="0"/>
            </w:pPr>
            <w:r>
              <w:rPr>
                <w:rFonts w:ascii="Calibri" w:hAnsi="Calibri"/>
                <w:b w:val="0"/>
                <w:i w:val="0"/>
                <w:color w:val="172033"/>
                <w:sz w:val="18"/>
              </w:rPr>
              <w:t>Asteron Advisory Group (fictional)</w:t>
            </w:r>
          </w:p>
        </w:tc>
        <w:tc>
          <w:tcPr>
            <w:tcW w:type="dxa" w:w="1450"/>
            <w:tcMar>
              <w:top w:w="100" w:type="dxa"/>
              <w:start w:w="120" w:type="dxa"/>
              <w:bottom w:w="100" w:type="dxa"/>
              <w:end w:w="120" w:type="dxa"/>
            </w:tcMar>
            <w:shd w:fill="F2F6F8"/>
          </w:tcPr>
          <w:p>
            <w:pPr>
              <w:spacing w:after="0"/>
            </w:pPr>
            <w:r>
              <w:rPr>
                <w:rFonts w:ascii="Calibri" w:hAnsi="Calibri"/>
                <w:b/>
                <w:i w:val="0"/>
                <w:color w:val="5F6B7A"/>
                <w:sz w:val="16"/>
              </w:rPr>
              <w:t>PREPARED FOR</w:t>
            </w:r>
          </w:p>
        </w:tc>
        <w:tc>
          <w:tcPr>
            <w:tcW w:type="dxa" w:w="3230"/>
            <w:tcMar>
              <w:top w:w="100" w:type="dxa"/>
              <w:start w:w="120" w:type="dxa"/>
              <w:bottom w:w="100" w:type="dxa"/>
              <w:end w:w="120" w:type="dxa"/>
            </w:tcMar>
          </w:tcPr>
          <w:p>
            <w:pPr>
              <w:spacing w:after="0"/>
            </w:pPr>
            <w:r>
              <w:rPr>
                <w:rFonts w:ascii="Calibri" w:hAnsi="Calibri"/>
                <w:b w:val="0"/>
                <w:i w:val="0"/>
                <w:color w:val="172033"/>
                <w:sz w:val="18"/>
              </w:rPr>
              <w:t>Solution visualization use case</w:t>
            </w:r>
          </w:p>
        </w:tc>
      </w:tr>
      <w:tr>
        <w:trPr>
          <w:cantSplit/>
        </w:trPr>
        <w:tc>
          <w:tcPr>
            <w:tcW w:type="dxa" w:w="1450"/>
            <w:tcMar>
              <w:top w:w="100" w:type="dxa"/>
              <w:start w:w="120" w:type="dxa"/>
              <w:bottom w:w="100" w:type="dxa"/>
              <w:end w:w="120" w:type="dxa"/>
            </w:tcMar>
            <w:shd w:fill="F2F6F8"/>
          </w:tcPr>
          <w:p>
            <w:pPr>
              <w:spacing w:after="0"/>
            </w:pPr>
            <w:r>
              <w:rPr>
                <w:rFonts w:ascii="Calibri" w:hAnsi="Calibri"/>
                <w:b/>
                <w:i w:val="0"/>
                <w:color w:val="5F6B7A"/>
                <w:sz w:val="16"/>
              </w:rPr>
              <w:t>OPERATING REGION</w:t>
            </w:r>
          </w:p>
        </w:tc>
        <w:tc>
          <w:tcPr>
            <w:tcW w:type="dxa" w:w="3230"/>
            <w:tcMar>
              <w:top w:w="100" w:type="dxa"/>
              <w:start w:w="120" w:type="dxa"/>
              <w:bottom w:w="100" w:type="dxa"/>
              <w:end w:w="120" w:type="dxa"/>
            </w:tcMar>
          </w:tcPr>
          <w:p>
            <w:pPr>
              <w:spacing w:after="0"/>
            </w:pPr>
            <w:r>
              <w:rPr>
                <w:rFonts w:ascii="Calibri" w:hAnsi="Calibri"/>
                <w:b w:val="0"/>
                <w:i w:val="0"/>
                <w:color w:val="172033"/>
                <w:sz w:val="18"/>
              </w:rPr>
              <w:t>APAC &amp; Middle East</w:t>
            </w:r>
          </w:p>
        </w:tc>
        <w:tc>
          <w:tcPr>
            <w:tcW w:type="dxa" w:w="1450"/>
            <w:tcMar>
              <w:top w:w="100" w:type="dxa"/>
              <w:start w:w="120" w:type="dxa"/>
              <w:bottom w:w="100" w:type="dxa"/>
              <w:end w:w="120" w:type="dxa"/>
            </w:tcMar>
            <w:shd w:fill="F2F6F8"/>
          </w:tcPr>
          <w:p>
            <w:pPr>
              <w:spacing w:after="0"/>
            </w:pPr>
            <w:r>
              <w:rPr>
                <w:rFonts w:ascii="Calibri" w:hAnsi="Calibri"/>
                <w:b/>
                <w:i w:val="0"/>
                <w:color w:val="5F6B7A"/>
                <w:sz w:val="16"/>
              </w:rPr>
              <w:t>DOCUMENT STATUS</w:t>
            </w:r>
          </w:p>
        </w:tc>
        <w:tc>
          <w:tcPr>
            <w:tcW w:type="dxa" w:w="3230"/>
            <w:tcMar>
              <w:top w:w="100" w:type="dxa"/>
              <w:start w:w="120" w:type="dxa"/>
              <w:bottom w:w="100" w:type="dxa"/>
              <w:end w:w="120" w:type="dxa"/>
            </w:tcMar>
          </w:tcPr>
          <w:p>
            <w:pPr>
              <w:spacing w:after="0"/>
            </w:pPr>
            <w:r>
              <w:rPr>
                <w:rFonts w:ascii="Calibri" w:hAnsi="Calibri"/>
                <w:b w:val="0"/>
                <w:i w:val="0"/>
                <w:color w:val="172033"/>
                <w:sz w:val="18"/>
              </w:rPr>
              <w:t>Draft for discussion • 26 Aug 2026</w:t>
            </w:r>
          </w:p>
        </w:tc>
      </w:tr>
    </w:tbl>
    <w:p>
      <w:pPr>
        <w:pStyle w:val="Heading1"/>
        <w:keepNext/>
      </w:pPr>
      <w:r>
        <w:t>1. Executive Summary</w:t>
      </w:r>
    </w:p>
    <w:p>
      <w:pPr>
        <w:keepNext w:val="0"/>
        <w:spacing w:before="0" w:after="120" w:line="264" w:lineRule="auto"/>
      </w:pPr>
      <w:r>
        <w:rPr>
          <w:rFonts w:ascii="Calibri" w:hAnsi="Calibri"/>
          <w:b w:val="0"/>
          <w:i w:val="0"/>
          <w:color w:val="172033"/>
          <w:sz w:val="21"/>
        </w:rPr>
        <w:t>Asteron Advisory Group is a 420-person professional-services firm delivering transformation, compliance, and technology programs across six markets. Client requests arrive continuously through WhatsApp, Slack, Telegram, email, and recurring meetings. Delivery teams then re-key those requests into project trackers, search for the right workspace, gather context from prior engagements, execute work across several systems, and manually assemble progress updates and client-ready files.</w:t>
      </w:r>
    </w:p>
    <w:p>
      <w:pPr>
        <w:keepNext w:val="0"/>
        <w:spacing w:before="0" w:after="120" w:line="264" w:lineRule="auto"/>
      </w:pPr>
      <w:r>
        <w:rPr>
          <w:rFonts w:ascii="Calibri" w:hAnsi="Calibri"/>
          <w:b w:val="0"/>
          <w:i w:val="0"/>
          <w:color w:val="172033"/>
          <w:sz w:val="21"/>
        </w:rPr>
        <w:t>The proposed Langhub solution provides a governed agent runtime that sits between enterprise messaging channels and Asteron’s delivery systems. It interprets a request, matches it to the right client project, creates a controlled task container, plans the work, invokes approved tools, coordinates people and agents, and produces traceable deliverables. Project context, task history, and reusable workflows improve over time without bypassing human approvals.</w:t>
      </w:r>
    </w:p>
    <w:tbl>
      <w:tblPr>
        <w:tblW w:type="dxa" w:w="9360"/>
        <w:tblLayout w:type="fixed"/>
        <w:tblLook w:firstColumn="1" w:firstRow="1" w:lastColumn="0" w:lastRow="0" w:noHBand="0" w:noVBand="1" w:val="04A0"/>
        <w:tblInd w:w="120" w:type="dxa"/>
        <w:tblBorders>
          <w:top w:val="single" w:sz="10" w:color="0A8587"/>
          <w:left w:val="single" w:sz="10" w:color="0A8587"/>
          <w:bottom w:val="single" w:sz="10" w:color="0A8587"/>
          <w:right w:val="single" w:sz="10" w:color="0A8587"/>
          <w:insideH w:val="single" w:sz="10" w:color="0A8587"/>
          <w:insideV w:val="single" w:sz="10" w:color="0A8587"/>
        </w:tblBorders>
      </w:tblPr>
      <w:tblGrid>
        <w:gridCol w:w="9360"/>
      </w:tblGrid>
      <w:tr>
        <w:trPr>
          <w:cantSplit/>
        </w:trPr>
        <w:tc>
          <w:tcPr>
            <w:tcW w:type="dxa" w:w="9360"/>
            <w:tcMar>
              <w:top w:w="150" w:type="dxa"/>
              <w:start w:w="180" w:type="dxa"/>
              <w:bottom w:w="150" w:type="dxa"/>
              <w:end w:w="180" w:type="dxa"/>
            </w:tcMar>
            <w:shd w:fill="EAF6F5"/>
          </w:tcPr>
          <w:p>
            <w:pPr>
              <w:spacing w:after="0" w:line="264" w:lineRule="auto"/>
            </w:pPr>
            <w:r>
              <w:rPr>
                <w:rFonts w:ascii="Calibri" w:hAnsi="Calibri"/>
                <w:b/>
                <w:i w:val="0"/>
                <w:color w:val="0A8587"/>
                <w:sz w:val="20"/>
              </w:rPr>
              <w:t xml:space="preserve">Business objective  </w:t>
            </w:r>
            <w:r>
              <w:rPr>
                <w:rFonts w:ascii="Calibri" w:hAnsi="Calibri"/>
                <w:b w:val="0"/>
                <w:i w:val="0"/>
                <w:color w:val="172033"/>
                <w:sz w:val="20"/>
              </w:rPr>
              <w:t>Create one dependable path from client message to approved deliverable, while reducing coordination effort and preserving accountability for every action.</w:t>
            </w:r>
          </w:p>
        </w:tc>
      </w:tr>
    </w:tbl>
    <w:p>
      <w:pPr>
        <w:spacing w:after="20"/>
      </w:pPr>
    </w:p>
    <w:p>
      <w:pPr>
        <w:pStyle w:val="Heading1"/>
        <w:keepNext/>
      </w:pPr>
      <w:r>
        <w:t>2. Current-State Problem</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3300"/>
        <w:gridCol w:w="6060"/>
      </w:tblGrid>
      <w:tr>
        <w:trPr>
          <w:tblHeader w:val="true"/>
          <w:cantSplit/>
        </w:trPr>
        <w:tc>
          <w:tcPr>
            <w:tcW w:type="dxa" w:w="33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Observed pattern</w:t>
            </w:r>
          </w:p>
        </w:tc>
        <w:tc>
          <w:tcPr>
            <w:tcW w:type="dxa" w:w="606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Operational consequence</w:t>
            </w:r>
          </w:p>
        </w:tc>
      </w:tr>
      <w:tr>
        <w:trPr>
          <w:cantSplit/>
        </w:trPr>
        <w:tc>
          <w:tcPr>
            <w:tcW w:type="dxa" w:w="3300"/>
            <w:vAlign w:val="center"/>
          </w:tcPr>
          <w:p>
            <w:pPr>
              <w:spacing w:after="0" w:line="252" w:lineRule="auto"/>
            </w:pPr>
            <w:r>
              <w:rPr>
                <w:rFonts w:ascii="Calibri" w:hAnsi="Calibri"/>
                <w:b w:val="0"/>
                <w:i w:val="0"/>
                <w:color w:val="172033"/>
                <w:sz w:val="18"/>
              </w:rPr>
              <w:t>Requests are scattered across three messaging platforms and private chats.</w:t>
            </w:r>
          </w:p>
        </w:tc>
        <w:tc>
          <w:tcPr>
            <w:tcW w:type="dxa" w:w="6060"/>
            <w:vAlign w:val="center"/>
          </w:tcPr>
          <w:p>
            <w:pPr>
              <w:spacing w:after="0" w:line="252" w:lineRule="auto"/>
            </w:pPr>
            <w:r>
              <w:rPr>
                <w:rFonts w:ascii="Calibri" w:hAnsi="Calibri"/>
                <w:b w:val="0"/>
                <w:i w:val="0"/>
                <w:color w:val="172033"/>
                <w:sz w:val="18"/>
              </w:rPr>
              <w:t>Work is missed, duplicated, or assigned without full context.</w:t>
            </w:r>
          </w:p>
        </w:tc>
      </w:tr>
      <w:tr>
        <w:trPr>
          <w:cantSplit/>
        </w:trPr>
        <w:tc>
          <w:tcPr>
            <w:tcW w:type="dxa" w:w="3300"/>
            <w:vAlign w:val="center"/>
            <w:shd w:fill="F8FAFC"/>
          </w:tcPr>
          <w:p>
            <w:pPr>
              <w:spacing w:after="0" w:line="252" w:lineRule="auto"/>
            </w:pPr>
            <w:r>
              <w:rPr>
                <w:rFonts w:ascii="Calibri" w:hAnsi="Calibri"/>
                <w:b w:val="0"/>
                <w:i w:val="0"/>
                <w:color w:val="172033"/>
                <w:sz w:val="18"/>
              </w:rPr>
              <w:t>Project context lives in folders, chat history, and individual memory.</w:t>
            </w:r>
          </w:p>
        </w:tc>
        <w:tc>
          <w:tcPr>
            <w:tcW w:type="dxa" w:w="6060"/>
            <w:vAlign w:val="center"/>
            <w:shd w:fill="F8FAFC"/>
          </w:tcPr>
          <w:p>
            <w:pPr>
              <w:spacing w:after="0" w:line="252" w:lineRule="auto"/>
            </w:pPr>
            <w:r>
              <w:rPr>
                <w:rFonts w:ascii="Calibri" w:hAnsi="Calibri"/>
                <w:b w:val="0"/>
                <w:i w:val="0"/>
                <w:color w:val="172033"/>
                <w:sz w:val="18"/>
              </w:rPr>
              <w:t>New team members spend hours reconstructing decisions and prior work.</w:t>
            </w:r>
          </w:p>
        </w:tc>
      </w:tr>
      <w:tr>
        <w:trPr>
          <w:cantSplit/>
        </w:trPr>
        <w:tc>
          <w:tcPr>
            <w:tcW w:type="dxa" w:w="3300"/>
            <w:vAlign w:val="center"/>
          </w:tcPr>
          <w:p>
            <w:pPr>
              <w:spacing w:after="0" w:line="252" w:lineRule="auto"/>
            </w:pPr>
            <w:r>
              <w:rPr>
                <w:rFonts w:ascii="Calibri" w:hAnsi="Calibri"/>
                <w:b w:val="0"/>
                <w:i w:val="0"/>
                <w:color w:val="172033"/>
                <w:sz w:val="18"/>
              </w:rPr>
              <w:t>Browser and enterprise-system steps are performed manually.</w:t>
            </w:r>
          </w:p>
        </w:tc>
        <w:tc>
          <w:tcPr>
            <w:tcW w:type="dxa" w:w="6060"/>
            <w:vAlign w:val="center"/>
          </w:tcPr>
          <w:p>
            <w:pPr>
              <w:spacing w:after="0" w:line="252" w:lineRule="auto"/>
            </w:pPr>
            <w:r>
              <w:rPr>
                <w:rFonts w:ascii="Calibri" w:hAnsi="Calibri"/>
                <w:b w:val="0"/>
                <w:i w:val="0"/>
                <w:color w:val="172033"/>
                <w:sz w:val="18"/>
              </w:rPr>
              <w:t>Routine work is slow, inconsistent, and difficult to audit.</w:t>
            </w:r>
          </w:p>
        </w:tc>
      </w:tr>
      <w:tr>
        <w:trPr>
          <w:cantSplit/>
        </w:trPr>
        <w:tc>
          <w:tcPr>
            <w:tcW w:type="dxa" w:w="3300"/>
            <w:vAlign w:val="center"/>
            <w:shd w:fill="F8FAFC"/>
          </w:tcPr>
          <w:p>
            <w:pPr>
              <w:spacing w:after="0" w:line="252" w:lineRule="auto"/>
            </w:pPr>
            <w:r>
              <w:rPr>
                <w:rFonts w:ascii="Calibri" w:hAnsi="Calibri"/>
                <w:b w:val="0"/>
                <w:i w:val="0"/>
                <w:color w:val="172033"/>
                <w:sz w:val="18"/>
              </w:rPr>
              <w:t>Status reporting is assembled after the fact.</w:t>
            </w:r>
          </w:p>
        </w:tc>
        <w:tc>
          <w:tcPr>
            <w:tcW w:type="dxa" w:w="6060"/>
            <w:vAlign w:val="center"/>
            <w:shd w:fill="F8FAFC"/>
          </w:tcPr>
          <w:p>
            <w:pPr>
              <w:spacing w:after="0" w:line="252" w:lineRule="auto"/>
            </w:pPr>
            <w:r>
              <w:rPr>
                <w:rFonts w:ascii="Calibri" w:hAnsi="Calibri"/>
                <w:b w:val="0"/>
                <w:i w:val="0"/>
                <w:color w:val="172033"/>
                <w:sz w:val="18"/>
              </w:rPr>
              <w:t>Leaders see risk late and clients receive inconsistent updates.</w:t>
            </w:r>
          </w:p>
        </w:tc>
      </w:tr>
    </w:tbl>
    <w:p>
      <w:pPr>
        <w:spacing w:after="40"/>
      </w:pPr>
    </w:p>
    <w:p>
      <w:r>
        <w:br w:type="page"/>
      </w:r>
    </w:p>
    <w:p>
      <w:pPr>
        <w:pStyle w:val="Heading1"/>
        <w:keepNext/>
      </w:pPr>
      <w:r>
        <w:t>3. Target Operating Model</w:t>
      </w:r>
    </w:p>
    <w:p>
      <w:pPr>
        <w:keepNext w:val="0"/>
        <w:spacing w:before="0" w:after="120" w:line="264" w:lineRule="auto"/>
      </w:pPr>
      <w:r>
        <w:rPr>
          <w:rFonts w:ascii="Calibri" w:hAnsi="Calibri"/>
          <w:b w:val="0"/>
          <w:i w:val="0"/>
          <w:color w:val="172033"/>
          <w:sz w:val="21"/>
        </w:rPr>
        <w:t>Langhub becomes the orchestration layer for delivery work; it does not replace the firm’s systems of record. Messaging remains the front door, project repositories remain authoritative for files, and enterprise applications continue to enforce their own permissions. The solution adds consistent intake, task execution, collaboration, evidence capture, and delivery controls across those systems.</w:t>
      </w:r>
    </w:p>
    <w:p>
      <w:pPr>
        <w:pStyle w:val="Heading2"/>
        <w:keepNext/>
      </w:pPr>
      <w:r>
        <w:t>3.1 End-to-End Business Process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520"/>
        <w:gridCol w:w="1700"/>
        <w:gridCol w:w="1550"/>
        <w:gridCol w:w="5590"/>
      </w:tblGrid>
      <w:tr>
        <w:trPr>
          <w:tblHeader w:val="true"/>
          <w:cantSplit/>
        </w:trPr>
        <w:tc>
          <w:tcPr>
            <w:tcW w:type="dxa" w:w="52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Step</w:t>
            </w:r>
          </w:p>
        </w:tc>
        <w:tc>
          <w:tcPr>
            <w:tcW w:type="dxa" w:w="17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Process</w:t>
            </w:r>
          </w:p>
        </w:tc>
        <w:tc>
          <w:tcPr>
            <w:tcW w:type="dxa" w:w="155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Primary owner</w:t>
            </w:r>
          </w:p>
        </w:tc>
        <w:tc>
          <w:tcPr>
            <w:tcW w:type="dxa" w:w="559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System behavior / output</w:t>
            </w:r>
          </w:p>
        </w:tc>
      </w:tr>
      <w:tr>
        <w:trPr>
          <w:cantSplit/>
        </w:trPr>
        <w:tc>
          <w:tcPr>
            <w:tcW w:type="dxa" w:w="520"/>
            <w:vAlign w:val="center"/>
          </w:tcPr>
          <w:p>
            <w:pPr>
              <w:spacing w:after="0" w:line="252" w:lineRule="auto"/>
            </w:pPr>
            <w:r>
              <w:rPr>
                <w:rFonts w:ascii="Calibri" w:hAnsi="Calibri"/>
                <w:b w:val="0"/>
                <w:i w:val="0"/>
                <w:color w:val="172033"/>
                <w:sz w:val="17"/>
              </w:rPr>
              <w:t>1</w:t>
            </w:r>
          </w:p>
        </w:tc>
        <w:tc>
          <w:tcPr>
            <w:tcW w:type="dxa" w:w="1700"/>
            <w:vAlign w:val="center"/>
          </w:tcPr>
          <w:p>
            <w:pPr>
              <w:spacing w:after="0" w:line="252" w:lineRule="auto"/>
            </w:pPr>
            <w:r>
              <w:rPr>
                <w:rFonts w:ascii="Calibri" w:hAnsi="Calibri"/>
                <w:b w:val="0"/>
                <w:i w:val="0"/>
                <w:color w:val="172033"/>
                <w:sz w:val="17"/>
              </w:rPr>
              <w:t>Capture request</w:t>
            </w:r>
          </w:p>
        </w:tc>
        <w:tc>
          <w:tcPr>
            <w:tcW w:type="dxa" w:w="1550"/>
            <w:vAlign w:val="center"/>
          </w:tcPr>
          <w:p>
            <w:pPr>
              <w:spacing w:after="0" w:line="252" w:lineRule="auto"/>
            </w:pPr>
            <w:r>
              <w:rPr>
                <w:rFonts w:ascii="Calibri" w:hAnsi="Calibri"/>
                <w:b w:val="0"/>
                <w:i w:val="0"/>
                <w:color w:val="172033"/>
                <w:sz w:val="17"/>
              </w:rPr>
              <w:t>Client or consultant</w:t>
            </w:r>
          </w:p>
        </w:tc>
        <w:tc>
          <w:tcPr>
            <w:tcW w:type="dxa" w:w="5590"/>
            <w:vAlign w:val="center"/>
          </w:tcPr>
          <w:p>
            <w:pPr>
              <w:spacing w:after="0" w:line="252" w:lineRule="auto"/>
            </w:pPr>
            <w:r>
              <w:rPr>
                <w:rFonts w:ascii="Calibri" w:hAnsi="Calibri"/>
                <w:b w:val="0"/>
                <w:i w:val="0"/>
                <w:color w:val="172033"/>
                <w:sz w:val="17"/>
              </w:rPr>
              <w:t>A message, attachment, or scheduled trigger enters through WhatsApp, Slack, or Telegram.</w:t>
            </w:r>
          </w:p>
        </w:tc>
      </w:tr>
      <w:tr>
        <w:trPr>
          <w:cantSplit/>
        </w:trPr>
        <w:tc>
          <w:tcPr>
            <w:tcW w:type="dxa" w:w="520"/>
            <w:vAlign w:val="center"/>
            <w:shd w:fill="F8FAFC"/>
          </w:tcPr>
          <w:p>
            <w:pPr>
              <w:spacing w:after="0" w:line="252" w:lineRule="auto"/>
            </w:pPr>
            <w:r>
              <w:rPr>
                <w:rFonts w:ascii="Calibri" w:hAnsi="Calibri"/>
                <w:b w:val="0"/>
                <w:i w:val="0"/>
                <w:color w:val="172033"/>
                <w:sz w:val="17"/>
              </w:rPr>
              <w:t>2</w:t>
            </w:r>
          </w:p>
        </w:tc>
        <w:tc>
          <w:tcPr>
            <w:tcW w:type="dxa" w:w="1700"/>
            <w:vAlign w:val="center"/>
            <w:shd w:fill="F8FAFC"/>
          </w:tcPr>
          <w:p>
            <w:pPr>
              <w:spacing w:after="0" w:line="252" w:lineRule="auto"/>
            </w:pPr>
            <w:r>
              <w:rPr>
                <w:rFonts w:ascii="Calibri" w:hAnsi="Calibri"/>
                <w:b w:val="0"/>
                <w:i w:val="0"/>
                <w:color w:val="172033"/>
                <w:sz w:val="17"/>
              </w:rPr>
              <w:t>Interpret and route</w:t>
            </w:r>
          </w:p>
        </w:tc>
        <w:tc>
          <w:tcPr>
            <w:tcW w:type="dxa" w:w="1550"/>
            <w:vAlign w:val="center"/>
            <w:shd w:fill="F8FAFC"/>
          </w:tcPr>
          <w:p>
            <w:pPr>
              <w:spacing w:after="0" w:line="252" w:lineRule="auto"/>
            </w:pPr>
            <w:r>
              <w:rPr>
                <w:rFonts w:ascii="Calibri" w:hAnsi="Calibri"/>
                <w:b w:val="0"/>
                <w:i w:val="0"/>
                <w:color w:val="172033"/>
                <w:sz w:val="17"/>
              </w:rPr>
              <w:t>Main Agent</w:t>
            </w:r>
          </w:p>
        </w:tc>
        <w:tc>
          <w:tcPr>
            <w:tcW w:type="dxa" w:w="5590"/>
            <w:vAlign w:val="center"/>
            <w:shd w:fill="F8FAFC"/>
          </w:tcPr>
          <w:p>
            <w:pPr>
              <w:spacing w:after="0" w:line="252" w:lineRule="auto"/>
            </w:pPr>
            <w:r>
              <w:rPr>
                <w:rFonts w:ascii="Calibri" w:hAnsi="Calibri"/>
                <w:b w:val="0"/>
                <w:i w:val="0"/>
                <w:color w:val="172033"/>
                <w:sz w:val="17"/>
              </w:rPr>
              <w:t>Identifies intent, client, project, urgency, expected output, and confidence; asks for clarification when required.</w:t>
            </w:r>
          </w:p>
        </w:tc>
      </w:tr>
      <w:tr>
        <w:trPr>
          <w:cantSplit/>
        </w:trPr>
        <w:tc>
          <w:tcPr>
            <w:tcW w:type="dxa" w:w="520"/>
            <w:vAlign w:val="center"/>
          </w:tcPr>
          <w:p>
            <w:pPr>
              <w:spacing w:after="0" w:line="252" w:lineRule="auto"/>
            </w:pPr>
            <w:r>
              <w:rPr>
                <w:rFonts w:ascii="Calibri" w:hAnsi="Calibri"/>
                <w:b w:val="0"/>
                <w:i w:val="0"/>
                <w:color w:val="172033"/>
                <w:sz w:val="17"/>
              </w:rPr>
              <w:t>3</w:t>
            </w:r>
          </w:p>
        </w:tc>
        <w:tc>
          <w:tcPr>
            <w:tcW w:type="dxa" w:w="1700"/>
            <w:vAlign w:val="center"/>
          </w:tcPr>
          <w:p>
            <w:pPr>
              <w:spacing w:after="0" w:line="252" w:lineRule="auto"/>
            </w:pPr>
            <w:r>
              <w:rPr>
                <w:rFonts w:ascii="Calibri" w:hAnsi="Calibri"/>
                <w:b w:val="0"/>
                <w:i w:val="0"/>
                <w:color w:val="172033"/>
                <w:sz w:val="17"/>
              </w:rPr>
              <w:t>Create work context</w:t>
            </w:r>
          </w:p>
        </w:tc>
        <w:tc>
          <w:tcPr>
            <w:tcW w:type="dxa" w:w="1550"/>
            <w:vAlign w:val="center"/>
          </w:tcPr>
          <w:p>
            <w:pPr>
              <w:spacing w:after="0" w:line="252" w:lineRule="auto"/>
            </w:pPr>
            <w:r>
              <w:rPr>
                <w:rFonts w:ascii="Calibri" w:hAnsi="Calibri"/>
                <w:b w:val="0"/>
                <w:i w:val="0"/>
                <w:color w:val="172033"/>
                <w:sz w:val="17"/>
              </w:rPr>
              <w:t>Engagement manager</w:t>
            </w:r>
          </w:p>
        </w:tc>
        <w:tc>
          <w:tcPr>
            <w:tcW w:type="dxa" w:w="5590"/>
            <w:vAlign w:val="center"/>
          </w:tcPr>
          <w:p>
            <w:pPr>
              <w:spacing w:after="0" w:line="252" w:lineRule="auto"/>
            </w:pPr>
            <w:r>
              <w:rPr>
                <w:rFonts w:ascii="Calibri" w:hAnsi="Calibri"/>
                <w:b w:val="0"/>
                <w:i w:val="0"/>
                <w:color w:val="172033"/>
                <w:sz w:val="17"/>
              </w:rPr>
              <w:t>Links the request to a Project, opens a task-specific Topic, and assembles the relevant Workspace files and context.</w:t>
            </w:r>
          </w:p>
        </w:tc>
      </w:tr>
      <w:tr>
        <w:trPr>
          <w:cantSplit/>
        </w:trPr>
        <w:tc>
          <w:tcPr>
            <w:tcW w:type="dxa" w:w="520"/>
            <w:vAlign w:val="center"/>
            <w:shd w:fill="F8FAFC"/>
          </w:tcPr>
          <w:p>
            <w:pPr>
              <w:spacing w:after="0" w:line="252" w:lineRule="auto"/>
            </w:pPr>
            <w:r>
              <w:rPr>
                <w:rFonts w:ascii="Calibri" w:hAnsi="Calibri"/>
                <w:b w:val="0"/>
                <w:i w:val="0"/>
                <w:color w:val="172033"/>
                <w:sz w:val="17"/>
              </w:rPr>
              <w:t>4</w:t>
            </w:r>
          </w:p>
        </w:tc>
        <w:tc>
          <w:tcPr>
            <w:tcW w:type="dxa" w:w="1700"/>
            <w:vAlign w:val="center"/>
            <w:shd w:fill="F8FAFC"/>
          </w:tcPr>
          <w:p>
            <w:pPr>
              <w:spacing w:after="0" w:line="252" w:lineRule="auto"/>
            </w:pPr>
            <w:r>
              <w:rPr>
                <w:rFonts w:ascii="Calibri" w:hAnsi="Calibri"/>
                <w:b w:val="0"/>
                <w:i w:val="0"/>
                <w:color w:val="172033"/>
                <w:sz w:val="17"/>
              </w:rPr>
              <w:t>Plan and approve</w:t>
            </w:r>
          </w:p>
        </w:tc>
        <w:tc>
          <w:tcPr>
            <w:tcW w:type="dxa" w:w="1550"/>
            <w:vAlign w:val="center"/>
            <w:shd w:fill="F8FAFC"/>
          </w:tcPr>
          <w:p>
            <w:pPr>
              <w:spacing w:after="0" w:line="252" w:lineRule="auto"/>
            </w:pPr>
            <w:r>
              <w:rPr>
                <w:rFonts w:ascii="Calibri" w:hAnsi="Calibri"/>
                <w:b w:val="0"/>
                <w:i w:val="0"/>
                <w:color w:val="172033"/>
                <w:sz w:val="17"/>
              </w:rPr>
              <w:t>Task owner</w:t>
            </w:r>
          </w:p>
        </w:tc>
        <w:tc>
          <w:tcPr>
            <w:tcW w:type="dxa" w:w="5590"/>
            <w:vAlign w:val="center"/>
            <w:shd w:fill="F8FAFC"/>
          </w:tcPr>
          <w:p>
            <w:pPr>
              <w:spacing w:after="0" w:line="252" w:lineRule="auto"/>
            </w:pPr>
            <w:r>
              <w:rPr>
                <w:rFonts w:ascii="Calibri" w:hAnsi="Calibri"/>
                <w:b w:val="0"/>
                <w:i w:val="0"/>
                <w:color w:val="172033"/>
                <w:sz w:val="17"/>
              </w:rPr>
              <w:t>Decomposes the request into steps, selects approved Skills and tools, estimates dependencies, and pauses at configured approval gates.</w:t>
            </w:r>
          </w:p>
        </w:tc>
      </w:tr>
      <w:tr>
        <w:trPr>
          <w:cantSplit/>
        </w:trPr>
        <w:tc>
          <w:tcPr>
            <w:tcW w:type="dxa" w:w="520"/>
            <w:vAlign w:val="center"/>
          </w:tcPr>
          <w:p>
            <w:pPr>
              <w:spacing w:after="0" w:line="252" w:lineRule="auto"/>
            </w:pPr>
            <w:r>
              <w:rPr>
                <w:rFonts w:ascii="Calibri" w:hAnsi="Calibri"/>
                <w:b w:val="0"/>
                <w:i w:val="0"/>
                <w:color w:val="172033"/>
                <w:sz w:val="17"/>
              </w:rPr>
              <w:t>5</w:t>
            </w:r>
          </w:p>
        </w:tc>
        <w:tc>
          <w:tcPr>
            <w:tcW w:type="dxa" w:w="1700"/>
            <w:vAlign w:val="center"/>
          </w:tcPr>
          <w:p>
            <w:pPr>
              <w:spacing w:after="0" w:line="252" w:lineRule="auto"/>
            </w:pPr>
            <w:r>
              <w:rPr>
                <w:rFonts w:ascii="Calibri" w:hAnsi="Calibri"/>
                <w:b w:val="0"/>
                <w:i w:val="0"/>
                <w:color w:val="172033"/>
                <w:sz w:val="17"/>
              </w:rPr>
              <w:t>Execute and collaborate</w:t>
            </w:r>
          </w:p>
        </w:tc>
        <w:tc>
          <w:tcPr>
            <w:tcW w:type="dxa" w:w="1550"/>
            <w:vAlign w:val="center"/>
          </w:tcPr>
          <w:p>
            <w:pPr>
              <w:spacing w:after="0" w:line="252" w:lineRule="auto"/>
            </w:pPr>
            <w:r>
              <w:rPr>
                <w:rFonts w:ascii="Calibri" w:hAnsi="Calibri"/>
                <w:b w:val="0"/>
                <w:i w:val="0"/>
                <w:color w:val="172033"/>
                <w:sz w:val="17"/>
              </w:rPr>
              <w:t>Agent runtime + team</w:t>
            </w:r>
          </w:p>
        </w:tc>
        <w:tc>
          <w:tcPr>
            <w:tcW w:type="dxa" w:w="5590"/>
            <w:vAlign w:val="center"/>
          </w:tcPr>
          <w:p>
            <w:pPr>
              <w:spacing w:after="0" w:line="252" w:lineRule="auto"/>
            </w:pPr>
            <w:r>
              <w:rPr>
                <w:rFonts w:ascii="Calibri" w:hAnsi="Calibri"/>
                <w:b w:val="0"/>
                <w:i w:val="0"/>
                <w:color w:val="172033"/>
                <w:sz w:val="17"/>
              </w:rPr>
              <w:t>Runs browser, MCP/CLI, and enterprise-system actions; shares intermediate files, events, and exceptions with participants.</w:t>
            </w:r>
          </w:p>
        </w:tc>
      </w:tr>
      <w:tr>
        <w:trPr>
          <w:cantSplit/>
        </w:trPr>
        <w:tc>
          <w:tcPr>
            <w:tcW w:type="dxa" w:w="520"/>
            <w:vAlign w:val="center"/>
            <w:shd w:fill="F8FAFC"/>
          </w:tcPr>
          <w:p>
            <w:pPr>
              <w:spacing w:after="0" w:line="252" w:lineRule="auto"/>
            </w:pPr>
            <w:r>
              <w:rPr>
                <w:rFonts w:ascii="Calibri" w:hAnsi="Calibri"/>
                <w:b w:val="0"/>
                <w:i w:val="0"/>
                <w:color w:val="172033"/>
                <w:sz w:val="17"/>
              </w:rPr>
              <w:t>6</w:t>
            </w:r>
          </w:p>
        </w:tc>
        <w:tc>
          <w:tcPr>
            <w:tcW w:type="dxa" w:w="1700"/>
            <w:vAlign w:val="center"/>
            <w:shd w:fill="F8FAFC"/>
          </w:tcPr>
          <w:p>
            <w:pPr>
              <w:spacing w:after="0" w:line="252" w:lineRule="auto"/>
            </w:pPr>
            <w:r>
              <w:rPr>
                <w:rFonts w:ascii="Calibri" w:hAnsi="Calibri"/>
                <w:b w:val="0"/>
                <w:i w:val="0"/>
                <w:color w:val="172033"/>
                <w:sz w:val="17"/>
              </w:rPr>
              <w:t>Review and deliver</w:t>
            </w:r>
          </w:p>
        </w:tc>
        <w:tc>
          <w:tcPr>
            <w:tcW w:type="dxa" w:w="1550"/>
            <w:vAlign w:val="center"/>
            <w:shd w:fill="F8FAFC"/>
          </w:tcPr>
          <w:p>
            <w:pPr>
              <w:spacing w:after="0" w:line="252" w:lineRule="auto"/>
            </w:pPr>
            <w:r>
              <w:rPr>
                <w:rFonts w:ascii="Calibri" w:hAnsi="Calibri"/>
                <w:b w:val="0"/>
                <w:i w:val="0"/>
                <w:color w:val="172033"/>
                <w:sz w:val="17"/>
              </w:rPr>
              <w:t>Reviewer / client lead</w:t>
            </w:r>
          </w:p>
        </w:tc>
        <w:tc>
          <w:tcPr>
            <w:tcW w:type="dxa" w:w="5590"/>
            <w:vAlign w:val="center"/>
            <w:shd w:fill="F8FAFC"/>
          </w:tcPr>
          <w:p>
            <w:pPr>
              <w:spacing w:after="0" w:line="252" w:lineRule="auto"/>
            </w:pPr>
            <w:r>
              <w:rPr>
                <w:rFonts w:ascii="Calibri" w:hAnsi="Calibri"/>
                <w:b w:val="0"/>
                <w:i w:val="0"/>
                <w:color w:val="172033"/>
                <w:sz w:val="17"/>
              </w:rPr>
              <w:t>Validates the output, generates the final Word, Excel, PowerPoint, PDF, or Markdown package, classifies files, and records delivery.</w:t>
            </w:r>
          </w:p>
        </w:tc>
      </w:tr>
      <w:tr>
        <w:trPr>
          <w:cantSplit/>
        </w:trPr>
        <w:tc>
          <w:tcPr>
            <w:tcW w:type="dxa" w:w="520"/>
            <w:vAlign w:val="center"/>
          </w:tcPr>
          <w:p>
            <w:pPr>
              <w:spacing w:after="0" w:line="252" w:lineRule="auto"/>
            </w:pPr>
            <w:r>
              <w:rPr>
                <w:rFonts w:ascii="Calibri" w:hAnsi="Calibri"/>
                <w:b w:val="0"/>
                <w:i w:val="0"/>
                <w:color w:val="172033"/>
                <w:sz w:val="17"/>
              </w:rPr>
              <w:t>7</w:t>
            </w:r>
          </w:p>
        </w:tc>
        <w:tc>
          <w:tcPr>
            <w:tcW w:type="dxa" w:w="1700"/>
            <w:vAlign w:val="center"/>
          </w:tcPr>
          <w:p>
            <w:pPr>
              <w:spacing w:after="0" w:line="252" w:lineRule="auto"/>
            </w:pPr>
            <w:r>
              <w:rPr>
                <w:rFonts w:ascii="Calibri" w:hAnsi="Calibri"/>
                <w:b w:val="0"/>
                <w:i w:val="0"/>
                <w:color w:val="172033"/>
                <w:sz w:val="17"/>
              </w:rPr>
              <w:t>Learn and reuse</w:t>
            </w:r>
          </w:p>
        </w:tc>
        <w:tc>
          <w:tcPr>
            <w:tcW w:type="dxa" w:w="1550"/>
            <w:vAlign w:val="center"/>
          </w:tcPr>
          <w:p>
            <w:pPr>
              <w:spacing w:after="0" w:line="252" w:lineRule="auto"/>
            </w:pPr>
            <w:r>
              <w:rPr>
                <w:rFonts w:ascii="Calibri" w:hAnsi="Calibri"/>
                <w:b w:val="0"/>
                <w:i w:val="0"/>
                <w:color w:val="172033"/>
                <w:sz w:val="17"/>
              </w:rPr>
              <w:t>Solution owner</w:t>
            </w:r>
          </w:p>
        </w:tc>
        <w:tc>
          <w:tcPr>
            <w:tcW w:type="dxa" w:w="5590"/>
            <w:vAlign w:val="center"/>
          </w:tcPr>
          <w:p>
            <w:pPr>
              <w:spacing w:after="0" w:line="252" w:lineRule="auto"/>
            </w:pPr>
            <w:r>
              <w:rPr>
                <w:rFonts w:ascii="Calibri" w:hAnsi="Calibri"/>
                <w:b w:val="0"/>
                <w:i w:val="0"/>
                <w:color w:val="172033"/>
                <w:sz w:val="17"/>
              </w:rPr>
              <w:t>Captures reusable workflow patterns, updates project/task memory, and measures quality and cycle time.</w:t>
            </w:r>
          </w:p>
        </w:tc>
      </w:tr>
    </w:tbl>
    <w:p>
      <w:pPr>
        <w:spacing w:after="40"/>
      </w:pPr>
    </w:p>
    <w:p>
      <w:pPr>
        <w:pStyle w:val="Heading2"/>
        <w:keepNext/>
      </w:pPr>
      <w:r>
        <w:t>3.2 Stakeholders and Responsibilities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1780"/>
        <w:gridCol w:w="3900"/>
        <w:gridCol w:w="3680"/>
      </w:tblGrid>
      <w:tr>
        <w:trPr>
          <w:tblHeader w:val="true"/>
          <w:cantSplit/>
        </w:trPr>
        <w:tc>
          <w:tcPr>
            <w:tcW w:type="dxa" w:w="178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Stakeholder</w:t>
            </w:r>
          </w:p>
        </w:tc>
        <w:tc>
          <w:tcPr>
            <w:tcW w:type="dxa" w:w="39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Accountability</w:t>
            </w:r>
          </w:p>
        </w:tc>
        <w:tc>
          <w:tcPr>
            <w:tcW w:type="dxa" w:w="368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Key interaction</w:t>
            </w:r>
          </w:p>
        </w:tc>
      </w:tr>
      <w:tr>
        <w:trPr>
          <w:cantSplit/>
        </w:trPr>
        <w:tc>
          <w:tcPr>
            <w:tcW w:type="dxa" w:w="1780"/>
            <w:vAlign w:val="center"/>
          </w:tcPr>
          <w:p>
            <w:pPr>
              <w:spacing w:after="0" w:line="252" w:lineRule="auto"/>
            </w:pPr>
            <w:r>
              <w:rPr>
                <w:rFonts w:ascii="Calibri" w:hAnsi="Calibri"/>
                <w:b w:val="0"/>
                <w:i w:val="0"/>
                <w:color w:val="172033"/>
                <w:sz w:val="18"/>
              </w:rPr>
              <w:t>Client requester</w:t>
            </w:r>
          </w:p>
        </w:tc>
        <w:tc>
          <w:tcPr>
            <w:tcW w:type="dxa" w:w="3900"/>
            <w:vAlign w:val="center"/>
          </w:tcPr>
          <w:p>
            <w:pPr>
              <w:spacing w:after="0" w:line="252" w:lineRule="auto"/>
            </w:pPr>
            <w:r>
              <w:rPr>
                <w:rFonts w:ascii="Calibri" w:hAnsi="Calibri"/>
                <w:b w:val="0"/>
                <w:i w:val="0"/>
                <w:color w:val="172033"/>
                <w:sz w:val="18"/>
              </w:rPr>
              <w:t>Provides request, source files, deadlines, and acceptance feedback.</w:t>
            </w:r>
          </w:p>
        </w:tc>
        <w:tc>
          <w:tcPr>
            <w:tcW w:type="dxa" w:w="3680"/>
            <w:vAlign w:val="center"/>
          </w:tcPr>
          <w:p>
            <w:pPr>
              <w:spacing w:after="0" w:line="252" w:lineRule="auto"/>
            </w:pPr>
            <w:r>
              <w:rPr>
                <w:rFonts w:ascii="Calibri" w:hAnsi="Calibri"/>
                <w:b w:val="0"/>
                <w:i w:val="0"/>
                <w:color w:val="172033"/>
                <w:sz w:val="18"/>
              </w:rPr>
              <w:t>Uses an existing messaging channel; receives status and final outputs.</w:t>
            </w:r>
          </w:p>
        </w:tc>
      </w:tr>
      <w:tr>
        <w:trPr>
          <w:cantSplit/>
        </w:trPr>
        <w:tc>
          <w:tcPr>
            <w:tcW w:type="dxa" w:w="1780"/>
            <w:vAlign w:val="center"/>
            <w:shd w:fill="F8FAFC"/>
          </w:tcPr>
          <w:p>
            <w:pPr>
              <w:spacing w:after="0" w:line="252" w:lineRule="auto"/>
            </w:pPr>
            <w:r>
              <w:rPr>
                <w:rFonts w:ascii="Calibri" w:hAnsi="Calibri"/>
                <w:b w:val="0"/>
                <w:i w:val="0"/>
                <w:color w:val="172033"/>
                <w:sz w:val="18"/>
              </w:rPr>
              <w:t>Engagement manager</w:t>
            </w:r>
          </w:p>
        </w:tc>
        <w:tc>
          <w:tcPr>
            <w:tcW w:type="dxa" w:w="3900"/>
            <w:vAlign w:val="center"/>
            <w:shd w:fill="F8FAFC"/>
          </w:tcPr>
          <w:p>
            <w:pPr>
              <w:spacing w:after="0" w:line="252" w:lineRule="auto"/>
            </w:pPr>
            <w:r>
              <w:rPr>
                <w:rFonts w:ascii="Calibri" w:hAnsi="Calibri"/>
                <w:b w:val="0"/>
                <w:i w:val="0"/>
                <w:color w:val="172033"/>
                <w:sz w:val="18"/>
              </w:rPr>
              <w:t>Owns scope, priority, staffing, and commercial commitments.</w:t>
            </w:r>
          </w:p>
        </w:tc>
        <w:tc>
          <w:tcPr>
            <w:tcW w:type="dxa" w:w="3680"/>
            <w:vAlign w:val="center"/>
            <w:shd w:fill="F8FAFC"/>
          </w:tcPr>
          <w:p>
            <w:pPr>
              <w:spacing w:after="0" w:line="252" w:lineRule="auto"/>
            </w:pPr>
            <w:r>
              <w:rPr>
                <w:rFonts w:ascii="Calibri" w:hAnsi="Calibri"/>
                <w:b w:val="0"/>
                <w:i w:val="0"/>
                <w:color w:val="172033"/>
                <w:sz w:val="18"/>
              </w:rPr>
              <w:t>Confirms project match, approves high-impact actions, resolves ambiguity.</w:t>
            </w:r>
          </w:p>
        </w:tc>
      </w:tr>
      <w:tr>
        <w:trPr>
          <w:cantSplit/>
        </w:trPr>
        <w:tc>
          <w:tcPr>
            <w:tcW w:type="dxa" w:w="1780"/>
            <w:vAlign w:val="center"/>
          </w:tcPr>
          <w:p>
            <w:pPr>
              <w:spacing w:after="0" w:line="252" w:lineRule="auto"/>
            </w:pPr>
            <w:r>
              <w:rPr>
                <w:rFonts w:ascii="Calibri" w:hAnsi="Calibri"/>
                <w:b w:val="0"/>
                <w:i w:val="0"/>
                <w:color w:val="172033"/>
                <w:sz w:val="18"/>
              </w:rPr>
              <w:t>Delivery specialist</w:t>
            </w:r>
          </w:p>
        </w:tc>
        <w:tc>
          <w:tcPr>
            <w:tcW w:type="dxa" w:w="3900"/>
            <w:vAlign w:val="center"/>
          </w:tcPr>
          <w:p>
            <w:pPr>
              <w:spacing w:after="0" w:line="252" w:lineRule="auto"/>
            </w:pPr>
            <w:r>
              <w:rPr>
                <w:rFonts w:ascii="Calibri" w:hAnsi="Calibri"/>
                <w:b w:val="0"/>
                <w:i w:val="0"/>
                <w:color w:val="172033"/>
                <w:sz w:val="18"/>
              </w:rPr>
              <w:t>Contributes domain judgment and reviews substantive work.</w:t>
            </w:r>
          </w:p>
        </w:tc>
        <w:tc>
          <w:tcPr>
            <w:tcW w:type="dxa" w:w="3680"/>
            <w:vAlign w:val="center"/>
          </w:tcPr>
          <w:p>
            <w:pPr>
              <w:spacing w:after="0" w:line="252" w:lineRule="auto"/>
            </w:pPr>
            <w:r>
              <w:rPr>
                <w:rFonts w:ascii="Calibri" w:hAnsi="Calibri"/>
                <w:b w:val="0"/>
                <w:i w:val="0"/>
                <w:color w:val="172033"/>
                <w:sz w:val="18"/>
              </w:rPr>
              <w:t>Works in shared task files and responds to agent questions or exceptions.</w:t>
            </w:r>
          </w:p>
        </w:tc>
      </w:tr>
      <w:tr>
        <w:trPr>
          <w:cantSplit/>
        </w:trPr>
        <w:tc>
          <w:tcPr>
            <w:tcW w:type="dxa" w:w="1780"/>
            <w:vAlign w:val="center"/>
            <w:shd w:fill="F8FAFC"/>
          </w:tcPr>
          <w:p>
            <w:pPr>
              <w:spacing w:after="0" w:line="252" w:lineRule="auto"/>
            </w:pPr>
            <w:r>
              <w:rPr>
                <w:rFonts w:ascii="Calibri" w:hAnsi="Calibri"/>
                <w:b w:val="0"/>
                <w:i w:val="0"/>
                <w:color w:val="172033"/>
                <w:sz w:val="18"/>
              </w:rPr>
              <w:t>Operations lead</w:t>
            </w:r>
          </w:p>
        </w:tc>
        <w:tc>
          <w:tcPr>
            <w:tcW w:type="dxa" w:w="3900"/>
            <w:vAlign w:val="center"/>
            <w:shd w:fill="F8FAFC"/>
          </w:tcPr>
          <w:p>
            <w:pPr>
              <w:spacing w:after="0" w:line="252" w:lineRule="auto"/>
            </w:pPr>
            <w:r>
              <w:rPr>
                <w:rFonts w:ascii="Calibri" w:hAnsi="Calibri"/>
                <w:b w:val="0"/>
                <w:i w:val="0"/>
                <w:color w:val="172033"/>
                <w:sz w:val="18"/>
              </w:rPr>
              <w:t>Owns workflow standards, service levels, and adoption.</w:t>
            </w:r>
          </w:p>
        </w:tc>
        <w:tc>
          <w:tcPr>
            <w:tcW w:type="dxa" w:w="3680"/>
            <w:vAlign w:val="center"/>
            <w:shd w:fill="F8FAFC"/>
          </w:tcPr>
          <w:p>
            <w:pPr>
              <w:spacing w:after="0" w:line="252" w:lineRule="auto"/>
            </w:pPr>
            <w:r>
              <w:rPr>
                <w:rFonts w:ascii="Calibri" w:hAnsi="Calibri"/>
                <w:b w:val="0"/>
                <w:i w:val="0"/>
                <w:color w:val="172033"/>
                <w:sz w:val="18"/>
              </w:rPr>
              <w:t>Monitors event streams, bottlenecks, workload, and recurring failures.</w:t>
            </w:r>
          </w:p>
        </w:tc>
      </w:tr>
      <w:tr>
        <w:trPr>
          <w:cantSplit/>
        </w:trPr>
        <w:tc>
          <w:tcPr>
            <w:tcW w:type="dxa" w:w="1780"/>
            <w:vAlign w:val="center"/>
          </w:tcPr>
          <w:p>
            <w:pPr>
              <w:spacing w:after="0" w:line="252" w:lineRule="auto"/>
            </w:pPr>
            <w:r>
              <w:rPr>
                <w:rFonts w:ascii="Calibri" w:hAnsi="Calibri"/>
                <w:b w:val="0"/>
                <w:i w:val="0"/>
                <w:color w:val="172033"/>
                <w:sz w:val="18"/>
              </w:rPr>
              <w:t>IT / security</w:t>
            </w:r>
          </w:p>
        </w:tc>
        <w:tc>
          <w:tcPr>
            <w:tcW w:type="dxa" w:w="3900"/>
            <w:vAlign w:val="center"/>
          </w:tcPr>
          <w:p>
            <w:pPr>
              <w:spacing w:after="0" w:line="252" w:lineRule="auto"/>
            </w:pPr>
            <w:r>
              <w:rPr>
                <w:rFonts w:ascii="Calibri" w:hAnsi="Calibri"/>
                <w:b w:val="0"/>
                <w:i w:val="0"/>
                <w:color w:val="172033"/>
                <w:sz w:val="18"/>
              </w:rPr>
              <w:t>Owns identity, access, integration policy, retention, and audit.</w:t>
            </w:r>
          </w:p>
        </w:tc>
        <w:tc>
          <w:tcPr>
            <w:tcW w:type="dxa" w:w="3680"/>
            <w:vAlign w:val="center"/>
          </w:tcPr>
          <w:p>
            <w:pPr>
              <w:spacing w:after="0" w:line="252" w:lineRule="auto"/>
            </w:pPr>
            <w:r>
              <w:rPr>
                <w:rFonts w:ascii="Calibri" w:hAnsi="Calibri"/>
                <w:b w:val="0"/>
                <w:i w:val="0"/>
                <w:color w:val="172033"/>
                <w:sz w:val="18"/>
              </w:rPr>
              <w:t>Approves connectors, tool scopes, credentials, and control design.</w:t>
            </w:r>
          </w:p>
        </w:tc>
      </w:tr>
      <w:tr>
        <w:trPr>
          <w:cantSplit/>
        </w:trPr>
        <w:tc>
          <w:tcPr>
            <w:tcW w:type="dxa" w:w="1780"/>
            <w:vAlign w:val="center"/>
            <w:shd w:fill="F8FAFC"/>
          </w:tcPr>
          <w:p>
            <w:pPr>
              <w:spacing w:after="0" w:line="252" w:lineRule="auto"/>
            </w:pPr>
            <w:r>
              <w:rPr>
                <w:rFonts w:ascii="Calibri" w:hAnsi="Calibri"/>
                <w:b w:val="0"/>
                <w:i w:val="0"/>
                <w:color w:val="172033"/>
                <w:sz w:val="18"/>
              </w:rPr>
              <w:t>Solution owner</w:t>
            </w:r>
          </w:p>
        </w:tc>
        <w:tc>
          <w:tcPr>
            <w:tcW w:type="dxa" w:w="3900"/>
            <w:vAlign w:val="center"/>
            <w:shd w:fill="F8FAFC"/>
          </w:tcPr>
          <w:p>
            <w:pPr>
              <w:spacing w:after="0" w:line="252" w:lineRule="auto"/>
            </w:pPr>
            <w:r>
              <w:rPr>
                <w:rFonts w:ascii="Calibri" w:hAnsi="Calibri"/>
                <w:b w:val="0"/>
                <w:i w:val="0"/>
                <w:color w:val="172033"/>
                <w:sz w:val="18"/>
              </w:rPr>
              <w:t>Maintains Skills, evaluation criteria, and release governance.</w:t>
            </w:r>
          </w:p>
        </w:tc>
        <w:tc>
          <w:tcPr>
            <w:tcW w:type="dxa" w:w="3680"/>
            <w:vAlign w:val="center"/>
            <w:shd w:fill="F8FAFC"/>
          </w:tcPr>
          <w:p>
            <w:pPr>
              <w:spacing w:after="0" w:line="252" w:lineRule="auto"/>
            </w:pPr>
            <w:r>
              <w:rPr>
                <w:rFonts w:ascii="Calibri" w:hAnsi="Calibri"/>
                <w:b w:val="0"/>
                <w:i w:val="0"/>
                <w:color w:val="172033"/>
                <w:sz w:val="18"/>
              </w:rPr>
              <w:t>Promotes proven workflows and retires unsafe or low-quality variants.</w:t>
            </w:r>
          </w:p>
        </w:tc>
      </w:tr>
    </w:tbl>
    <w:p>
      <w:pPr>
        <w:spacing w:after="40"/>
      </w:pPr>
    </w:p>
    <w:p>
      <w:r>
        <w:br w:type="page"/>
      </w:r>
    </w:p>
    <w:p>
      <w:pPr>
        <w:pStyle w:val="Heading1"/>
        <w:keepNext/>
      </w:pPr>
      <w:r>
        <w:t>4. Solution Components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2400"/>
        <w:gridCol w:w="2100"/>
        <w:gridCol w:w="4860"/>
      </w:tblGrid>
      <w:tr>
        <w:trPr>
          <w:tblHeader w:val="true"/>
          <w:cantSplit/>
        </w:trPr>
        <w:tc>
          <w:tcPr>
            <w:tcW w:type="dxa" w:w="24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Layer / component</w:t>
            </w:r>
          </w:p>
        </w:tc>
        <w:tc>
          <w:tcPr>
            <w:tcW w:type="dxa" w:w="21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Purpose</w:t>
            </w:r>
          </w:p>
        </w:tc>
        <w:tc>
          <w:tcPr>
            <w:tcW w:type="dxa" w:w="486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Concrete behavior in this solution</w:t>
            </w:r>
          </w:p>
        </w:tc>
      </w:tr>
      <w:tr>
        <w:trPr>
          <w:cantSplit/>
        </w:trPr>
        <w:tc>
          <w:tcPr>
            <w:tcW w:type="dxa" w:w="2400"/>
            <w:vAlign w:val="center"/>
          </w:tcPr>
          <w:p>
            <w:pPr>
              <w:spacing w:after="0" w:line="252" w:lineRule="auto"/>
            </w:pPr>
            <w:r>
              <w:rPr>
                <w:rFonts w:ascii="Calibri" w:hAnsi="Calibri"/>
                <w:b w:val="0"/>
                <w:i w:val="0"/>
                <w:color w:val="172033"/>
                <w:sz w:val="17"/>
              </w:rPr>
              <w:t>Enterprise IM entry</w:t>
            </w:r>
          </w:p>
        </w:tc>
        <w:tc>
          <w:tcPr>
            <w:tcW w:type="dxa" w:w="2100"/>
            <w:vAlign w:val="center"/>
          </w:tcPr>
          <w:p>
            <w:pPr>
              <w:spacing w:after="0" w:line="252" w:lineRule="auto"/>
            </w:pPr>
            <w:r>
              <w:rPr>
                <w:rFonts w:ascii="Calibri" w:hAnsi="Calibri"/>
                <w:b w:val="0"/>
                <w:i w:val="0"/>
                <w:color w:val="172033"/>
                <w:sz w:val="17"/>
              </w:rPr>
              <w:t>Accessible front door</w:t>
            </w:r>
          </w:p>
        </w:tc>
        <w:tc>
          <w:tcPr>
            <w:tcW w:type="dxa" w:w="4860"/>
            <w:vAlign w:val="center"/>
          </w:tcPr>
          <w:p>
            <w:pPr>
              <w:spacing w:after="0" w:line="252" w:lineRule="auto"/>
            </w:pPr>
            <w:r>
              <w:rPr>
                <w:rFonts w:ascii="Calibri" w:hAnsi="Calibri"/>
                <w:b w:val="0"/>
                <w:i w:val="0"/>
                <w:color w:val="172033"/>
                <w:sz w:val="17"/>
              </w:rPr>
              <w:t>Receives requests and attachments from WhatsApp, Slack, and Telegram; posts clarification, progress, approval, and delivery messages.</w:t>
            </w:r>
          </w:p>
        </w:tc>
      </w:tr>
      <w:tr>
        <w:trPr>
          <w:cantSplit/>
        </w:trPr>
        <w:tc>
          <w:tcPr>
            <w:tcW w:type="dxa" w:w="2400"/>
            <w:vAlign w:val="center"/>
            <w:shd w:fill="F8FAFC"/>
          </w:tcPr>
          <w:p>
            <w:pPr>
              <w:spacing w:after="0" w:line="252" w:lineRule="auto"/>
            </w:pPr>
            <w:r>
              <w:rPr>
                <w:rFonts w:ascii="Calibri" w:hAnsi="Calibri"/>
                <w:b w:val="0"/>
                <w:i w:val="0"/>
                <w:color w:val="172033"/>
                <w:sz w:val="17"/>
              </w:rPr>
              <w:t>Main Agent</w:t>
            </w:r>
          </w:p>
        </w:tc>
        <w:tc>
          <w:tcPr>
            <w:tcW w:type="dxa" w:w="2100"/>
            <w:vAlign w:val="center"/>
            <w:shd w:fill="F8FAFC"/>
          </w:tcPr>
          <w:p>
            <w:pPr>
              <w:spacing w:after="0" w:line="252" w:lineRule="auto"/>
            </w:pPr>
            <w:r>
              <w:rPr>
                <w:rFonts w:ascii="Calibri" w:hAnsi="Calibri"/>
                <w:b w:val="0"/>
                <w:i w:val="0"/>
                <w:color w:val="172033"/>
                <w:sz w:val="17"/>
              </w:rPr>
              <w:t>Intent and routing control</w:t>
            </w:r>
          </w:p>
        </w:tc>
        <w:tc>
          <w:tcPr>
            <w:tcW w:type="dxa" w:w="4860"/>
            <w:vAlign w:val="center"/>
            <w:shd w:fill="F8FAFC"/>
          </w:tcPr>
          <w:p>
            <w:pPr>
              <w:spacing w:after="0" w:line="252" w:lineRule="auto"/>
            </w:pPr>
            <w:r>
              <w:rPr>
                <w:rFonts w:ascii="Calibri" w:hAnsi="Calibri"/>
                <w:b w:val="0"/>
                <w:i w:val="0"/>
                <w:color w:val="172033"/>
                <w:sz w:val="17"/>
              </w:rPr>
              <w:t>Recognizes request type, matches the engagement, creates work, assigns ownership, and summarizes progress across active tasks.</w:t>
            </w:r>
          </w:p>
        </w:tc>
      </w:tr>
      <w:tr>
        <w:trPr>
          <w:cantSplit/>
        </w:trPr>
        <w:tc>
          <w:tcPr>
            <w:tcW w:type="dxa" w:w="2400"/>
            <w:vAlign w:val="center"/>
          </w:tcPr>
          <w:p>
            <w:pPr>
              <w:spacing w:after="0" w:line="252" w:lineRule="auto"/>
            </w:pPr>
            <w:r>
              <w:rPr>
                <w:rFonts w:ascii="Calibri" w:hAnsi="Calibri"/>
                <w:b w:val="0"/>
                <w:i w:val="0"/>
                <w:color w:val="172033"/>
                <w:sz w:val="17"/>
              </w:rPr>
              <w:t>Agent Runtime</w:t>
            </w:r>
          </w:p>
        </w:tc>
        <w:tc>
          <w:tcPr>
            <w:tcW w:type="dxa" w:w="2100"/>
            <w:vAlign w:val="center"/>
          </w:tcPr>
          <w:p>
            <w:pPr>
              <w:spacing w:after="0" w:line="252" w:lineRule="auto"/>
            </w:pPr>
            <w:r>
              <w:rPr>
                <w:rFonts w:ascii="Calibri" w:hAnsi="Calibri"/>
                <w:b w:val="0"/>
                <w:i w:val="0"/>
                <w:color w:val="172033"/>
                <w:sz w:val="17"/>
              </w:rPr>
              <w:t>Reliable core execution</w:t>
            </w:r>
          </w:p>
        </w:tc>
        <w:tc>
          <w:tcPr>
            <w:tcW w:type="dxa" w:w="4860"/>
            <w:vAlign w:val="center"/>
          </w:tcPr>
          <w:p>
            <w:pPr>
              <w:spacing w:after="0" w:line="252" w:lineRule="auto"/>
            </w:pPr>
            <w:r>
              <w:rPr>
                <w:rFonts w:ascii="Calibri" w:hAnsi="Calibri"/>
                <w:b w:val="0"/>
                <w:i w:val="0"/>
                <w:color w:val="172033"/>
                <w:sz w:val="17"/>
              </w:rPr>
              <w:t>Plans tasks, invokes approved tools, manages external execution, reuses Skills, retries transient failures, and checkpoints long-running work.</w:t>
            </w:r>
          </w:p>
        </w:tc>
      </w:tr>
      <w:tr>
        <w:trPr>
          <w:cantSplit/>
        </w:trPr>
        <w:tc>
          <w:tcPr>
            <w:tcW w:type="dxa" w:w="2400"/>
            <w:vAlign w:val="center"/>
            <w:shd w:fill="F8FAFC"/>
          </w:tcPr>
          <w:p>
            <w:pPr>
              <w:spacing w:after="0" w:line="252" w:lineRule="auto"/>
            </w:pPr>
            <w:r>
              <w:rPr>
                <w:rFonts w:ascii="Calibri" w:hAnsi="Calibri"/>
                <w:b w:val="0"/>
                <w:i w:val="0"/>
                <w:color w:val="172033"/>
                <w:sz w:val="17"/>
              </w:rPr>
              <w:t>Project &amp; Task Management</w:t>
            </w:r>
          </w:p>
        </w:tc>
        <w:tc>
          <w:tcPr>
            <w:tcW w:type="dxa" w:w="2100"/>
            <w:vAlign w:val="center"/>
            <w:shd w:fill="F8FAFC"/>
          </w:tcPr>
          <w:p>
            <w:pPr>
              <w:spacing w:after="0" w:line="252" w:lineRule="auto"/>
            </w:pPr>
            <w:r>
              <w:rPr>
                <w:rFonts w:ascii="Calibri" w:hAnsi="Calibri"/>
                <w:b w:val="0"/>
                <w:i w:val="0"/>
                <w:color w:val="172033"/>
                <w:sz w:val="17"/>
              </w:rPr>
              <w:t>Context boundaries</w:t>
            </w:r>
          </w:p>
        </w:tc>
        <w:tc>
          <w:tcPr>
            <w:tcW w:type="dxa" w:w="4860"/>
            <w:vAlign w:val="center"/>
            <w:shd w:fill="F8FAFC"/>
          </w:tcPr>
          <w:p>
            <w:pPr>
              <w:spacing w:after="0" w:line="252" w:lineRule="auto"/>
            </w:pPr>
            <w:r>
              <w:rPr>
                <w:rFonts w:ascii="Calibri" w:hAnsi="Calibri"/>
                <w:b w:val="0"/>
                <w:i w:val="0"/>
                <w:color w:val="172033"/>
                <w:sz w:val="17"/>
              </w:rPr>
              <w:t>Project groups similar client work; Workspace holds files and context; Topic isolates one task; Event Stream records progress and review evidence.</w:t>
            </w:r>
          </w:p>
        </w:tc>
      </w:tr>
      <w:tr>
        <w:trPr>
          <w:cantSplit/>
        </w:trPr>
        <w:tc>
          <w:tcPr>
            <w:tcW w:type="dxa" w:w="2400"/>
            <w:vAlign w:val="center"/>
          </w:tcPr>
          <w:p>
            <w:pPr>
              <w:spacing w:after="0" w:line="252" w:lineRule="auto"/>
            </w:pPr>
            <w:r>
              <w:rPr>
                <w:rFonts w:ascii="Calibri" w:hAnsi="Calibri"/>
                <w:b w:val="0"/>
                <w:i w:val="0"/>
                <w:color w:val="172033"/>
                <w:sz w:val="17"/>
              </w:rPr>
              <w:t>Team Collaboration</w:t>
            </w:r>
          </w:p>
        </w:tc>
        <w:tc>
          <w:tcPr>
            <w:tcW w:type="dxa" w:w="2100"/>
            <w:vAlign w:val="center"/>
          </w:tcPr>
          <w:p>
            <w:pPr>
              <w:spacing w:after="0" w:line="252" w:lineRule="auto"/>
            </w:pPr>
            <w:r>
              <w:rPr>
                <w:rFonts w:ascii="Calibri" w:hAnsi="Calibri"/>
                <w:b w:val="0"/>
                <w:i w:val="0"/>
                <w:color w:val="172033"/>
                <w:sz w:val="17"/>
              </w:rPr>
              <w:t>Shared execution surface</w:t>
            </w:r>
          </w:p>
        </w:tc>
        <w:tc>
          <w:tcPr>
            <w:tcW w:type="dxa" w:w="4860"/>
            <w:vAlign w:val="center"/>
          </w:tcPr>
          <w:p>
            <w:pPr>
              <w:spacing w:after="0" w:line="252" w:lineRule="auto"/>
            </w:pPr>
            <w:r>
              <w:rPr>
                <w:rFonts w:ascii="Calibri" w:hAnsi="Calibri"/>
                <w:b w:val="0"/>
                <w:i w:val="0"/>
                <w:color w:val="172033"/>
                <w:sz w:val="17"/>
              </w:rPr>
              <w:t>Makes capabilities, working files, and collaboration spaces available to authorized people and agents.</w:t>
            </w:r>
          </w:p>
        </w:tc>
      </w:tr>
      <w:tr>
        <w:trPr>
          <w:cantSplit/>
        </w:trPr>
        <w:tc>
          <w:tcPr>
            <w:tcW w:type="dxa" w:w="2400"/>
            <w:vAlign w:val="center"/>
            <w:shd w:fill="F8FAFC"/>
          </w:tcPr>
          <w:p>
            <w:pPr>
              <w:spacing w:after="0" w:line="252" w:lineRule="auto"/>
            </w:pPr>
            <w:r>
              <w:rPr>
                <w:rFonts w:ascii="Calibri" w:hAnsi="Calibri"/>
                <w:b w:val="0"/>
                <w:i w:val="0"/>
                <w:color w:val="172033"/>
                <w:sz w:val="17"/>
              </w:rPr>
              <w:t>External System Integration</w:t>
            </w:r>
          </w:p>
        </w:tc>
        <w:tc>
          <w:tcPr>
            <w:tcW w:type="dxa" w:w="2100"/>
            <w:vAlign w:val="center"/>
            <w:shd w:fill="F8FAFC"/>
          </w:tcPr>
          <w:p>
            <w:pPr>
              <w:spacing w:after="0" w:line="252" w:lineRule="auto"/>
            </w:pPr>
            <w:r>
              <w:rPr>
                <w:rFonts w:ascii="Calibri" w:hAnsi="Calibri"/>
                <w:b w:val="0"/>
                <w:i w:val="0"/>
                <w:color w:val="172033"/>
                <w:sz w:val="17"/>
              </w:rPr>
              <w:t>Action layer</w:t>
            </w:r>
          </w:p>
        </w:tc>
        <w:tc>
          <w:tcPr>
            <w:tcW w:type="dxa" w:w="4860"/>
            <w:vAlign w:val="center"/>
            <w:shd w:fill="F8FAFC"/>
          </w:tcPr>
          <w:p>
            <w:pPr>
              <w:spacing w:after="0" w:line="252" w:lineRule="auto"/>
            </w:pPr>
            <w:r>
              <w:rPr>
                <w:rFonts w:ascii="Calibri" w:hAnsi="Calibri"/>
                <w:b w:val="0"/>
                <w:i w:val="0"/>
                <w:color w:val="172033"/>
                <w:sz w:val="17"/>
              </w:rPr>
              <w:t>Uses MCP/CLI tools, controlled browser operations, and enterprise applications such as CRM, PSA, knowledge base, and document repository.</w:t>
            </w:r>
          </w:p>
        </w:tc>
      </w:tr>
      <w:tr>
        <w:trPr>
          <w:cantSplit/>
        </w:trPr>
        <w:tc>
          <w:tcPr>
            <w:tcW w:type="dxa" w:w="2400"/>
            <w:vAlign w:val="center"/>
          </w:tcPr>
          <w:p>
            <w:pPr>
              <w:spacing w:after="0" w:line="252" w:lineRule="auto"/>
            </w:pPr>
            <w:r>
              <w:rPr>
                <w:rFonts w:ascii="Calibri" w:hAnsi="Calibri"/>
                <w:b w:val="0"/>
                <w:i w:val="0"/>
                <w:color w:val="172033"/>
                <w:sz w:val="17"/>
              </w:rPr>
              <w:t>Delivery &amp; File Management</w:t>
            </w:r>
          </w:p>
        </w:tc>
        <w:tc>
          <w:tcPr>
            <w:tcW w:type="dxa" w:w="2100"/>
            <w:vAlign w:val="center"/>
          </w:tcPr>
          <w:p>
            <w:pPr>
              <w:spacing w:after="0" w:line="252" w:lineRule="auto"/>
            </w:pPr>
            <w:r>
              <w:rPr>
                <w:rFonts w:ascii="Calibri" w:hAnsi="Calibri"/>
                <w:b w:val="0"/>
                <w:i w:val="0"/>
                <w:color w:val="172033"/>
                <w:sz w:val="17"/>
              </w:rPr>
              <w:t>Output governance</w:t>
            </w:r>
          </w:p>
        </w:tc>
        <w:tc>
          <w:tcPr>
            <w:tcW w:type="dxa" w:w="4860"/>
            <w:vAlign w:val="center"/>
          </w:tcPr>
          <w:p>
            <w:pPr>
              <w:spacing w:after="0" w:line="252" w:lineRule="auto"/>
            </w:pPr>
            <w:r>
              <w:rPr>
                <w:rFonts w:ascii="Calibri" w:hAnsi="Calibri"/>
                <w:b w:val="0"/>
                <w:i w:val="0"/>
                <w:color w:val="172033"/>
                <w:sz w:val="17"/>
              </w:rPr>
              <w:t>Generates office files, organizes them using client/project rules, and supports permission-aware search and retrieval.</w:t>
            </w:r>
          </w:p>
        </w:tc>
      </w:tr>
      <w:tr>
        <w:trPr>
          <w:cantSplit/>
        </w:trPr>
        <w:tc>
          <w:tcPr>
            <w:tcW w:type="dxa" w:w="2400"/>
            <w:vAlign w:val="center"/>
            <w:shd w:fill="F8FAFC"/>
          </w:tcPr>
          <w:p>
            <w:pPr>
              <w:spacing w:after="0" w:line="252" w:lineRule="auto"/>
            </w:pPr>
            <w:r>
              <w:rPr>
                <w:rFonts w:ascii="Calibri" w:hAnsi="Calibri"/>
                <w:b w:val="0"/>
                <w:i w:val="0"/>
                <w:color w:val="172033"/>
                <w:sz w:val="17"/>
              </w:rPr>
              <w:t>Self-Evolution &amp; Memory</w:t>
            </w:r>
          </w:p>
        </w:tc>
        <w:tc>
          <w:tcPr>
            <w:tcW w:type="dxa" w:w="2100"/>
            <w:vAlign w:val="center"/>
            <w:shd w:fill="F8FAFC"/>
          </w:tcPr>
          <w:p>
            <w:pPr>
              <w:spacing w:after="0" w:line="252" w:lineRule="auto"/>
            </w:pPr>
            <w:r>
              <w:rPr>
                <w:rFonts w:ascii="Calibri" w:hAnsi="Calibri"/>
                <w:b w:val="0"/>
                <w:i w:val="0"/>
                <w:color w:val="172033"/>
                <w:sz w:val="17"/>
              </w:rPr>
              <w:t>Continuous improvement</w:t>
            </w:r>
          </w:p>
        </w:tc>
        <w:tc>
          <w:tcPr>
            <w:tcW w:type="dxa" w:w="4860"/>
            <w:vAlign w:val="center"/>
            <w:shd w:fill="F8FAFC"/>
          </w:tcPr>
          <w:p>
            <w:pPr>
              <w:spacing w:after="0" w:line="252" w:lineRule="auto"/>
            </w:pPr>
            <w:r>
              <w:rPr>
                <w:rFonts w:ascii="Calibri" w:hAnsi="Calibri"/>
                <w:b w:val="0"/>
                <w:i w:val="0"/>
                <w:color w:val="172033"/>
                <w:sz w:val="17"/>
              </w:rPr>
              <w:t>Stores user preferences, project decisions, and task history; captures repeatable workflows and proposes Skill improvements for review.</w:t>
            </w:r>
          </w:p>
        </w:tc>
      </w:tr>
      <w:tr>
        <w:trPr>
          <w:cantSplit/>
        </w:trPr>
        <w:tc>
          <w:tcPr>
            <w:tcW w:type="dxa" w:w="2400"/>
            <w:vAlign w:val="center"/>
          </w:tcPr>
          <w:p>
            <w:pPr>
              <w:spacing w:after="0" w:line="252" w:lineRule="auto"/>
            </w:pPr>
            <w:r>
              <w:rPr>
                <w:rFonts w:ascii="Calibri" w:hAnsi="Calibri"/>
                <w:b w:val="0"/>
                <w:i w:val="0"/>
                <w:color w:val="172033"/>
                <w:sz w:val="17"/>
              </w:rPr>
              <w:t>Special Capabilities</w:t>
            </w:r>
          </w:p>
        </w:tc>
        <w:tc>
          <w:tcPr>
            <w:tcW w:type="dxa" w:w="2100"/>
            <w:vAlign w:val="center"/>
          </w:tcPr>
          <w:p>
            <w:pPr>
              <w:spacing w:after="0" w:line="252" w:lineRule="auto"/>
            </w:pPr>
            <w:r>
              <w:rPr>
                <w:rFonts w:ascii="Calibri" w:hAnsi="Calibri"/>
                <w:b w:val="0"/>
                <w:i w:val="0"/>
                <w:color w:val="172033"/>
                <w:sz w:val="17"/>
              </w:rPr>
              <w:t>Extended operating modes</w:t>
            </w:r>
          </w:p>
        </w:tc>
        <w:tc>
          <w:tcPr>
            <w:tcW w:type="dxa" w:w="4860"/>
            <w:vAlign w:val="center"/>
          </w:tcPr>
          <w:p>
            <w:pPr>
              <w:spacing w:after="0" w:line="252" w:lineRule="auto"/>
            </w:pPr>
            <w:r>
              <w:rPr>
                <w:rFonts w:ascii="Calibri" w:hAnsi="Calibri"/>
                <w:b w:val="0"/>
                <w:i w:val="0"/>
                <w:color w:val="172033"/>
                <w:sz w:val="17"/>
              </w:rPr>
              <w:t>Supports scheduled recurring tasks, lightweight internal apps, workflow pre-training, and stable multi-stage Workflow Agents.</w:t>
            </w:r>
          </w:p>
        </w:tc>
      </w:tr>
    </w:tbl>
    <w:p>
      <w:pPr>
        <w:spacing w:after="40"/>
      </w:pPr>
    </w:p>
    <w:p>
      <w:pPr>
        <w:pStyle w:val="Heading1"/>
        <w:keepNext/>
      </w:pPr>
      <w:r>
        <w:t>5. Information and Control Flows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1550"/>
        <w:gridCol w:w="2520"/>
        <w:gridCol w:w="5290"/>
      </w:tblGrid>
      <w:tr>
        <w:trPr>
          <w:tblHeader w:val="true"/>
          <w:cantSplit/>
        </w:trPr>
        <w:tc>
          <w:tcPr>
            <w:tcW w:type="dxa" w:w="155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Flow</w:t>
            </w:r>
          </w:p>
        </w:tc>
        <w:tc>
          <w:tcPr>
            <w:tcW w:type="dxa" w:w="252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From → To</w:t>
            </w:r>
          </w:p>
        </w:tc>
        <w:tc>
          <w:tcPr>
            <w:tcW w:type="dxa" w:w="529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Data / control exchanged</w:t>
            </w:r>
          </w:p>
        </w:tc>
      </w:tr>
      <w:tr>
        <w:trPr>
          <w:cantSplit/>
        </w:trPr>
        <w:tc>
          <w:tcPr>
            <w:tcW w:type="dxa" w:w="1550"/>
            <w:vAlign w:val="center"/>
          </w:tcPr>
          <w:p>
            <w:pPr>
              <w:spacing w:after="0" w:line="252" w:lineRule="auto"/>
            </w:pPr>
            <w:r>
              <w:rPr>
                <w:rFonts w:ascii="Calibri" w:hAnsi="Calibri"/>
                <w:b w:val="0"/>
                <w:i w:val="0"/>
                <w:color w:val="172033"/>
                <w:sz w:val="17"/>
              </w:rPr>
              <w:t>Request flow</w:t>
            </w:r>
          </w:p>
        </w:tc>
        <w:tc>
          <w:tcPr>
            <w:tcW w:type="dxa" w:w="2520"/>
            <w:vAlign w:val="center"/>
          </w:tcPr>
          <w:p>
            <w:pPr>
              <w:spacing w:after="0" w:line="252" w:lineRule="auto"/>
            </w:pPr>
            <w:r>
              <w:rPr>
                <w:rFonts w:ascii="Calibri" w:hAnsi="Calibri"/>
                <w:b w:val="0"/>
                <w:i w:val="0"/>
                <w:color w:val="172033"/>
                <w:sz w:val="17"/>
              </w:rPr>
              <w:t>Messaging → Main Agent</w:t>
            </w:r>
          </w:p>
        </w:tc>
        <w:tc>
          <w:tcPr>
            <w:tcW w:type="dxa" w:w="5290"/>
            <w:vAlign w:val="center"/>
          </w:tcPr>
          <w:p>
            <w:pPr>
              <w:spacing w:after="0" w:line="252" w:lineRule="auto"/>
            </w:pPr>
            <w:r>
              <w:rPr>
                <w:rFonts w:ascii="Calibri" w:hAnsi="Calibri"/>
                <w:b w:val="0"/>
                <w:i w:val="0"/>
                <w:color w:val="172033"/>
                <w:sz w:val="17"/>
              </w:rPr>
              <w:t>Message text, sender identity, channel metadata, attachments, timestamp, and conversation reference.</w:t>
            </w:r>
          </w:p>
        </w:tc>
      </w:tr>
      <w:tr>
        <w:trPr>
          <w:cantSplit/>
        </w:trPr>
        <w:tc>
          <w:tcPr>
            <w:tcW w:type="dxa" w:w="1550"/>
            <w:vAlign w:val="center"/>
            <w:shd w:fill="F8FAFC"/>
          </w:tcPr>
          <w:p>
            <w:pPr>
              <w:spacing w:after="0" w:line="252" w:lineRule="auto"/>
            </w:pPr>
            <w:r>
              <w:rPr>
                <w:rFonts w:ascii="Calibri" w:hAnsi="Calibri"/>
                <w:b w:val="0"/>
                <w:i w:val="0"/>
                <w:color w:val="172033"/>
                <w:sz w:val="17"/>
              </w:rPr>
              <w:t>Context flow</w:t>
            </w:r>
          </w:p>
        </w:tc>
        <w:tc>
          <w:tcPr>
            <w:tcW w:type="dxa" w:w="2520"/>
            <w:vAlign w:val="center"/>
            <w:shd w:fill="F8FAFC"/>
          </w:tcPr>
          <w:p>
            <w:pPr>
              <w:spacing w:after="0" w:line="252" w:lineRule="auto"/>
            </w:pPr>
            <w:r>
              <w:rPr>
                <w:rFonts w:ascii="Calibri" w:hAnsi="Calibri"/>
                <w:b w:val="0"/>
                <w:i w:val="0"/>
                <w:color w:val="172033"/>
                <w:sz w:val="17"/>
              </w:rPr>
              <w:t>Project / Workspace → Runtime</w:t>
            </w:r>
          </w:p>
        </w:tc>
        <w:tc>
          <w:tcPr>
            <w:tcW w:type="dxa" w:w="5290"/>
            <w:vAlign w:val="center"/>
            <w:shd w:fill="F8FAFC"/>
          </w:tcPr>
          <w:p>
            <w:pPr>
              <w:spacing w:after="0" w:line="252" w:lineRule="auto"/>
            </w:pPr>
            <w:r>
              <w:rPr>
                <w:rFonts w:ascii="Calibri" w:hAnsi="Calibri"/>
                <w:b w:val="0"/>
                <w:i w:val="0"/>
                <w:color w:val="172033"/>
                <w:sz w:val="17"/>
              </w:rPr>
              <w:t>Approved files, prior decisions, client preferences, task history, and access-scoped memory.</w:t>
            </w:r>
          </w:p>
        </w:tc>
      </w:tr>
      <w:tr>
        <w:trPr>
          <w:cantSplit/>
        </w:trPr>
        <w:tc>
          <w:tcPr>
            <w:tcW w:type="dxa" w:w="1550"/>
            <w:vAlign w:val="center"/>
          </w:tcPr>
          <w:p>
            <w:pPr>
              <w:spacing w:after="0" w:line="252" w:lineRule="auto"/>
            </w:pPr>
            <w:r>
              <w:rPr>
                <w:rFonts w:ascii="Calibri" w:hAnsi="Calibri"/>
                <w:b w:val="0"/>
                <w:i w:val="0"/>
                <w:color w:val="172033"/>
                <w:sz w:val="17"/>
              </w:rPr>
              <w:t>Execution flow</w:t>
            </w:r>
          </w:p>
        </w:tc>
        <w:tc>
          <w:tcPr>
            <w:tcW w:type="dxa" w:w="2520"/>
            <w:vAlign w:val="center"/>
          </w:tcPr>
          <w:p>
            <w:pPr>
              <w:spacing w:after="0" w:line="252" w:lineRule="auto"/>
            </w:pPr>
            <w:r>
              <w:rPr>
                <w:rFonts w:ascii="Calibri" w:hAnsi="Calibri"/>
                <w:b w:val="0"/>
                <w:i w:val="0"/>
                <w:color w:val="172033"/>
                <w:sz w:val="17"/>
              </w:rPr>
              <w:t>Runtime → Tools / systems</w:t>
            </w:r>
          </w:p>
        </w:tc>
        <w:tc>
          <w:tcPr>
            <w:tcW w:type="dxa" w:w="5290"/>
            <w:vAlign w:val="center"/>
          </w:tcPr>
          <w:p>
            <w:pPr>
              <w:spacing w:after="0" w:line="252" w:lineRule="auto"/>
            </w:pPr>
            <w:r>
              <w:rPr>
                <w:rFonts w:ascii="Calibri" w:hAnsi="Calibri"/>
                <w:b w:val="0"/>
                <w:i w:val="0"/>
                <w:color w:val="172033"/>
                <w:sz w:val="17"/>
              </w:rPr>
              <w:t>Structured action request, scoped credentials, input files, validation rules, and idempotency key.</w:t>
            </w:r>
          </w:p>
        </w:tc>
      </w:tr>
      <w:tr>
        <w:trPr>
          <w:cantSplit/>
        </w:trPr>
        <w:tc>
          <w:tcPr>
            <w:tcW w:type="dxa" w:w="1550"/>
            <w:vAlign w:val="center"/>
            <w:shd w:fill="F8FAFC"/>
          </w:tcPr>
          <w:p>
            <w:pPr>
              <w:spacing w:after="0" w:line="252" w:lineRule="auto"/>
            </w:pPr>
            <w:r>
              <w:rPr>
                <w:rFonts w:ascii="Calibri" w:hAnsi="Calibri"/>
                <w:b w:val="0"/>
                <w:i w:val="0"/>
                <w:color w:val="172033"/>
                <w:sz w:val="17"/>
              </w:rPr>
              <w:t>Evidence flow</w:t>
            </w:r>
          </w:p>
        </w:tc>
        <w:tc>
          <w:tcPr>
            <w:tcW w:type="dxa" w:w="2520"/>
            <w:vAlign w:val="center"/>
            <w:shd w:fill="F8FAFC"/>
          </w:tcPr>
          <w:p>
            <w:pPr>
              <w:spacing w:after="0" w:line="252" w:lineRule="auto"/>
            </w:pPr>
            <w:r>
              <w:rPr>
                <w:rFonts w:ascii="Calibri" w:hAnsi="Calibri"/>
                <w:b w:val="0"/>
                <w:i w:val="0"/>
                <w:color w:val="172033"/>
                <w:sz w:val="17"/>
              </w:rPr>
              <w:t>Tools / systems → Event Stream</w:t>
            </w:r>
          </w:p>
        </w:tc>
        <w:tc>
          <w:tcPr>
            <w:tcW w:type="dxa" w:w="5290"/>
            <w:vAlign w:val="center"/>
            <w:shd w:fill="F8FAFC"/>
          </w:tcPr>
          <w:p>
            <w:pPr>
              <w:spacing w:after="0" w:line="252" w:lineRule="auto"/>
            </w:pPr>
            <w:r>
              <w:rPr>
                <w:rFonts w:ascii="Calibri" w:hAnsi="Calibri"/>
                <w:b w:val="0"/>
                <w:i w:val="0"/>
                <w:color w:val="172033"/>
                <w:sz w:val="17"/>
              </w:rPr>
              <w:t>Action result, source link, timestamp, output artifact, exception, retry status, and reviewer decision.</w:t>
            </w:r>
          </w:p>
        </w:tc>
      </w:tr>
      <w:tr>
        <w:trPr>
          <w:cantSplit/>
        </w:trPr>
        <w:tc>
          <w:tcPr>
            <w:tcW w:type="dxa" w:w="1550"/>
            <w:vAlign w:val="center"/>
          </w:tcPr>
          <w:p>
            <w:pPr>
              <w:spacing w:after="0" w:line="252" w:lineRule="auto"/>
            </w:pPr>
            <w:r>
              <w:rPr>
                <w:rFonts w:ascii="Calibri" w:hAnsi="Calibri"/>
                <w:b w:val="0"/>
                <w:i w:val="0"/>
                <w:color w:val="172033"/>
                <w:sz w:val="17"/>
              </w:rPr>
              <w:t>Delivery flow</w:t>
            </w:r>
          </w:p>
        </w:tc>
        <w:tc>
          <w:tcPr>
            <w:tcW w:type="dxa" w:w="2520"/>
            <w:vAlign w:val="center"/>
          </w:tcPr>
          <w:p>
            <w:pPr>
              <w:spacing w:after="0" w:line="252" w:lineRule="auto"/>
            </w:pPr>
            <w:r>
              <w:rPr>
                <w:rFonts w:ascii="Calibri" w:hAnsi="Calibri"/>
                <w:b w:val="0"/>
                <w:i w:val="0"/>
                <w:color w:val="172033"/>
                <w:sz w:val="17"/>
              </w:rPr>
              <w:t>Runtime → File management → Requester</w:t>
            </w:r>
          </w:p>
        </w:tc>
        <w:tc>
          <w:tcPr>
            <w:tcW w:type="dxa" w:w="5290"/>
            <w:vAlign w:val="center"/>
          </w:tcPr>
          <w:p>
            <w:pPr>
              <w:spacing w:after="0" w:line="252" w:lineRule="auto"/>
            </w:pPr>
            <w:r>
              <w:rPr>
                <w:rFonts w:ascii="Calibri" w:hAnsi="Calibri"/>
                <w:b w:val="0"/>
                <w:i w:val="0"/>
                <w:color w:val="172033"/>
                <w:sz w:val="17"/>
              </w:rPr>
              <w:t>Reviewed deliverable, version, approval record, storage location, delivery message, and acceptance status.</w:t>
            </w:r>
          </w:p>
        </w:tc>
      </w:tr>
      <w:tr>
        <w:trPr>
          <w:cantSplit/>
        </w:trPr>
        <w:tc>
          <w:tcPr>
            <w:tcW w:type="dxa" w:w="1550"/>
            <w:vAlign w:val="center"/>
            <w:shd w:fill="F8FAFC"/>
          </w:tcPr>
          <w:p>
            <w:pPr>
              <w:spacing w:after="0" w:line="252" w:lineRule="auto"/>
            </w:pPr>
            <w:r>
              <w:rPr>
                <w:rFonts w:ascii="Calibri" w:hAnsi="Calibri"/>
                <w:b w:val="0"/>
                <w:i w:val="0"/>
                <w:color w:val="172033"/>
                <w:sz w:val="17"/>
              </w:rPr>
              <w:t>Learning flow</w:t>
            </w:r>
          </w:p>
        </w:tc>
        <w:tc>
          <w:tcPr>
            <w:tcW w:type="dxa" w:w="2520"/>
            <w:vAlign w:val="center"/>
            <w:shd w:fill="F8FAFC"/>
          </w:tcPr>
          <w:p>
            <w:pPr>
              <w:spacing w:after="0" w:line="252" w:lineRule="auto"/>
            </w:pPr>
            <w:r>
              <w:rPr>
                <w:rFonts w:ascii="Calibri" w:hAnsi="Calibri"/>
                <w:b w:val="0"/>
                <w:i w:val="0"/>
                <w:color w:val="172033"/>
                <w:sz w:val="17"/>
              </w:rPr>
              <w:t>Completed task → Memory / Skills</w:t>
            </w:r>
          </w:p>
        </w:tc>
        <w:tc>
          <w:tcPr>
            <w:tcW w:type="dxa" w:w="5290"/>
            <w:vAlign w:val="center"/>
            <w:shd w:fill="F8FAFC"/>
          </w:tcPr>
          <w:p>
            <w:pPr>
              <w:spacing w:after="0" w:line="252" w:lineRule="auto"/>
            </w:pPr>
            <w:r>
              <w:rPr>
                <w:rFonts w:ascii="Calibri" w:hAnsi="Calibri"/>
                <w:b w:val="0"/>
                <w:i w:val="0"/>
                <w:color w:val="172033"/>
                <w:sz w:val="17"/>
              </w:rPr>
              <w:t>Outcome metrics, correction history, reusable steps, failure patterns, and proposed workflow update.</w:t>
            </w:r>
          </w:p>
        </w:tc>
      </w:tr>
    </w:tbl>
    <w:p>
      <w:pPr>
        <w:spacing w:after="40"/>
      </w:pPr>
    </w:p>
    <w:tbl>
      <w:tblPr>
        <w:tblW w:type="dxa" w:w="9360"/>
        <w:tblLayout w:type="fixed"/>
        <w:tblLook w:firstColumn="1" w:firstRow="1" w:lastColumn="0" w:lastRow="0" w:noHBand="0" w:noVBand="1" w:val="04A0"/>
        <w:tblInd w:w="120" w:type="dxa"/>
        <w:tblBorders>
          <w:top w:val="single" w:sz="10" w:color="F26B21"/>
          <w:left w:val="single" w:sz="10" w:color="F26B21"/>
          <w:bottom w:val="single" w:sz="10" w:color="F26B21"/>
          <w:right w:val="single" w:sz="10" w:color="F26B21"/>
          <w:insideH w:val="single" w:sz="10" w:color="F26B21"/>
          <w:insideV w:val="single" w:sz="10" w:color="F26B21"/>
        </w:tblBorders>
      </w:tblPr>
      <w:tblGrid>
        <w:gridCol w:w="9360"/>
      </w:tblGrid>
      <w:tr>
        <w:trPr>
          <w:cantSplit/>
        </w:trPr>
        <w:tc>
          <w:tcPr>
            <w:tcW w:type="dxa" w:w="9360"/>
            <w:tcMar>
              <w:top w:w="150" w:type="dxa"/>
              <w:start w:w="180" w:type="dxa"/>
              <w:bottom w:w="150" w:type="dxa"/>
              <w:end w:w="180" w:type="dxa"/>
            </w:tcMar>
            <w:shd w:fill="FFF3EA"/>
          </w:tcPr>
          <w:p>
            <w:pPr>
              <w:spacing w:after="0" w:line="264" w:lineRule="auto"/>
            </w:pPr>
            <w:r>
              <w:rPr>
                <w:rFonts w:ascii="Calibri" w:hAnsi="Calibri"/>
                <w:b/>
                <w:i w:val="0"/>
                <w:color w:val="F26B21"/>
                <w:sz w:val="20"/>
              </w:rPr>
              <w:t xml:space="preserve">Control principle  </w:t>
            </w:r>
            <w:r>
              <w:rPr>
                <w:rFonts w:ascii="Calibri" w:hAnsi="Calibri"/>
                <w:b w:val="0"/>
                <w:i w:val="0"/>
                <w:color w:val="172033"/>
                <w:sz w:val="20"/>
              </w:rPr>
              <w:t>No agent action receives more access than the requesting user or configured service role. High-impact steps—external submission, record updates, client delivery, or destructive changes—require explicit approval and are written to the event stream.</w:t>
            </w:r>
          </w:p>
        </w:tc>
      </w:tr>
    </w:tbl>
    <w:p>
      <w:pPr>
        <w:spacing w:after="20"/>
      </w:pPr>
    </w:p>
    <w:p>
      <w:r>
        <w:br w:type="page"/>
      </w:r>
    </w:p>
    <w:p>
      <w:pPr>
        <w:pStyle w:val="Heading1"/>
        <w:keepNext/>
      </w:pPr>
      <w:r>
        <w:t>6. Priority Use Cases</w:t>
      </w:r>
    </w:p>
    <w:p>
      <w:pPr>
        <w:pStyle w:val="Heading2"/>
        <w:keepNext/>
      </w:pPr>
      <w:r>
        <w:t>6.1 Client Onboarding and Due-Diligence Pack</w:t>
      </w:r>
    </w:p>
    <w:p>
      <w:pPr>
        <w:spacing w:before="0" w:after="120" w:line="264" w:lineRule="auto"/>
      </w:pPr>
      <w:r>
        <w:rPr>
          <w:rFonts w:ascii="Calibri" w:hAnsi="Calibri"/>
          <w:b/>
          <w:i w:val="0"/>
          <w:color w:val="0B2D5C"/>
          <w:sz w:val="21"/>
        </w:rPr>
        <w:t xml:space="preserve">Trigger. </w:t>
      </w:r>
      <w:r>
        <w:rPr>
          <w:rFonts w:ascii="Calibri" w:hAnsi="Calibri"/>
          <w:b w:val="0"/>
          <w:i w:val="0"/>
          <w:color w:val="172033"/>
          <w:sz w:val="21"/>
        </w:rPr>
        <w:t>An engagement manager forwards a signed proposal and asks the agent to open the engagement, collect missing onboarding information, and prepare the kickoff pack.</w:t>
      </w:r>
    </w:p>
    <w:p>
      <w:pPr>
        <w:keepNext w:val="0"/>
        <w:spacing w:before="0" w:after="120" w:line="264" w:lineRule="auto"/>
      </w:pPr>
      <w:r>
        <w:rPr>
          <w:rFonts w:ascii="Calibri" w:hAnsi="Calibri"/>
          <w:b w:val="0"/>
          <w:i w:val="0"/>
          <w:color w:val="172033"/>
          <w:sz w:val="21"/>
        </w:rPr>
        <w:t>The Main Agent identifies the client and service line, creates the Project and onboarding Topic, and loads the approved onboarding Skill. The runtime checks CRM and professional-services automation records, creates the document workspace, extracts dates and obligations, requests missing information, and drafts a kickoff presentation and responsibility matrix. The manager approves any system-of-record updates and the client-facing package before delivery.</w:t>
      </w:r>
    </w:p>
    <w:p>
      <w:pPr>
        <w:spacing w:before="0" w:after="120" w:line="264" w:lineRule="auto"/>
      </w:pPr>
      <w:r>
        <w:rPr>
          <w:rFonts w:ascii="Calibri" w:hAnsi="Calibri"/>
          <w:b/>
          <w:i w:val="0"/>
          <w:color w:val="0A8587"/>
          <w:sz w:val="21"/>
        </w:rPr>
        <w:t xml:space="preserve">Success evidence. </w:t>
      </w:r>
      <w:r>
        <w:rPr>
          <w:rFonts w:ascii="Calibri" w:hAnsi="Calibri"/>
          <w:b w:val="0"/>
          <w:i w:val="0"/>
          <w:color w:val="172033"/>
          <w:sz w:val="21"/>
        </w:rPr>
        <w:t>All mandatory fields are present; every extracted commitment links to its source; approvals are recorded; the final pack is stored under the correct engagement and delivered through the originating channel.</w:t>
      </w:r>
    </w:p>
    <w:p>
      <w:pPr>
        <w:pStyle w:val="Heading2"/>
        <w:keepNext/>
      </w:pPr>
      <w:r>
        <w:t>6.2 Weekly Program Status and Risk Review</w:t>
      </w:r>
    </w:p>
    <w:p>
      <w:pPr>
        <w:keepNext w:val="0"/>
        <w:spacing w:before="0" w:after="120" w:line="264" w:lineRule="auto"/>
      </w:pPr>
      <w:r>
        <w:rPr>
          <w:rFonts w:ascii="Calibri" w:hAnsi="Calibri"/>
          <w:b w:val="0"/>
          <w:i w:val="0"/>
          <w:color w:val="172033"/>
          <w:sz w:val="21"/>
        </w:rPr>
        <w:t>A scheduled task runs every Thursday. The Workflow Agent retrieves milestones, open actions, financial status, recent messages, and delivery artifacts from the approved systems. It compares current data with the prior week, identifies overdue items and emerging risks, asks owners for missing updates, and produces an internal review draft. After the program lead approves it, the solution generates the client-facing status deck, archives the source snapshot, and posts a delivery confirmation.</w:t>
      </w:r>
    </w:p>
    <w:p>
      <w:pPr>
        <w:spacing w:before="0" w:after="120" w:line="264" w:lineRule="auto"/>
      </w:pPr>
      <w:r>
        <w:rPr>
          <w:rFonts w:ascii="Calibri" w:hAnsi="Calibri"/>
          <w:b/>
          <w:i w:val="0"/>
          <w:color w:val="0A8587"/>
          <w:sz w:val="21"/>
        </w:rPr>
        <w:t xml:space="preserve">Success evidence. </w:t>
      </w:r>
      <w:r>
        <w:rPr>
          <w:rFonts w:ascii="Calibri" w:hAnsi="Calibri"/>
          <w:b w:val="0"/>
          <w:i w:val="0"/>
          <w:color w:val="172033"/>
          <w:sz w:val="21"/>
        </w:rPr>
        <w:t>Reported figures reconcile to source systems; changes are traceable; unresolved data gaps are visible rather than guessed; recurring generation completes within the agreed reporting window.</w:t>
      </w:r>
    </w:p>
    <w:p>
      <w:pPr>
        <w:pStyle w:val="Heading2"/>
        <w:keepNext/>
      </w:pPr>
      <w:r>
        <w:t>6.3 Proposal and Statement-of-Work Response</w:t>
      </w:r>
    </w:p>
    <w:p>
      <w:pPr>
        <w:keepNext w:val="0"/>
        <w:spacing w:before="0" w:after="120" w:line="264" w:lineRule="auto"/>
      </w:pPr>
      <w:r>
        <w:rPr>
          <w:rFonts w:ascii="Calibri" w:hAnsi="Calibri"/>
          <w:b w:val="0"/>
          <w:i w:val="0"/>
          <w:color w:val="172033"/>
          <w:sz w:val="21"/>
        </w:rPr>
        <w:t>A consultant submits an RFP through Slack. The agent creates a Topic, classifies mandatory requirements, locates approved credentials and prior examples, and assigns domain questions to specialists. It maintains a response matrix, drafts compliant sections, flags unsupported claims, and assembles a Word response plus pricing workbook. The pursuit lead controls final language and submission; the system preserves the source-to-claim trail and final approval record.</w:t>
      </w:r>
    </w:p>
    <w:p>
      <w:pPr>
        <w:spacing w:before="0" w:after="120" w:line="264" w:lineRule="auto"/>
      </w:pPr>
      <w:r>
        <w:rPr>
          <w:rFonts w:ascii="Calibri" w:hAnsi="Calibri"/>
          <w:b/>
          <w:i w:val="0"/>
          <w:color w:val="0A8587"/>
          <w:sz w:val="21"/>
        </w:rPr>
        <w:t xml:space="preserve">Success evidence. </w:t>
      </w:r>
      <w:r>
        <w:rPr>
          <w:rFonts w:ascii="Calibri" w:hAnsi="Calibri"/>
          <w:b w:val="0"/>
          <w:i w:val="0"/>
          <w:color w:val="172033"/>
          <w:sz w:val="21"/>
        </w:rPr>
        <w:t>Every requirement has an owner and disposition; no unsupported credential is inserted; versions remain synchronized; submission cannot occur without pursuit-lead approval.</w:t>
      </w:r>
    </w:p>
    <w:p>
      <w:r>
        <w:br w:type="page"/>
      </w:r>
    </w:p>
    <w:p>
      <w:pPr>
        <w:pStyle w:val="Heading1"/>
        <w:keepNext/>
      </w:pPr>
      <w:r>
        <w:t>7. Non-Functional Requirements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2200"/>
        <w:gridCol w:w="7160"/>
      </w:tblGrid>
      <w:tr>
        <w:trPr>
          <w:tblHeader w:val="true"/>
          <w:cantSplit/>
        </w:trPr>
        <w:tc>
          <w:tcPr>
            <w:tcW w:type="dxa" w:w="22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Requirement</w:t>
            </w:r>
          </w:p>
        </w:tc>
        <w:tc>
          <w:tcPr>
            <w:tcW w:type="dxa" w:w="7160"/>
            <w:tcMar>
              <w:top w:w="100" w:type="dxa"/>
              <w:start w:w="120" w:type="dxa"/>
              <w:bottom w:w="100" w:type="dxa"/>
              <w:end w:w="120" w:type="dxa"/>
            </w:tcMar>
            <w:shd w:fill="0B2D5C"/>
            <w:vAlign w:val="center"/>
          </w:tcPr>
          <w:p>
            <w:pPr>
              <w:spacing w:after="0" w:line="240" w:lineRule="auto"/>
            </w:pPr>
            <w:r>
              <w:rPr>
                <w:rFonts w:ascii="Calibri" w:hAnsi="Calibri"/>
                <w:b/>
                <w:i w:val="0"/>
                <w:color w:val="FFFFFF"/>
                <w:sz w:val="18"/>
              </w:rPr>
              <w:t>Minimum expectation</w:t>
            </w:r>
          </w:p>
        </w:tc>
      </w:tr>
      <w:tr>
        <w:trPr>
          <w:cantSplit/>
        </w:trPr>
        <w:tc>
          <w:tcPr>
            <w:tcW w:type="dxa" w:w="2200"/>
            <w:vAlign w:val="center"/>
          </w:tcPr>
          <w:p>
            <w:pPr>
              <w:spacing w:after="0" w:line="252" w:lineRule="auto"/>
            </w:pPr>
            <w:r>
              <w:rPr>
                <w:rFonts w:ascii="Calibri" w:hAnsi="Calibri"/>
                <w:b w:val="0"/>
                <w:i w:val="0"/>
                <w:color w:val="172033"/>
                <w:sz w:val="18"/>
              </w:rPr>
              <w:t>Security &amp; access</w:t>
            </w:r>
          </w:p>
        </w:tc>
        <w:tc>
          <w:tcPr>
            <w:tcW w:type="dxa" w:w="7160"/>
            <w:vAlign w:val="center"/>
          </w:tcPr>
          <w:p>
            <w:pPr>
              <w:spacing w:after="0" w:line="252" w:lineRule="auto"/>
            </w:pPr>
            <w:r>
              <w:rPr>
                <w:rFonts w:ascii="Calibri" w:hAnsi="Calibri"/>
                <w:b w:val="0"/>
                <w:i w:val="0"/>
                <w:color w:val="172033"/>
                <w:sz w:val="18"/>
              </w:rPr>
              <w:t>SSO, role-based access, scoped connectors, secrets isolation, and tenant/project boundaries.</w:t>
            </w:r>
          </w:p>
        </w:tc>
      </w:tr>
      <w:tr>
        <w:trPr>
          <w:cantSplit/>
        </w:trPr>
        <w:tc>
          <w:tcPr>
            <w:tcW w:type="dxa" w:w="2200"/>
            <w:vAlign w:val="center"/>
            <w:shd w:fill="F8FAFC"/>
          </w:tcPr>
          <w:p>
            <w:pPr>
              <w:spacing w:after="0" w:line="252" w:lineRule="auto"/>
            </w:pPr>
            <w:r>
              <w:rPr>
                <w:rFonts w:ascii="Calibri" w:hAnsi="Calibri"/>
                <w:b w:val="0"/>
                <w:i w:val="0"/>
                <w:color w:val="172033"/>
                <w:sz w:val="18"/>
              </w:rPr>
              <w:t>Auditability</w:t>
            </w:r>
          </w:p>
        </w:tc>
        <w:tc>
          <w:tcPr>
            <w:tcW w:type="dxa" w:w="7160"/>
            <w:vAlign w:val="center"/>
            <w:shd w:fill="F8FAFC"/>
          </w:tcPr>
          <w:p>
            <w:pPr>
              <w:spacing w:after="0" w:line="252" w:lineRule="auto"/>
            </w:pPr>
            <w:r>
              <w:rPr>
                <w:rFonts w:ascii="Calibri" w:hAnsi="Calibri"/>
                <w:b w:val="0"/>
                <w:i w:val="0"/>
                <w:color w:val="172033"/>
                <w:sz w:val="18"/>
              </w:rPr>
              <w:t>Immutable event history for tool calls, source references, approvals, retries, generated files, and delivery actions.</w:t>
            </w:r>
          </w:p>
        </w:tc>
      </w:tr>
      <w:tr>
        <w:trPr>
          <w:cantSplit/>
        </w:trPr>
        <w:tc>
          <w:tcPr>
            <w:tcW w:type="dxa" w:w="2200"/>
            <w:vAlign w:val="center"/>
          </w:tcPr>
          <w:p>
            <w:pPr>
              <w:spacing w:after="0" w:line="252" w:lineRule="auto"/>
            </w:pPr>
            <w:r>
              <w:rPr>
                <w:rFonts w:ascii="Calibri" w:hAnsi="Calibri"/>
                <w:b w:val="0"/>
                <w:i w:val="0"/>
                <w:color w:val="172033"/>
                <w:sz w:val="18"/>
              </w:rPr>
              <w:t>Reliability</w:t>
            </w:r>
          </w:p>
        </w:tc>
        <w:tc>
          <w:tcPr>
            <w:tcW w:type="dxa" w:w="7160"/>
            <w:vAlign w:val="center"/>
          </w:tcPr>
          <w:p>
            <w:pPr>
              <w:spacing w:after="0" w:line="252" w:lineRule="auto"/>
            </w:pPr>
            <w:r>
              <w:rPr>
                <w:rFonts w:ascii="Calibri" w:hAnsi="Calibri"/>
                <w:b w:val="0"/>
                <w:i w:val="0"/>
                <w:color w:val="172033"/>
                <w:sz w:val="18"/>
              </w:rPr>
              <w:t>Checkpointed long-running tasks, safe retry behavior, duplicate prevention, timeout handling, and human escalation.</w:t>
            </w:r>
          </w:p>
        </w:tc>
      </w:tr>
      <w:tr>
        <w:trPr>
          <w:cantSplit/>
        </w:trPr>
        <w:tc>
          <w:tcPr>
            <w:tcW w:type="dxa" w:w="2200"/>
            <w:vAlign w:val="center"/>
            <w:shd w:fill="F8FAFC"/>
          </w:tcPr>
          <w:p>
            <w:pPr>
              <w:spacing w:after="0" w:line="252" w:lineRule="auto"/>
            </w:pPr>
            <w:r>
              <w:rPr>
                <w:rFonts w:ascii="Calibri" w:hAnsi="Calibri"/>
                <w:b w:val="0"/>
                <w:i w:val="0"/>
                <w:color w:val="172033"/>
                <w:sz w:val="18"/>
              </w:rPr>
              <w:t>Data governance</w:t>
            </w:r>
          </w:p>
        </w:tc>
        <w:tc>
          <w:tcPr>
            <w:tcW w:type="dxa" w:w="7160"/>
            <w:vAlign w:val="center"/>
            <w:shd w:fill="F8FAFC"/>
          </w:tcPr>
          <w:p>
            <w:pPr>
              <w:spacing w:after="0" w:line="252" w:lineRule="auto"/>
            </w:pPr>
            <w:r>
              <w:rPr>
                <w:rFonts w:ascii="Calibri" w:hAnsi="Calibri"/>
                <w:b w:val="0"/>
                <w:i w:val="0"/>
                <w:color w:val="172033"/>
                <w:sz w:val="18"/>
              </w:rPr>
              <w:t>Configurable retention, regional storage policy, sensitive-data redaction, deletion workflow, and memory opt-out.</w:t>
            </w:r>
          </w:p>
        </w:tc>
      </w:tr>
      <w:tr>
        <w:trPr>
          <w:cantSplit/>
        </w:trPr>
        <w:tc>
          <w:tcPr>
            <w:tcW w:type="dxa" w:w="2200"/>
            <w:vAlign w:val="center"/>
          </w:tcPr>
          <w:p>
            <w:pPr>
              <w:spacing w:after="0" w:line="252" w:lineRule="auto"/>
            </w:pPr>
            <w:r>
              <w:rPr>
                <w:rFonts w:ascii="Calibri" w:hAnsi="Calibri"/>
                <w:b w:val="0"/>
                <w:i w:val="0"/>
                <w:color w:val="172033"/>
                <w:sz w:val="18"/>
              </w:rPr>
              <w:t>Quality</w:t>
            </w:r>
          </w:p>
        </w:tc>
        <w:tc>
          <w:tcPr>
            <w:tcW w:type="dxa" w:w="7160"/>
            <w:vAlign w:val="center"/>
          </w:tcPr>
          <w:p>
            <w:pPr>
              <w:spacing w:after="0" w:line="252" w:lineRule="auto"/>
            </w:pPr>
            <w:r>
              <w:rPr>
                <w:rFonts w:ascii="Calibri" w:hAnsi="Calibri"/>
                <w:b w:val="0"/>
                <w:i w:val="0"/>
                <w:color w:val="172033"/>
                <w:sz w:val="18"/>
              </w:rPr>
              <w:t>Task-specific validation, required-source checks, reviewer gates, output templates, and acceptance feedback capture.</w:t>
            </w:r>
          </w:p>
        </w:tc>
      </w:tr>
      <w:tr>
        <w:trPr>
          <w:cantSplit/>
        </w:trPr>
        <w:tc>
          <w:tcPr>
            <w:tcW w:type="dxa" w:w="2200"/>
            <w:vAlign w:val="center"/>
            <w:shd w:fill="F8FAFC"/>
          </w:tcPr>
          <w:p>
            <w:pPr>
              <w:spacing w:after="0" w:line="252" w:lineRule="auto"/>
            </w:pPr>
            <w:r>
              <w:rPr>
                <w:rFonts w:ascii="Calibri" w:hAnsi="Calibri"/>
                <w:b w:val="0"/>
                <w:i w:val="0"/>
                <w:color w:val="172033"/>
                <w:sz w:val="18"/>
              </w:rPr>
              <w:t>Operations</w:t>
            </w:r>
          </w:p>
        </w:tc>
        <w:tc>
          <w:tcPr>
            <w:tcW w:type="dxa" w:w="7160"/>
            <w:vAlign w:val="center"/>
            <w:shd w:fill="F8FAFC"/>
          </w:tcPr>
          <w:p>
            <w:pPr>
              <w:spacing w:after="0" w:line="252" w:lineRule="auto"/>
            </w:pPr>
            <w:r>
              <w:rPr>
                <w:rFonts w:ascii="Calibri" w:hAnsi="Calibri"/>
                <w:b w:val="0"/>
                <w:i w:val="0"/>
                <w:color w:val="172033"/>
                <w:sz w:val="18"/>
              </w:rPr>
              <w:t>Health monitoring, queue visibility, cost and latency reporting, incident ownership, and controlled Skill releases.</w:t>
            </w:r>
          </w:p>
        </w:tc>
      </w:tr>
    </w:tbl>
    <w:p>
      <w:pPr>
        <w:spacing w:after="40"/>
      </w:pPr>
    </w:p>
    <w:p>
      <w:pPr>
        <w:pStyle w:val="Heading1"/>
        <w:keepNext/>
      </w:pPr>
      <w:r>
        <w:t>8. Implementation Approach</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1500"/>
        <w:gridCol w:w="1100"/>
        <w:gridCol w:w="4420"/>
        <w:gridCol w:w="2340"/>
      </w:tblGrid>
      <w:tr>
        <w:trPr>
          <w:tblHeader w:val="true"/>
          <w:cantSplit/>
        </w:trPr>
        <w:tc>
          <w:tcPr>
            <w:tcW w:type="dxa" w:w="15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Phase</w:t>
            </w:r>
          </w:p>
        </w:tc>
        <w:tc>
          <w:tcPr>
            <w:tcW w:type="dxa" w:w="11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Timing</w:t>
            </w:r>
          </w:p>
        </w:tc>
        <w:tc>
          <w:tcPr>
            <w:tcW w:type="dxa" w:w="442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Scope</w:t>
            </w:r>
          </w:p>
        </w:tc>
        <w:tc>
          <w:tcPr>
            <w:tcW w:type="dxa" w:w="234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Exit condition</w:t>
            </w:r>
          </w:p>
        </w:tc>
      </w:tr>
      <w:tr>
        <w:trPr>
          <w:cantSplit/>
        </w:trPr>
        <w:tc>
          <w:tcPr>
            <w:tcW w:type="dxa" w:w="1500"/>
            <w:vAlign w:val="center"/>
          </w:tcPr>
          <w:p>
            <w:pPr>
              <w:spacing w:after="0" w:line="252" w:lineRule="auto"/>
            </w:pPr>
            <w:r>
              <w:rPr>
                <w:rFonts w:ascii="Calibri" w:hAnsi="Calibri"/>
                <w:b w:val="0"/>
                <w:i w:val="0"/>
                <w:color w:val="172033"/>
                <w:sz w:val="17"/>
              </w:rPr>
              <w:t>0. Mobilize</w:t>
            </w:r>
          </w:p>
        </w:tc>
        <w:tc>
          <w:tcPr>
            <w:tcW w:type="dxa" w:w="1100"/>
            <w:vAlign w:val="center"/>
          </w:tcPr>
          <w:p>
            <w:pPr>
              <w:spacing w:after="0" w:line="252" w:lineRule="auto"/>
            </w:pPr>
            <w:r>
              <w:rPr>
                <w:rFonts w:ascii="Calibri" w:hAnsi="Calibri"/>
                <w:b w:val="0"/>
                <w:i w:val="0"/>
                <w:color w:val="172033"/>
                <w:sz w:val="17"/>
              </w:rPr>
              <w:t>Week 0–1</w:t>
            </w:r>
          </w:p>
        </w:tc>
        <w:tc>
          <w:tcPr>
            <w:tcW w:type="dxa" w:w="4420"/>
            <w:vAlign w:val="center"/>
          </w:tcPr>
          <w:p>
            <w:pPr>
              <w:spacing w:after="0" w:line="252" w:lineRule="auto"/>
            </w:pPr>
            <w:r>
              <w:rPr>
                <w:rFonts w:ascii="Calibri" w:hAnsi="Calibri"/>
                <w:b w:val="0"/>
                <w:i w:val="0"/>
                <w:color w:val="172033"/>
                <w:sz w:val="17"/>
              </w:rPr>
              <w:t>Confirm sponsor, pilot team, systems, data boundaries, target workflow, and baseline measures.</w:t>
            </w:r>
          </w:p>
        </w:tc>
        <w:tc>
          <w:tcPr>
            <w:tcW w:type="dxa" w:w="2340"/>
            <w:vAlign w:val="center"/>
          </w:tcPr>
          <w:p>
            <w:pPr>
              <w:spacing w:after="0" w:line="252" w:lineRule="auto"/>
            </w:pPr>
            <w:r>
              <w:rPr>
                <w:rFonts w:ascii="Calibri" w:hAnsi="Calibri"/>
                <w:b w:val="0"/>
                <w:i w:val="0"/>
                <w:color w:val="172033"/>
                <w:sz w:val="17"/>
              </w:rPr>
              <w:t>Signed pilot charter and approved control model.</w:t>
            </w:r>
          </w:p>
        </w:tc>
      </w:tr>
      <w:tr>
        <w:trPr>
          <w:cantSplit/>
        </w:trPr>
        <w:tc>
          <w:tcPr>
            <w:tcW w:type="dxa" w:w="1500"/>
            <w:vAlign w:val="center"/>
            <w:shd w:fill="F8FAFC"/>
          </w:tcPr>
          <w:p>
            <w:pPr>
              <w:spacing w:after="0" w:line="252" w:lineRule="auto"/>
            </w:pPr>
            <w:r>
              <w:rPr>
                <w:rFonts w:ascii="Calibri" w:hAnsi="Calibri"/>
                <w:b w:val="0"/>
                <w:i w:val="0"/>
                <w:color w:val="172033"/>
                <w:sz w:val="17"/>
              </w:rPr>
              <w:t>1. Foundation</w:t>
            </w:r>
          </w:p>
        </w:tc>
        <w:tc>
          <w:tcPr>
            <w:tcW w:type="dxa" w:w="1100"/>
            <w:vAlign w:val="center"/>
            <w:shd w:fill="F8FAFC"/>
          </w:tcPr>
          <w:p>
            <w:pPr>
              <w:spacing w:after="0" w:line="252" w:lineRule="auto"/>
            </w:pPr>
            <w:r>
              <w:rPr>
                <w:rFonts w:ascii="Calibri" w:hAnsi="Calibri"/>
                <w:b w:val="0"/>
                <w:i w:val="0"/>
                <w:color w:val="172033"/>
                <w:sz w:val="17"/>
              </w:rPr>
              <w:t>Week 1–3</w:t>
            </w:r>
          </w:p>
        </w:tc>
        <w:tc>
          <w:tcPr>
            <w:tcW w:type="dxa" w:w="4420"/>
            <w:vAlign w:val="center"/>
            <w:shd w:fill="F8FAFC"/>
          </w:tcPr>
          <w:p>
            <w:pPr>
              <w:spacing w:after="0" w:line="252" w:lineRule="auto"/>
            </w:pPr>
            <w:r>
              <w:rPr>
                <w:rFonts w:ascii="Calibri" w:hAnsi="Calibri"/>
                <w:b w:val="0"/>
                <w:i w:val="0"/>
                <w:color w:val="172033"/>
                <w:sz w:val="17"/>
              </w:rPr>
              <w:t>Configure identity, messaging entry, project/task containers, event logging, file workspace, and two read-only connectors.</w:t>
            </w:r>
          </w:p>
        </w:tc>
        <w:tc>
          <w:tcPr>
            <w:tcW w:type="dxa" w:w="2340"/>
            <w:vAlign w:val="center"/>
            <w:shd w:fill="F8FAFC"/>
          </w:tcPr>
          <w:p>
            <w:pPr>
              <w:spacing w:after="0" w:line="252" w:lineRule="auto"/>
            </w:pPr>
            <w:r>
              <w:rPr>
                <w:rFonts w:ascii="Calibri" w:hAnsi="Calibri"/>
                <w:b w:val="0"/>
                <w:i w:val="0"/>
                <w:color w:val="172033"/>
                <w:sz w:val="17"/>
              </w:rPr>
              <w:t>Requests can be routed and traced end to end in a test environment.</w:t>
            </w:r>
          </w:p>
        </w:tc>
      </w:tr>
      <w:tr>
        <w:trPr>
          <w:cantSplit/>
        </w:trPr>
        <w:tc>
          <w:tcPr>
            <w:tcW w:type="dxa" w:w="1500"/>
            <w:vAlign w:val="center"/>
          </w:tcPr>
          <w:p>
            <w:pPr>
              <w:spacing w:after="0" w:line="252" w:lineRule="auto"/>
            </w:pPr>
            <w:r>
              <w:rPr>
                <w:rFonts w:ascii="Calibri" w:hAnsi="Calibri"/>
                <w:b w:val="0"/>
                <w:i w:val="0"/>
                <w:color w:val="172033"/>
                <w:sz w:val="17"/>
              </w:rPr>
              <w:t>2. Guided pilot</w:t>
            </w:r>
          </w:p>
        </w:tc>
        <w:tc>
          <w:tcPr>
            <w:tcW w:type="dxa" w:w="1100"/>
            <w:vAlign w:val="center"/>
          </w:tcPr>
          <w:p>
            <w:pPr>
              <w:spacing w:after="0" w:line="252" w:lineRule="auto"/>
            </w:pPr>
            <w:r>
              <w:rPr>
                <w:rFonts w:ascii="Calibri" w:hAnsi="Calibri"/>
                <w:b w:val="0"/>
                <w:i w:val="0"/>
                <w:color w:val="172033"/>
                <w:sz w:val="17"/>
              </w:rPr>
              <w:t>Week 3–6</w:t>
            </w:r>
          </w:p>
        </w:tc>
        <w:tc>
          <w:tcPr>
            <w:tcW w:type="dxa" w:w="4420"/>
            <w:vAlign w:val="center"/>
          </w:tcPr>
          <w:p>
            <w:pPr>
              <w:spacing w:after="0" w:line="252" w:lineRule="auto"/>
            </w:pPr>
            <w:r>
              <w:rPr>
                <w:rFonts w:ascii="Calibri" w:hAnsi="Calibri"/>
                <w:b w:val="0"/>
                <w:i w:val="0"/>
                <w:color w:val="172033"/>
                <w:sz w:val="17"/>
              </w:rPr>
              <w:t>Launch client onboarding use case with human approvals at planning, record update, and delivery.</w:t>
            </w:r>
          </w:p>
        </w:tc>
        <w:tc>
          <w:tcPr>
            <w:tcW w:type="dxa" w:w="2340"/>
            <w:vAlign w:val="center"/>
          </w:tcPr>
          <w:p>
            <w:pPr>
              <w:spacing w:after="0" w:line="252" w:lineRule="auto"/>
            </w:pPr>
            <w:r>
              <w:rPr>
                <w:rFonts w:ascii="Calibri" w:hAnsi="Calibri"/>
                <w:b w:val="0"/>
                <w:i w:val="0"/>
                <w:color w:val="172033"/>
                <w:sz w:val="17"/>
              </w:rPr>
              <w:t>Twenty representative tasks complete with acceptable quality and no critical control failure.</w:t>
            </w:r>
          </w:p>
        </w:tc>
      </w:tr>
      <w:tr>
        <w:trPr>
          <w:cantSplit/>
        </w:trPr>
        <w:tc>
          <w:tcPr>
            <w:tcW w:type="dxa" w:w="1500"/>
            <w:vAlign w:val="center"/>
            <w:shd w:fill="F8FAFC"/>
          </w:tcPr>
          <w:p>
            <w:pPr>
              <w:spacing w:after="0" w:line="252" w:lineRule="auto"/>
            </w:pPr>
            <w:r>
              <w:rPr>
                <w:rFonts w:ascii="Calibri" w:hAnsi="Calibri"/>
                <w:b w:val="0"/>
                <w:i w:val="0"/>
                <w:color w:val="172033"/>
                <w:sz w:val="17"/>
              </w:rPr>
              <w:t>3. Workflow hardening</w:t>
            </w:r>
          </w:p>
        </w:tc>
        <w:tc>
          <w:tcPr>
            <w:tcW w:type="dxa" w:w="1100"/>
            <w:vAlign w:val="center"/>
            <w:shd w:fill="F8FAFC"/>
          </w:tcPr>
          <w:p>
            <w:pPr>
              <w:spacing w:after="0" w:line="252" w:lineRule="auto"/>
            </w:pPr>
            <w:r>
              <w:rPr>
                <w:rFonts w:ascii="Calibri" w:hAnsi="Calibri"/>
                <w:b w:val="0"/>
                <w:i w:val="0"/>
                <w:color w:val="172033"/>
                <w:sz w:val="17"/>
              </w:rPr>
              <w:t>Week 6–8</w:t>
            </w:r>
          </w:p>
        </w:tc>
        <w:tc>
          <w:tcPr>
            <w:tcW w:type="dxa" w:w="4420"/>
            <w:vAlign w:val="center"/>
            <w:shd w:fill="F8FAFC"/>
          </w:tcPr>
          <w:p>
            <w:pPr>
              <w:spacing w:after="0" w:line="252" w:lineRule="auto"/>
            </w:pPr>
            <w:r>
              <w:rPr>
                <w:rFonts w:ascii="Calibri" w:hAnsi="Calibri"/>
                <w:b w:val="0"/>
                <w:i w:val="0"/>
                <w:color w:val="172033"/>
                <w:sz w:val="17"/>
              </w:rPr>
              <w:t>Add retries, exception handling, reporting workflow, reusable Skills, dashboards, and operating procedures.</w:t>
            </w:r>
          </w:p>
        </w:tc>
        <w:tc>
          <w:tcPr>
            <w:tcW w:type="dxa" w:w="2340"/>
            <w:vAlign w:val="center"/>
            <w:shd w:fill="F8FAFC"/>
          </w:tcPr>
          <w:p>
            <w:pPr>
              <w:spacing w:after="0" w:line="252" w:lineRule="auto"/>
            </w:pPr>
            <w:r>
              <w:rPr>
                <w:rFonts w:ascii="Calibri" w:hAnsi="Calibri"/>
                <w:b w:val="0"/>
                <w:i w:val="0"/>
                <w:color w:val="172033"/>
                <w:sz w:val="17"/>
              </w:rPr>
              <w:t>Pilot team can run weekly work without solution-engineer accompaniment.</w:t>
            </w:r>
          </w:p>
        </w:tc>
      </w:tr>
      <w:tr>
        <w:trPr>
          <w:cantSplit/>
        </w:trPr>
        <w:tc>
          <w:tcPr>
            <w:tcW w:type="dxa" w:w="1500"/>
            <w:vAlign w:val="center"/>
          </w:tcPr>
          <w:p>
            <w:pPr>
              <w:spacing w:after="0" w:line="252" w:lineRule="auto"/>
            </w:pPr>
            <w:r>
              <w:rPr>
                <w:rFonts w:ascii="Calibri" w:hAnsi="Calibri"/>
                <w:b w:val="0"/>
                <w:i w:val="0"/>
                <w:color w:val="172033"/>
                <w:sz w:val="17"/>
              </w:rPr>
              <w:t>4. Scale decision</w:t>
            </w:r>
          </w:p>
        </w:tc>
        <w:tc>
          <w:tcPr>
            <w:tcW w:type="dxa" w:w="1100"/>
            <w:vAlign w:val="center"/>
          </w:tcPr>
          <w:p>
            <w:pPr>
              <w:spacing w:after="0" w:line="252" w:lineRule="auto"/>
            </w:pPr>
            <w:r>
              <w:rPr>
                <w:rFonts w:ascii="Calibri" w:hAnsi="Calibri"/>
                <w:b w:val="0"/>
                <w:i w:val="0"/>
                <w:color w:val="172033"/>
                <w:sz w:val="17"/>
              </w:rPr>
              <w:t>End of Week 8</w:t>
            </w:r>
          </w:p>
        </w:tc>
        <w:tc>
          <w:tcPr>
            <w:tcW w:type="dxa" w:w="4420"/>
            <w:vAlign w:val="center"/>
          </w:tcPr>
          <w:p>
            <w:pPr>
              <w:spacing w:after="0" w:line="252" w:lineRule="auto"/>
            </w:pPr>
            <w:r>
              <w:rPr>
                <w:rFonts w:ascii="Calibri" w:hAnsi="Calibri"/>
                <w:b w:val="0"/>
                <w:i w:val="0"/>
                <w:color w:val="172033"/>
                <w:sz w:val="17"/>
              </w:rPr>
              <w:t>Review adoption, accuracy, control performance, business impact, and connector roadmap.</w:t>
            </w:r>
          </w:p>
        </w:tc>
        <w:tc>
          <w:tcPr>
            <w:tcW w:type="dxa" w:w="2340"/>
            <w:vAlign w:val="center"/>
          </w:tcPr>
          <w:p>
            <w:pPr>
              <w:spacing w:after="0" w:line="252" w:lineRule="auto"/>
            </w:pPr>
            <w:r>
              <w:rPr>
                <w:rFonts w:ascii="Calibri" w:hAnsi="Calibri"/>
                <w:b w:val="0"/>
                <w:i w:val="0"/>
                <w:color w:val="172033"/>
                <w:sz w:val="17"/>
              </w:rPr>
              <w:t>Go / revise / stop decision with named owners and funded next scope.</w:t>
            </w:r>
          </w:p>
        </w:tc>
      </w:tr>
    </w:tbl>
    <w:p>
      <w:pPr>
        <w:spacing w:after="40"/>
      </w:pPr>
    </w:p>
    <w:p>
      <w:r>
        <w:br w:type="page"/>
      </w:r>
    </w:p>
    <w:p>
      <w:pPr>
        <w:pStyle w:val="Heading1"/>
        <w:keepNext/>
      </w:pPr>
      <w:r>
        <w:t>9. Success Measures</w:t>
      </w:r>
    </w:p>
    <w:p>
      <w:pPr>
        <w:keepNext w:val="0"/>
        <w:spacing w:before="0" w:after="120" w:line="264" w:lineRule="auto"/>
      </w:pPr>
      <w:r>
        <w:rPr>
          <w:rFonts w:ascii="Calibri" w:hAnsi="Calibri"/>
          <w:b w:val="0"/>
          <w:i w:val="0"/>
          <w:color w:val="172033"/>
          <w:sz w:val="21"/>
        </w:rPr>
        <w:t>The following are pilot targets, not claimed current results. Baselines should be measured during mobilization and the final thresholds agreed with the sponsor.</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2250"/>
        <w:gridCol w:w="2200"/>
        <w:gridCol w:w="4910"/>
      </w:tblGrid>
      <w:tr>
        <w:trPr>
          <w:tblHeader w:val="true"/>
          <w:cantSplit/>
        </w:trPr>
        <w:tc>
          <w:tcPr>
            <w:tcW w:type="dxa" w:w="225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Measure</w:t>
            </w:r>
          </w:p>
        </w:tc>
        <w:tc>
          <w:tcPr>
            <w:tcW w:type="dxa" w:w="220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Pilot target</w:t>
            </w:r>
          </w:p>
        </w:tc>
        <w:tc>
          <w:tcPr>
            <w:tcW w:type="dxa" w:w="491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How it is measured</w:t>
            </w:r>
          </w:p>
        </w:tc>
      </w:tr>
      <w:tr>
        <w:trPr>
          <w:cantSplit/>
        </w:trPr>
        <w:tc>
          <w:tcPr>
            <w:tcW w:type="dxa" w:w="2250"/>
            <w:vAlign w:val="center"/>
          </w:tcPr>
          <w:p>
            <w:pPr>
              <w:spacing w:after="0" w:line="252" w:lineRule="auto"/>
            </w:pPr>
            <w:r>
              <w:rPr>
                <w:rFonts w:ascii="Calibri" w:hAnsi="Calibri"/>
                <w:b w:val="0"/>
                <w:i w:val="0"/>
                <w:color w:val="172033"/>
                <w:sz w:val="17"/>
              </w:rPr>
              <w:t>Request-to-task capture</w:t>
            </w:r>
          </w:p>
        </w:tc>
        <w:tc>
          <w:tcPr>
            <w:tcW w:type="dxa" w:w="2200"/>
            <w:vAlign w:val="center"/>
          </w:tcPr>
          <w:p>
            <w:pPr>
              <w:spacing w:after="0" w:line="252" w:lineRule="auto"/>
            </w:pPr>
            <w:r>
              <w:rPr>
                <w:rFonts w:ascii="Calibri" w:hAnsi="Calibri"/>
                <w:b w:val="0"/>
                <w:i w:val="0"/>
                <w:color w:val="172033"/>
                <w:sz w:val="17"/>
              </w:rPr>
              <w:t>≥ 90% of eligible requests</w:t>
            </w:r>
          </w:p>
        </w:tc>
        <w:tc>
          <w:tcPr>
            <w:tcW w:type="dxa" w:w="4910"/>
            <w:vAlign w:val="center"/>
          </w:tcPr>
          <w:p>
            <w:pPr>
              <w:spacing w:after="0" w:line="252" w:lineRule="auto"/>
            </w:pPr>
            <w:r>
              <w:rPr>
                <w:rFonts w:ascii="Calibri" w:hAnsi="Calibri"/>
                <w:b w:val="0"/>
                <w:i w:val="0"/>
                <w:color w:val="172033"/>
                <w:sz w:val="17"/>
              </w:rPr>
              <w:t>Eligible requests resulting in a correctly linked Topic within the reporting period.</w:t>
            </w:r>
          </w:p>
        </w:tc>
      </w:tr>
      <w:tr>
        <w:trPr>
          <w:cantSplit/>
        </w:trPr>
        <w:tc>
          <w:tcPr>
            <w:tcW w:type="dxa" w:w="2250"/>
            <w:vAlign w:val="center"/>
            <w:shd w:fill="F8FAFC"/>
          </w:tcPr>
          <w:p>
            <w:pPr>
              <w:spacing w:after="0" w:line="252" w:lineRule="auto"/>
            </w:pPr>
            <w:r>
              <w:rPr>
                <w:rFonts w:ascii="Calibri" w:hAnsi="Calibri"/>
                <w:b w:val="0"/>
                <w:i w:val="0"/>
                <w:color w:val="172033"/>
                <w:sz w:val="17"/>
              </w:rPr>
              <w:t>Routing speed</w:t>
            </w:r>
          </w:p>
        </w:tc>
        <w:tc>
          <w:tcPr>
            <w:tcW w:type="dxa" w:w="2200"/>
            <w:vAlign w:val="center"/>
            <w:shd w:fill="F8FAFC"/>
          </w:tcPr>
          <w:p>
            <w:pPr>
              <w:spacing w:after="0" w:line="252" w:lineRule="auto"/>
            </w:pPr>
            <w:r>
              <w:rPr>
                <w:rFonts w:ascii="Calibri" w:hAnsi="Calibri"/>
                <w:b w:val="0"/>
                <w:i w:val="0"/>
                <w:color w:val="172033"/>
                <w:sz w:val="17"/>
              </w:rPr>
              <w:t>Median &lt; 15 minutes</w:t>
            </w:r>
          </w:p>
        </w:tc>
        <w:tc>
          <w:tcPr>
            <w:tcW w:type="dxa" w:w="4910"/>
            <w:vAlign w:val="center"/>
            <w:shd w:fill="F8FAFC"/>
          </w:tcPr>
          <w:p>
            <w:pPr>
              <w:spacing w:after="0" w:line="252" w:lineRule="auto"/>
            </w:pPr>
            <w:r>
              <w:rPr>
                <w:rFonts w:ascii="Calibri" w:hAnsi="Calibri"/>
                <w:b w:val="0"/>
                <w:i w:val="0"/>
                <w:color w:val="172033"/>
                <w:sz w:val="17"/>
              </w:rPr>
              <w:t>Time from inbound request to assigned task owner or clarification request.</w:t>
            </w:r>
          </w:p>
        </w:tc>
      </w:tr>
      <w:tr>
        <w:trPr>
          <w:cantSplit/>
        </w:trPr>
        <w:tc>
          <w:tcPr>
            <w:tcW w:type="dxa" w:w="2250"/>
            <w:vAlign w:val="center"/>
          </w:tcPr>
          <w:p>
            <w:pPr>
              <w:spacing w:after="0" w:line="252" w:lineRule="auto"/>
            </w:pPr>
            <w:r>
              <w:rPr>
                <w:rFonts w:ascii="Calibri" w:hAnsi="Calibri"/>
                <w:b w:val="0"/>
                <w:i w:val="0"/>
                <w:color w:val="172033"/>
                <w:sz w:val="17"/>
              </w:rPr>
              <w:t>Autonomous completion</w:t>
            </w:r>
          </w:p>
        </w:tc>
        <w:tc>
          <w:tcPr>
            <w:tcW w:type="dxa" w:w="2200"/>
            <w:vAlign w:val="center"/>
          </w:tcPr>
          <w:p>
            <w:pPr>
              <w:spacing w:after="0" w:line="252" w:lineRule="auto"/>
            </w:pPr>
            <w:r>
              <w:rPr>
                <w:rFonts w:ascii="Calibri" w:hAnsi="Calibri"/>
                <w:b w:val="0"/>
                <w:i w:val="0"/>
                <w:color w:val="172033"/>
                <w:sz w:val="17"/>
              </w:rPr>
              <w:t>≥ 70% for pilot workflow</w:t>
            </w:r>
          </w:p>
        </w:tc>
        <w:tc>
          <w:tcPr>
            <w:tcW w:type="dxa" w:w="4910"/>
            <w:vAlign w:val="center"/>
          </w:tcPr>
          <w:p>
            <w:pPr>
              <w:spacing w:after="0" w:line="252" w:lineRule="auto"/>
            </w:pPr>
            <w:r>
              <w:rPr>
                <w:rFonts w:ascii="Calibri" w:hAnsi="Calibri"/>
                <w:b w:val="0"/>
                <w:i w:val="0"/>
                <w:color w:val="172033"/>
                <w:sz w:val="17"/>
              </w:rPr>
              <w:t>Tasks reaching reviewer-ready output without solution-engineer intervention.</w:t>
            </w:r>
          </w:p>
        </w:tc>
      </w:tr>
      <w:tr>
        <w:trPr>
          <w:cantSplit/>
        </w:trPr>
        <w:tc>
          <w:tcPr>
            <w:tcW w:type="dxa" w:w="2250"/>
            <w:vAlign w:val="center"/>
            <w:shd w:fill="F8FAFC"/>
          </w:tcPr>
          <w:p>
            <w:pPr>
              <w:spacing w:after="0" w:line="252" w:lineRule="auto"/>
            </w:pPr>
            <w:r>
              <w:rPr>
                <w:rFonts w:ascii="Calibri" w:hAnsi="Calibri"/>
                <w:b w:val="0"/>
                <w:i w:val="0"/>
                <w:color w:val="172033"/>
                <w:sz w:val="17"/>
              </w:rPr>
              <w:t>Reviewer acceptance</w:t>
            </w:r>
          </w:p>
        </w:tc>
        <w:tc>
          <w:tcPr>
            <w:tcW w:type="dxa" w:w="2200"/>
            <w:vAlign w:val="center"/>
            <w:shd w:fill="F8FAFC"/>
          </w:tcPr>
          <w:p>
            <w:pPr>
              <w:spacing w:after="0" w:line="252" w:lineRule="auto"/>
            </w:pPr>
            <w:r>
              <w:rPr>
                <w:rFonts w:ascii="Calibri" w:hAnsi="Calibri"/>
                <w:b w:val="0"/>
                <w:i w:val="0"/>
                <w:color w:val="172033"/>
                <w:sz w:val="17"/>
              </w:rPr>
              <w:t>≥ 85% first-pass acceptance</w:t>
            </w:r>
          </w:p>
        </w:tc>
        <w:tc>
          <w:tcPr>
            <w:tcW w:type="dxa" w:w="4910"/>
            <w:vAlign w:val="center"/>
            <w:shd w:fill="F8FAFC"/>
          </w:tcPr>
          <w:p>
            <w:pPr>
              <w:spacing w:after="0" w:line="252" w:lineRule="auto"/>
            </w:pPr>
            <w:r>
              <w:rPr>
                <w:rFonts w:ascii="Calibri" w:hAnsi="Calibri"/>
                <w:b w:val="0"/>
                <w:i w:val="0"/>
                <w:color w:val="172033"/>
                <w:sz w:val="17"/>
              </w:rPr>
              <w:t>Outputs approved with only minor edits; substantive rework counted as not accepted.</w:t>
            </w:r>
          </w:p>
        </w:tc>
      </w:tr>
      <w:tr>
        <w:trPr>
          <w:cantSplit/>
        </w:trPr>
        <w:tc>
          <w:tcPr>
            <w:tcW w:type="dxa" w:w="2250"/>
            <w:vAlign w:val="center"/>
          </w:tcPr>
          <w:p>
            <w:pPr>
              <w:spacing w:after="0" w:line="252" w:lineRule="auto"/>
            </w:pPr>
            <w:r>
              <w:rPr>
                <w:rFonts w:ascii="Calibri" w:hAnsi="Calibri"/>
                <w:b w:val="0"/>
                <w:i w:val="0"/>
                <w:color w:val="172033"/>
                <w:sz w:val="17"/>
              </w:rPr>
              <w:t>Coordination effort</w:t>
            </w:r>
          </w:p>
        </w:tc>
        <w:tc>
          <w:tcPr>
            <w:tcW w:type="dxa" w:w="2200"/>
            <w:vAlign w:val="center"/>
          </w:tcPr>
          <w:p>
            <w:pPr>
              <w:spacing w:after="0" w:line="252" w:lineRule="auto"/>
            </w:pPr>
            <w:r>
              <w:rPr>
                <w:rFonts w:ascii="Calibri" w:hAnsi="Calibri"/>
                <w:b w:val="0"/>
                <w:i w:val="0"/>
                <w:color w:val="172033"/>
                <w:sz w:val="17"/>
              </w:rPr>
              <w:t>≥ 30% reduction</w:t>
            </w:r>
          </w:p>
        </w:tc>
        <w:tc>
          <w:tcPr>
            <w:tcW w:type="dxa" w:w="4910"/>
            <w:vAlign w:val="center"/>
          </w:tcPr>
          <w:p>
            <w:pPr>
              <w:spacing w:after="0" w:line="252" w:lineRule="auto"/>
            </w:pPr>
            <w:r>
              <w:rPr>
                <w:rFonts w:ascii="Calibri" w:hAnsi="Calibri"/>
                <w:b w:val="0"/>
                <w:i w:val="0"/>
                <w:color w:val="172033"/>
                <w:sz w:val="17"/>
              </w:rPr>
              <w:t>Manager time spent copying, chasing, reconciling, and formatting versus baseline.</w:t>
            </w:r>
          </w:p>
        </w:tc>
      </w:tr>
      <w:tr>
        <w:trPr>
          <w:cantSplit/>
        </w:trPr>
        <w:tc>
          <w:tcPr>
            <w:tcW w:type="dxa" w:w="2250"/>
            <w:vAlign w:val="center"/>
            <w:shd w:fill="F8FAFC"/>
          </w:tcPr>
          <w:p>
            <w:pPr>
              <w:spacing w:after="0" w:line="252" w:lineRule="auto"/>
            </w:pPr>
            <w:r>
              <w:rPr>
                <w:rFonts w:ascii="Calibri" w:hAnsi="Calibri"/>
                <w:b w:val="0"/>
                <w:i w:val="0"/>
                <w:color w:val="172033"/>
                <w:sz w:val="17"/>
              </w:rPr>
              <w:t>Traceability</w:t>
            </w:r>
          </w:p>
        </w:tc>
        <w:tc>
          <w:tcPr>
            <w:tcW w:type="dxa" w:w="2200"/>
            <w:vAlign w:val="center"/>
            <w:shd w:fill="F8FAFC"/>
          </w:tcPr>
          <w:p>
            <w:pPr>
              <w:spacing w:after="0" w:line="252" w:lineRule="auto"/>
            </w:pPr>
            <w:r>
              <w:rPr>
                <w:rFonts w:ascii="Calibri" w:hAnsi="Calibri"/>
                <w:b w:val="0"/>
                <w:i w:val="0"/>
                <w:color w:val="172033"/>
                <w:sz w:val="17"/>
              </w:rPr>
              <w:t>100% for controlled actions</w:t>
            </w:r>
          </w:p>
        </w:tc>
        <w:tc>
          <w:tcPr>
            <w:tcW w:type="dxa" w:w="4910"/>
            <w:vAlign w:val="center"/>
            <w:shd w:fill="F8FAFC"/>
          </w:tcPr>
          <w:p>
            <w:pPr>
              <w:spacing w:after="0" w:line="252" w:lineRule="auto"/>
            </w:pPr>
            <w:r>
              <w:rPr>
                <w:rFonts w:ascii="Calibri" w:hAnsi="Calibri"/>
                <w:b w:val="0"/>
                <w:i w:val="0"/>
                <w:color w:val="172033"/>
                <w:sz w:val="17"/>
              </w:rPr>
              <w:t>External actions and delivered claims have source, actor, timestamp, and approval evidence.</w:t>
            </w:r>
          </w:p>
        </w:tc>
      </w:tr>
      <w:tr>
        <w:trPr>
          <w:cantSplit/>
        </w:trPr>
        <w:tc>
          <w:tcPr>
            <w:tcW w:type="dxa" w:w="2250"/>
            <w:vAlign w:val="center"/>
          </w:tcPr>
          <w:p>
            <w:pPr>
              <w:spacing w:after="0" w:line="252" w:lineRule="auto"/>
            </w:pPr>
            <w:r>
              <w:rPr>
                <w:rFonts w:ascii="Calibri" w:hAnsi="Calibri"/>
                <w:b w:val="0"/>
                <w:i w:val="0"/>
                <w:color w:val="172033"/>
                <w:sz w:val="17"/>
              </w:rPr>
              <w:t>Reliability</w:t>
            </w:r>
          </w:p>
        </w:tc>
        <w:tc>
          <w:tcPr>
            <w:tcW w:type="dxa" w:w="2200"/>
            <w:vAlign w:val="center"/>
          </w:tcPr>
          <w:p>
            <w:pPr>
              <w:spacing w:after="0" w:line="252" w:lineRule="auto"/>
            </w:pPr>
            <w:r>
              <w:rPr>
                <w:rFonts w:ascii="Calibri" w:hAnsi="Calibri"/>
                <w:b w:val="0"/>
                <w:i w:val="0"/>
                <w:color w:val="172033"/>
                <w:sz w:val="17"/>
              </w:rPr>
              <w:t>≥ 98% successful completion</w:t>
            </w:r>
          </w:p>
        </w:tc>
        <w:tc>
          <w:tcPr>
            <w:tcW w:type="dxa" w:w="4910"/>
            <w:vAlign w:val="center"/>
          </w:tcPr>
          <w:p>
            <w:pPr>
              <w:spacing w:after="0" w:line="252" w:lineRule="auto"/>
            </w:pPr>
            <w:r>
              <w:rPr>
                <w:rFonts w:ascii="Calibri" w:hAnsi="Calibri"/>
                <w:b w:val="0"/>
                <w:i w:val="0"/>
                <w:color w:val="172033"/>
                <w:sz w:val="17"/>
              </w:rPr>
              <w:t>Scheduled and long-running tasks complete or escalate cleanly within agreed windows.</w:t>
            </w:r>
          </w:p>
        </w:tc>
      </w:tr>
    </w:tbl>
    <w:p>
      <w:pPr>
        <w:spacing w:after="40"/>
      </w:pPr>
    </w:p>
    <w:p>
      <w:pPr>
        <w:pStyle w:val="Heading1"/>
        <w:keepNext/>
      </w:pPr>
      <w:r>
        <w:t>10. Assumptions, Risks, and Open Decisions</w:t>
      </w:r>
    </w:p>
    <w:tbl>
      <w:tblPr>
        <w:tblW w:type="dxa" w:w="9360"/>
        <w:tblLayout w:type="fixed"/>
        <w:tblLook w:firstColumn="1" w:firstRow="1" w:lastColumn="0" w:lastRow="0" w:noHBand="0" w:noVBand="1" w:val="04A0"/>
        <w:tblInd w:w="120" w:type="dxa"/>
        <w:tblBorders>
          <w:top w:val="single" w:sz="6" w:color="C9D7E3"/>
          <w:left w:val="single" w:sz="6" w:color="C9D7E3"/>
          <w:bottom w:val="single" w:sz="6" w:color="C9D7E3"/>
          <w:right w:val="single" w:sz="6" w:color="C9D7E3"/>
          <w:insideH w:val="single" w:sz="6" w:color="C9D7E3"/>
          <w:insideV w:val="single" w:sz="6" w:color="C9D7E3"/>
        </w:tblBorders>
      </w:tblPr>
      <w:tblGrid>
        <w:gridCol w:w="1250"/>
        <w:gridCol w:w="3950"/>
        <w:gridCol w:w="4160"/>
      </w:tblGrid>
      <w:tr>
        <w:trPr>
          <w:tblHeader w:val="true"/>
          <w:cantSplit/>
        </w:trPr>
        <w:tc>
          <w:tcPr>
            <w:tcW w:type="dxa" w:w="125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Type</w:t>
            </w:r>
          </w:p>
        </w:tc>
        <w:tc>
          <w:tcPr>
            <w:tcW w:type="dxa" w:w="395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Item</w:t>
            </w:r>
          </w:p>
        </w:tc>
        <w:tc>
          <w:tcPr>
            <w:tcW w:type="dxa" w:w="4160"/>
            <w:tcMar>
              <w:top w:w="100" w:type="dxa"/>
              <w:start w:w="120" w:type="dxa"/>
              <w:bottom w:w="100" w:type="dxa"/>
              <w:end w:w="120" w:type="dxa"/>
            </w:tcMar>
            <w:shd w:fill="0B2D5C"/>
            <w:vAlign w:val="center"/>
          </w:tcPr>
          <w:p>
            <w:pPr>
              <w:spacing w:after="0" w:line="240" w:lineRule="auto"/>
            </w:pPr>
            <w:r>
              <w:rPr>
                <w:rFonts w:ascii="Calibri" w:hAnsi="Calibri"/>
                <w:b/>
                <w:i w:val="0"/>
                <w:color w:val="FFFFFF"/>
                <w:sz w:val="17"/>
              </w:rPr>
              <w:t>Required decision / mitigation</w:t>
            </w:r>
          </w:p>
        </w:tc>
      </w:tr>
      <w:tr>
        <w:trPr>
          <w:cantSplit/>
        </w:trPr>
        <w:tc>
          <w:tcPr>
            <w:tcW w:type="dxa" w:w="1250"/>
            <w:vAlign w:val="center"/>
          </w:tcPr>
          <w:p>
            <w:pPr>
              <w:spacing w:after="0" w:line="252" w:lineRule="auto"/>
            </w:pPr>
            <w:r>
              <w:rPr>
                <w:rFonts w:ascii="Calibri" w:hAnsi="Calibri"/>
                <w:b w:val="0"/>
                <w:i w:val="0"/>
                <w:color w:val="172033"/>
                <w:sz w:val="17"/>
              </w:rPr>
              <w:t>Assumption</w:t>
            </w:r>
          </w:p>
        </w:tc>
        <w:tc>
          <w:tcPr>
            <w:tcW w:type="dxa" w:w="3950"/>
            <w:vAlign w:val="center"/>
          </w:tcPr>
          <w:p>
            <w:pPr>
              <w:spacing w:after="0" w:line="252" w:lineRule="auto"/>
            </w:pPr>
            <w:r>
              <w:rPr>
                <w:rFonts w:ascii="Calibri" w:hAnsi="Calibri"/>
                <w:b w:val="0"/>
                <w:i w:val="0"/>
                <w:color w:val="172033"/>
                <w:sz w:val="17"/>
              </w:rPr>
              <w:t>The pilot starts with one service line and de-identified or approved client data.</w:t>
            </w:r>
          </w:p>
        </w:tc>
        <w:tc>
          <w:tcPr>
            <w:tcW w:type="dxa" w:w="4160"/>
            <w:vAlign w:val="center"/>
          </w:tcPr>
          <w:p>
            <w:pPr>
              <w:spacing w:after="0" w:line="252" w:lineRule="auto"/>
            </w:pPr>
            <w:r>
              <w:rPr>
                <w:rFonts w:ascii="Calibri" w:hAnsi="Calibri"/>
                <w:b w:val="0"/>
                <w:i w:val="0"/>
                <w:color w:val="172033"/>
                <w:sz w:val="17"/>
              </w:rPr>
              <w:t>Sponsor confirms pilot engagements and data classification before configuration.</w:t>
            </w:r>
          </w:p>
        </w:tc>
      </w:tr>
      <w:tr>
        <w:trPr>
          <w:cantSplit/>
        </w:trPr>
        <w:tc>
          <w:tcPr>
            <w:tcW w:type="dxa" w:w="1250"/>
            <w:vAlign w:val="center"/>
            <w:shd w:fill="F8FAFC"/>
          </w:tcPr>
          <w:p>
            <w:pPr>
              <w:spacing w:after="0" w:line="252" w:lineRule="auto"/>
            </w:pPr>
            <w:r>
              <w:rPr>
                <w:rFonts w:ascii="Calibri" w:hAnsi="Calibri"/>
                <w:b w:val="0"/>
                <w:i w:val="0"/>
                <w:color w:val="172033"/>
                <w:sz w:val="17"/>
              </w:rPr>
              <w:t>Risk</w:t>
            </w:r>
          </w:p>
        </w:tc>
        <w:tc>
          <w:tcPr>
            <w:tcW w:type="dxa" w:w="3950"/>
            <w:vAlign w:val="center"/>
            <w:shd w:fill="F8FAFC"/>
          </w:tcPr>
          <w:p>
            <w:pPr>
              <w:spacing w:after="0" w:line="252" w:lineRule="auto"/>
            </w:pPr>
            <w:r>
              <w:rPr>
                <w:rFonts w:ascii="Calibri" w:hAnsi="Calibri"/>
                <w:b w:val="0"/>
                <w:i w:val="0"/>
                <w:color w:val="172033"/>
                <w:sz w:val="17"/>
              </w:rPr>
              <w:t>Messaging context may be incomplete or ambiguous.</w:t>
            </w:r>
          </w:p>
        </w:tc>
        <w:tc>
          <w:tcPr>
            <w:tcW w:type="dxa" w:w="4160"/>
            <w:vAlign w:val="center"/>
            <w:shd w:fill="F8FAFC"/>
          </w:tcPr>
          <w:p>
            <w:pPr>
              <w:spacing w:after="0" w:line="252" w:lineRule="auto"/>
            </w:pPr>
            <w:r>
              <w:rPr>
                <w:rFonts w:ascii="Calibri" w:hAnsi="Calibri"/>
                <w:b w:val="0"/>
                <w:i w:val="0"/>
                <w:color w:val="172033"/>
                <w:sz w:val="17"/>
              </w:rPr>
              <w:t>Use confidence thresholds and mandatory clarification for client, project, deadline, and output ambiguity.</w:t>
            </w:r>
          </w:p>
        </w:tc>
      </w:tr>
      <w:tr>
        <w:trPr>
          <w:cantSplit/>
        </w:trPr>
        <w:tc>
          <w:tcPr>
            <w:tcW w:type="dxa" w:w="1250"/>
            <w:vAlign w:val="center"/>
          </w:tcPr>
          <w:p>
            <w:pPr>
              <w:spacing w:after="0" w:line="252" w:lineRule="auto"/>
            </w:pPr>
            <w:r>
              <w:rPr>
                <w:rFonts w:ascii="Calibri" w:hAnsi="Calibri"/>
                <w:b w:val="0"/>
                <w:i w:val="0"/>
                <w:color w:val="172033"/>
                <w:sz w:val="17"/>
              </w:rPr>
              <w:t>Risk</w:t>
            </w:r>
          </w:p>
        </w:tc>
        <w:tc>
          <w:tcPr>
            <w:tcW w:type="dxa" w:w="3950"/>
            <w:vAlign w:val="center"/>
          </w:tcPr>
          <w:p>
            <w:pPr>
              <w:spacing w:after="0" w:line="252" w:lineRule="auto"/>
            </w:pPr>
            <w:r>
              <w:rPr>
                <w:rFonts w:ascii="Calibri" w:hAnsi="Calibri"/>
                <w:b w:val="0"/>
                <w:i w:val="0"/>
                <w:color w:val="172033"/>
                <w:sz w:val="17"/>
              </w:rPr>
              <w:t>Automating a poor process could increase volume without improving outcomes.</w:t>
            </w:r>
          </w:p>
        </w:tc>
        <w:tc>
          <w:tcPr>
            <w:tcW w:type="dxa" w:w="4160"/>
            <w:vAlign w:val="center"/>
          </w:tcPr>
          <w:p>
            <w:pPr>
              <w:spacing w:after="0" w:line="252" w:lineRule="auto"/>
            </w:pPr>
            <w:r>
              <w:rPr>
                <w:rFonts w:ascii="Calibri" w:hAnsi="Calibri"/>
                <w:b w:val="0"/>
                <w:i w:val="0"/>
                <w:color w:val="172033"/>
                <w:sz w:val="17"/>
              </w:rPr>
              <w:t>Baseline the process, simplify handoffs, and promote a Skill only after repeated successful use.</w:t>
            </w:r>
          </w:p>
        </w:tc>
      </w:tr>
      <w:tr>
        <w:trPr>
          <w:cantSplit/>
        </w:trPr>
        <w:tc>
          <w:tcPr>
            <w:tcW w:type="dxa" w:w="1250"/>
            <w:vAlign w:val="center"/>
            <w:shd w:fill="F8FAFC"/>
          </w:tcPr>
          <w:p>
            <w:pPr>
              <w:spacing w:after="0" w:line="252" w:lineRule="auto"/>
            </w:pPr>
            <w:r>
              <w:rPr>
                <w:rFonts w:ascii="Calibri" w:hAnsi="Calibri"/>
                <w:b w:val="0"/>
                <w:i w:val="0"/>
                <w:color w:val="172033"/>
                <w:sz w:val="17"/>
              </w:rPr>
              <w:t>Open decision</w:t>
            </w:r>
          </w:p>
        </w:tc>
        <w:tc>
          <w:tcPr>
            <w:tcW w:type="dxa" w:w="3950"/>
            <w:vAlign w:val="center"/>
            <w:shd w:fill="F8FAFC"/>
          </w:tcPr>
          <w:p>
            <w:pPr>
              <w:spacing w:after="0" w:line="252" w:lineRule="auto"/>
            </w:pPr>
            <w:r>
              <w:rPr>
                <w:rFonts w:ascii="Calibri" w:hAnsi="Calibri"/>
                <w:b w:val="0"/>
                <w:i w:val="0"/>
                <w:color w:val="172033"/>
                <w:sz w:val="17"/>
              </w:rPr>
              <w:t>Which platform is the primary approval channel?</w:t>
            </w:r>
          </w:p>
        </w:tc>
        <w:tc>
          <w:tcPr>
            <w:tcW w:type="dxa" w:w="4160"/>
            <w:vAlign w:val="center"/>
            <w:shd w:fill="F8FAFC"/>
          </w:tcPr>
          <w:p>
            <w:pPr>
              <w:spacing w:after="0" w:line="252" w:lineRule="auto"/>
            </w:pPr>
            <w:r>
              <w:rPr>
                <w:rFonts w:ascii="Calibri" w:hAnsi="Calibri"/>
                <w:b w:val="0"/>
                <w:i w:val="0"/>
                <w:color w:val="172033"/>
                <w:sz w:val="17"/>
              </w:rPr>
              <w:t>Choose one of WhatsApp, Slack, or Telegram for pilot approval records; other channels may remain intake-only.</w:t>
            </w:r>
          </w:p>
        </w:tc>
      </w:tr>
      <w:tr>
        <w:trPr>
          <w:cantSplit/>
        </w:trPr>
        <w:tc>
          <w:tcPr>
            <w:tcW w:type="dxa" w:w="1250"/>
            <w:vAlign w:val="center"/>
          </w:tcPr>
          <w:p>
            <w:pPr>
              <w:spacing w:after="0" w:line="252" w:lineRule="auto"/>
            </w:pPr>
            <w:r>
              <w:rPr>
                <w:rFonts w:ascii="Calibri" w:hAnsi="Calibri"/>
                <w:b w:val="0"/>
                <w:i w:val="0"/>
                <w:color w:val="172033"/>
                <w:sz w:val="17"/>
              </w:rPr>
              <w:t>Open decision</w:t>
            </w:r>
          </w:p>
        </w:tc>
        <w:tc>
          <w:tcPr>
            <w:tcW w:type="dxa" w:w="3950"/>
            <w:vAlign w:val="center"/>
          </w:tcPr>
          <w:p>
            <w:pPr>
              <w:spacing w:after="0" w:line="252" w:lineRule="auto"/>
            </w:pPr>
            <w:r>
              <w:rPr>
                <w:rFonts w:ascii="Calibri" w:hAnsi="Calibri"/>
                <w:b w:val="0"/>
                <w:i w:val="0"/>
                <w:color w:val="172033"/>
                <w:sz w:val="17"/>
              </w:rPr>
              <w:t>Which enterprise actions can be write-enabled?</w:t>
            </w:r>
          </w:p>
        </w:tc>
        <w:tc>
          <w:tcPr>
            <w:tcW w:type="dxa" w:w="4160"/>
            <w:vAlign w:val="center"/>
          </w:tcPr>
          <w:p>
            <w:pPr>
              <w:spacing w:after="0" w:line="252" w:lineRule="auto"/>
            </w:pPr>
            <w:r>
              <w:rPr>
                <w:rFonts w:ascii="Calibri" w:hAnsi="Calibri"/>
                <w:b w:val="0"/>
                <w:i w:val="0"/>
                <w:color w:val="172033"/>
                <w:sz w:val="17"/>
              </w:rPr>
              <w:t>Approve a connector-by-connector action matrix with owner, scope, and rollback method.</w:t>
            </w:r>
          </w:p>
        </w:tc>
      </w:tr>
      <w:tr>
        <w:trPr>
          <w:cantSplit/>
        </w:trPr>
        <w:tc>
          <w:tcPr>
            <w:tcW w:type="dxa" w:w="1250"/>
            <w:vAlign w:val="center"/>
            <w:shd w:fill="F8FAFC"/>
          </w:tcPr>
          <w:p>
            <w:pPr>
              <w:spacing w:after="0" w:line="252" w:lineRule="auto"/>
            </w:pPr>
            <w:r>
              <w:rPr>
                <w:rFonts w:ascii="Calibri" w:hAnsi="Calibri"/>
                <w:b w:val="0"/>
                <w:i w:val="0"/>
                <w:color w:val="172033"/>
                <w:sz w:val="17"/>
              </w:rPr>
              <w:t>Open decision</w:t>
            </w:r>
          </w:p>
        </w:tc>
        <w:tc>
          <w:tcPr>
            <w:tcW w:type="dxa" w:w="3950"/>
            <w:vAlign w:val="center"/>
            <w:shd w:fill="F8FAFC"/>
          </w:tcPr>
          <w:p>
            <w:pPr>
              <w:spacing w:after="0" w:line="252" w:lineRule="auto"/>
            </w:pPr>
            <w:r>
              <w:rPr>
                <w:rFonts w:ascii="Calibri" w:hAnsi="Calibri"/>
                <w:b w:val="0"/>
                <w:i w:val="0"/>
                <w:color w:val="172033"/>
                <w:sz w:val="17"/>
              </w:rPr>
              <w:t>What information is eligible for durable memory?</w:t>
            </w:r>
          </w:p>
        </w:tc>
        <w:tc>
          <w:tcPr>
            <w:tcW w:type="dxa" w:w="4160"/>
            <w:vAlign w:val="center"/>
            <w:shd w:fill="F8FAFC"/>
          </w:tcPr>
          <w:p>
            <w:pPr>
              <w:spacing w:after="0" w:line="252" w:lineRule="auto"/>
            </w:pPr>
            <w:r>
              <w:rPr>
                <w:rFonts w:ascii="Calibri" w:hAnsi="Calibri"/>
                <w:b w:val="0"/>
                <w:i w:val="0"/>
                <w:color w:val="172033"/>
                <w:sz w:val="17"/>
              </w:rPr>
              <w:t>Define user, project, and task retention rules, exclusions, review rights, and deletion process.</w:t>
            </w:r>
          </w:p>
        </w:tc>
      </w:tr>
    </w:tbl>
    <w:p>
      <w:pPr>
        <w:spacing w:after="40"/>
      </w:pPr>
    </w:p>
    <w:tbl>
      <w:tblPr>
        <w:tblW w:type="dxa" w:w="9360"/>
        <w:tblLayout w:type="fixed"/>
        <w:tblLook w:firstColumn="1" w:firstRow="1" w:lastColumn="0" w:lastRow="0" w:noHBand="0" w:noVBand="1" w:val="04A0"/>
        <w:tblInd w:w="120" w:type="dxa"/>
        <w:tblBorders>
          <w:top w:val="single" w:sz="10" w:color="0A8587"/>
          <w:left w:val="single" w:sz="10" w:color="0A8587"/>
          <w:bottom w:val="single" w:sz="10" w:color="0A8587"/>
          <w:right w:val="single" w:sz="10" w:color="0A8587"/>
          <w:insideH w:val="single" w:sz="10" w:color="0A8587"/>
          <w:insideV w:val="single" w:sz="10" w:color="0A8587"/>
        </w:tblBorders>
      </w:tblPr>
      <w:tblGrid>
        <w:gridCol w:w="9360"/>
      </w:tblGrid>
      <w:tr>
        <w:trPr>
          <w:cantSplit/>
        </w:trPr>
        <w:tc>
          <w:tcPr>
            <w:tcW w:type="dxa" w:w="9360"/>
            <w:tcMar>
              <w:top w:w="150" w:type="dxa"/>
              <w:start w:w="180" w:type="dxa"/>
              <w:bottom w:w="150" w:type="dxa"/>
              <w:end w:w="180" w:type="dxa"/>
            </w:tcMar>
            <w:shd w:fill="EAF6F5"/>
          </w:tcPr>
          <w:p>
            <w:pPr>
              <w:spacing w:after="0" w:line="264" w:lineRule="auto"/>
            </w:pPr>
            <w:r>
              <w:rPr>
                <w:rFonts w:ascii="Calibri" w:hAnsi="Calibri"/>
                <w:b/>
                <w:i w:val="0"/>
                <w:color w:val="0A8587"/>
                <w:sz w:val="20"/>
              </w:rPr>
              <w:t xml:space="preserve">Pilot recommendation  </w:t>
            </w:r>
            <w:r>
              <w:rPr>
                <w:rFonts w:ascii="Calibri" w:hAnsi="Calibri"/>
                <w:b w:val="0"/>
                <w:i w:val="0"/>
                <w:color w:val="172033"/>
                <w:sz w:val="20"/>
              </w:rPr>
              <w:t>Begin with client onboarding because it is frequent, bounded, document-heavy, and naturally supports approval gates. Add scheduled status reporting only after project matching, source traceability, and reviewer acceptance are stable.</w:t>
            </w:r>
          </w:p>
        </w:tc>
      </w:tr>
    </w:tbl>
    <w:p>
      <w:pPr>
        <w:spacing w:after="20"/>
      </w:pPr>
    </w:p>
    <w:sectPr w:rsidR="00FC693F" w:rsidRPr="0006063C" w:rsidSect="00034616">
      <w:headerReference w:type="default" r:id="rId9"/>
      <w:footerReference w:type="default" r:id="rId10"/>
      <w:pgSz w:w="12240" w:h="15840"/>
      <w:pgMar w:top="1037" w:right="1440" w:bottom="1037"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784" w:val="left"/>
      </w:tabs>
    </w:pPr>
    <w:r>
      <w:rPr>
        <w:rFonts w:ascii="Calibri" w:hAnsi="Calibri"/>
        <w:b w:val="0"/>
        <w:i w:val="0"/>
        <w:color w:val="5F6B7A"/>
        <w:sz w:val="17"/>
      </w:rPr>
      <w:t>Illustrative Solution Brief  •  Confidential</w:t>
    </w:r>
    <w:r>
      <w:tab/>
    </w:r>
    <w:r>
      <w:rPr>
        <w:rFonts w:ascii="Calibri" w:hAnsi="Calibri"/>
        <w:b w:val="0"/>
        <w:i w:val="0"/>
        <w:color w:val="5F6B7A"/>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pPr>
    <w:r>
      <w:rPr>
        <w:rFonts w:ascii="Calibri" w:hAnsi="Calibri"/>
        <w:b/>
        <w:i w:val="0"/>
        <w:color w:val="5F6B7A"/>
        <w:sz w:val="17"/>
      </w:rPr>
      <w:t>LANGHUB  |  ENTERPRISE DELIVERY ORCHESTRATION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557A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A858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Delivery Orchestration — Illustrative Solution Brief</dc:title>
  <dc:subject>A realistic source document for the Visualize a Complex Solution use case</dc:subject>
  <dc:creator>Langhub Solution Design</dc:creator>
  <cp:keywords>enterprise agents, workflow orchestration, project management, data flow, stakeholders</cp:keywords>
  <dc:description>generated by python-docx</dc:description>
  <cp:lastModifiedBy/>
  <cp:revision>1</cp:revision>
  <dcterms:created xsi:type="dcterms:W3CDTF">2013-12-23T23:15:00Z</dcterms:created>
  <dcterms:modified xsi:type="dcterms:W3CDTF">2013-12-23T23:15:00Z</dcterms:modified>
  <cp:category/>
</cp:coreProperties>
</file>