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20"/>
        </w:rPr>
        <w:t>DEF-002</w:t>
      </w:r>
    </w:p>
    <w:p>
      <w:pPr>
        <w:spacing w:after="160"/>
      </w:pPr>
      <w:r>
        <w:rPr>
          <w:rFonts w:ascii="Calibri" w:hAnsi="Calibri"/>
          <w:b/>
          <w:color w:val="0B2545"/>
          <w:sz w:val="46"/>
        </w:rPr>
        <w:t>Kanonikus auditjelentés – emberi review</w:t>
      </w:r>
    </w:p>
    <w:p>
      <w:pPr>
        <w:spacing w:after="240"/>
      </w:pPr>
      <w:r>
        <w:rPr>
          <w:rFonts w:ascii="Calibri" w:hAnsi="Calibri"/>
          <w:b/>
          <w:color w:val="9B1C1C"/>
          <w:sz w:val="18"/>
        </w:rPr>
        <w:t>TERVEZET · kitöltés és aláírás előtt nem evidencia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Feladat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DEF-002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Lángi Zoltán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Lángi Zoltán vagy kijelölt reviewer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Forrás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SRC-008; D-025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Kitöltés dátuma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________________________________</w:t>
            </w:r>
          </w:p>
        </w:tc>
      </w:tr>
    </w:tbl>
    <w:p>
      <w:pPr>
        <w:pStyle w:val="Heading2"/>
      </w:pPr>
      <w:r>
        <w:t>Mire való ez a lap?</w:t>
      </w:r>
    </w:p>
    <w:p>
      <w:r>
        <w:t>Annak írásos megerősítése, hogy az aláírt auditjelentés és a D-025 döntési rekord ugyanarra a használható, kanonikus példányra vonatkozik.</w:t>
      </w:r>
    </w:p>
    <w:p>
      <w:pPr>
        <w:pStyle w:val="Heading2"/>
      </w:pPr>
      <w:r>
        <w:t>Elvégzendő lépések</w:t>
      </w:r>
    </w:p>
    <w:p>
      <w:pPr>
        <w:pStyle w:val="ListNumber"/>
      </w:pPr>
      <w:r>
        <w:t>Nyissa meg az aláírt auditjelentést és a D-025 döntési rekordot.</w:t>
      </w:r>
    </w:p>
    <w:p>
      <w:pPr>
        <w:pStyle w:val="ListNumber"/>
      </w:pPr>
      <w:r>
        <w:t>Hasonlítsa össze a fájl nevét, dátumát, tartalmi azonosítóit és a dokumentált hash-t.</w:t>
      </w:r>
    </w:p>
    <w:p>
      <w:pPr>
        <w:pStyle w:val="ListNumber"/>
      </w:pPr>
      <w:r>
        <w:t>Rögzítse az eredményt, majd írja alá ezt a review-lapot.</w:t>
      </w:r>
    </w:p>
    <w:p>
      <w:pPr>
        <w:pStyle w:val="ListNumber"/>
      </w:pPr>
      <w:r>
        <w:t>A beszkennelt vagy elektronikusan aláírt végleges példányt töltse fel a védett NIS2 SharePoint-tárba.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Ellenőrzési pontok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120"/>
        <w:gridCol w:w="1620"/>
        <w:gridCol w:w="1620"/>
      </w:tblGrid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Ellenőrzési pont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Megfelel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Nem felel meg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jelentés azonosítója és dátuma egyezik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D-025 ugyanarra a példányra hivatkozik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Az eltérések vagy bizonytalanságok le vannak írva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kanonikus példány elfogadható / javításra visszaadandó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</w:tbl>
    <w:p>
      <w:pPr>
        <w:pStyle w:val="Heading2"/>
      </w:pPr>
      <w:r>
        <w:t>Megállapítás és szükséges intézkedés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pStyle w:val="Heading2"/>
      </w:pPr>
      <w:r>
        <w:t>Döntés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Elfogadható / előterjeszthető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Javításra vagy pótlásra visszaadva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</w:tr>
    </w:tbl>
    <w:p>
      <w:pPr>
        <w:pStyle w:val="Heading2"/>
      </w:pPr>
      <w:r>
        <w:t>Végleges dokumentum nyilvántartása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Végleges fájlnév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SharePoint-hivatkozás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Feltöltő / dátum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r>
        <w:t>A helyi portálon csatolt fájl csak előkészített munkapéldány. A formális evidenciához a végleges fájlt a védett NIS2 SharePoint-tárba kell feltölteni, majd a tényleges fájlhivatkozást és a SHA-256 értéket kell rögzíteni.</w:t>
      </w:r>
    </w:p>
    <w:p>
      <w:pPr>
        <w:pStyle w:val="Heading2"/>
      </w:pPr>
      <w:r>
        <w:t>Aláírások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Előkészítő / felelős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 / jóváhagyó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</w:tr>
    </w:tbl>
    <w:sectPr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DEF-002 · Emberi munkalap · TERVEZET – kitöltés és jóváhagyás előtt nem evidencia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DEF-002 · Emberi munkalap · TERVEZET – kitöltés és jóváhagyás előtt nem evidencia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C6F7A"/>
        <w:sz w:val="18"/>
      </w:rPr>
      <w:t>metALCOM NIS2 · emberi végrehajtási csomag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Kanonikus auditjelentés – emberi review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