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DEF-008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EIR- és exportforrás-kijelölés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DEF-008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A-011; config/inventory_export_plan.json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Az öt EIR tulajdonosának és helyettesének kijelölése; a kilenc tényleges forrásrendszer és forrásgazda megnevezése; az exportok adatminősítése, védett tárolási helye, legkisebb read-only jogosultsága és G1 jóváhagyása.</w:t>
      </w:r>
    </w:p>
    <w:p>
      <w:pPr>
        <w:pStyle w:val="Heading2"/>
      </w:pPr>
      <w:r>
        <w:t>Jelenlegi, igazolt folyamatállapot</w:t>
      </w:r>
    </w:p>
    <w:p>
      <w:r>
        <w:t>Az öt EIR proposal baseline-ja és a read-only gyűjtési terv használható az előkészítéshez.</w:t>
      </w:r>
    </w:p>
    <w:p>
      <w:pPr>
        <w:pStyle w:val="Heading2"/>
      </w:pPr>
      <w:r>
        <w:t>Döntési kapu</w:t>
      </w:r>
    </w:p>
    <w:p>
      <w:r>
        <w:t>Bármely valós rendszerexport vagy leltárfeltöltés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öt EIR tulajdonosának és helyettesének kijelölése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kilenc tényleges forrásrendszer és forrásgazda megnevezése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az exportok adatminősítése, védett tárolási helye, legkisebb read-only jogosultsága és G1 jóváhagyása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DEF-008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DEF-008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EIR- és exportforrás-kijelölés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