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DEF-010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Agent QA és gold-case elfogadás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DEF-010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A-032; evals/gold_cases.json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Tíz redaktált gold-case bemenet és elvárt szakmai eredmény; elvárt források/kapuk/tiltások; név szerinti reviewer, időzónás review-idő és döntési hivatkozás; teljes eval-futtatás, defectek és retest.</w:t>
      </w:r>
    </w:p>
    <w:p>
      <w:pPr>
        <w:pStyle w:val="Heading2"/>
      </w:pPr>
      <w:r>
        <w:t>Jelenlegi, igazolt folyamatállapot</w:t>
      </w:r>
    </w:p>
    <w:p>
      <w:r>
        <w:t>A helyi eval-validator, tíz pending slot, mintakimenet és defect workflow elkészült.</w:t>
      </w:r>
    </w:p>
    <w:p>
      <w:pPr>
        <w:pStyle w:val="Heading2"/>
      </w:pPr>
      <w:r>
        <w:t>Döntési kapu</w:t>
      </w:r>
    </w:p>
    <w:p>
      <w:r>
        <w:t>Az A-032 baseline jóváhagyása vagy bármely agent-kimenet minőségi elfogadása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Tíz redaktált gold-case bemenet és elvárt szakmai eredmény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elvárt források/kapuk/tiltások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 szerinti reviewer, időzónás review-idő és döntési hivatkozás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teljes eval-futtatás, defectek és retest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DEF-010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DEF-010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QA és gold-case elfogadás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