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2E74B5"/>
          <w:sz w:val="20"/>
        </w:rPr>
        <w:t>DEF-025</w:t>
      </w:r>
    </w:p>
    <w:p>
      <w:pPr>
        <w:spacing w:after="160"/>
      </w:pPr>
      <w:r>
        <w:rPr>
          <w:rFonts w:ascii="Calibri" w:hAnsi="Calibri"/>
          <w:b/>
          <w:color w:val="0B2545"/>
          <w:sz w:val="46"/>
        </w:rPr>
        <w:t>Legacy megőrzési és restore-döntés</w:t>
      </w:r>
    </w:p>
    <w:p>
      <w:pPr>
        <w:spacing w:after="240"/>
      </w:pPr>
      <w:r>
        <w:rPr>
          <w:rFonts w:ascii="Calibri" w:hAnsi="Calibri"/>
          <w:b/>
          <w:color w:val="9B1C1C"/>
          <w:sz w:val="18"/>
        </w:rPr>
        <w:t>TERVEZET · kitöltés és aláírás előtt nem evidencia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Feladat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DEF-025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Felelős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Pásztor András; Kollár Csaba; kijelölendő üzleti-, adat-, alkalmazás- és belső rendszerowner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Reviewer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Lángi Zoltán; Dr. Berta Brigitta; jogosult G3 approver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Forrás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A-026; data/legacy_retention_plan.json; templates/legacy_retention_review_record.md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Végrehajtási hullám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W3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Kitöltés dátuma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________________________________</w:t>
            </w:r>
          </w:p>
        </w:tc>
      </w:tr>
    </w:tbl>
    <w:p>
      <w:pPr>
        <w:pStyle w:val="Heading2"/>
      </w:pPr>
      <w:r>
        <w:t>Mire való ez a lap?</w:t>
      </w:r>
    </w:p>
    <w:p>
      <w:r>
        <w:t>A feladathoz szükséges emberi vizsgálat, kapudöntés, mellékletek és jóváhagyási nyom egységes rögzítése. Elkészítendő eredmény: Dr. Berta Brigitta jogi állásfoglalása jogalapokról, megőrzési időkről, legal holdról és selejtezési korlátokról; üzleti/adat-/alkalmazásowner és belső rendszerowner; jóváhagyott adatkategória- és függőségi lista; Kollár Csabával jóváhagyott read-only exportmódszer; adatszótár, rekorddarab, időtartomány, formátum, teljesség, kivételnapló, védett URI/SHA-256; izolált restore/read teszt owner- és G3 approval mellett; olvashatóság, integritás, idő, cleanup és reviewer; külön retention/migration/disposal döntés. Nyers export, személyes adat, üzleti dokumentum és credential Gitbe nem kerülhet.</w:t>
      </w:r>
    </w:p>
    <w:p>
      <w:pPr>
        <w:pStyle w:val="Heading2"/>
      </w:pPr>
      <w:r>
        <w:t>Jelenlegi, igazolt folyamatállapot</w:t>
      </w:r>
    </w:p>
    <w:p>
      <w:r>
        <w:t>Elkészült az SRC-004 nem igazolt státuszát megőrző jogi retention-, adatleltár-, read-only export-, izolált restore/read-test és migrációs döntési séma; rendszerkapcsolat vagy végrehajtás nem történt.</w:t>
      </w:r>
    </w:p>
    <w:p>
      <w:pPr>
        <w:pStyle w:val="Heading2"/>
      </w:pPr>
      <w:r>
        <w:t>Döntési kapu</w:t>
      </w:r>
    </w:p>
    <w:p>
      <w:r>
        <w:t>Bármely éles lekérdezés/export, restore/import, törlés, alkalmazásleállítás vagy migráció, valamint az A-026 review-ra kész/DONE állapota előtt.</w:t>
      </w:r>
    </w:p>
    <w:p>
      <w:pPr>
        <w:pStyle w:val="Heading2"/>
      </w:pPr>
      <w:r>
        <w:t>Elvégzendő lépések</w:t>
      </w:r>
    </w:p>
    <w:p>
      <w:pPr>
        <w:pStyle w:val="ListNumber"/>
      </w:pPr>
      <w:r>
        <w:t>Tekintse át a hivatkozott forrásokat és a jelenlegi folyamatállapotot.</w:t>
      </w:r>
    </w:p>
    <w:p>
      <w:pPr>
        <w:pStyle w:val="ListNumber"/>
      </w:pPr>
      <w:r>
        <w:t>Végezze el vagy igazolja a lapon felsorolt tényleges szakmai, jogi, biztonsági vagy műszaki ellenőrzéseket.</w:t>
      </w:r>
    </w:p>
    <w:p>
      <w:pPr>
        <w:pStyle w:val="ListNumber"/>
      </w:pPr>
      <w:r>
        <w:t>Csatolja a szükséges dokumentumokat, teszteredményeket és döntési mellékleteket; rögzítse a védett URI-kat és SHA-256 értékeket.</w:t>
      </w:r>
    </w:p>
    <w:p>
      <w:pPr>
        <w:pStyle w:val="ListNumber"/>
      </w:pPr>
      <w:r>
        <w:t>Jelölje a döntést, írja le a feltételeket vagy hiányokat, majd a jogosult reviewer írja alá a lapot.</w:t>
      </w:r>
    </w:p>
    <w:p>
      <w:pPr>
        <w:pStyle w:val="ListNumber"/>
      </w:pPr>
      <w:r>
        <w:t>A végleges, aláírt példányt töltse fel a védett NIS2 SharePoint-evidenciatárba.</w:t>
      </w:r>
    </w:p>
    <w:p>
      <w:pPr>
        <w:pStyle w:val="Heading1"/>
      </w:pPr>
      <w:r>
        <w:t>Ellenőrzési pontok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120"/>
        <w:gridCol w:w="1620"/>
        <w:gridCol w:w="1620"/>
      </w:tblGrid>
      <w:tr>
        <w:trPr>
          <w:tblHeader w:val="true"/>
          <w:cantSplit/>
        </w:trPr>
        <w:tc>
          <w:tcPr>
            <w:tcW w:type="dxa" w:w="6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Ellenőrzési pont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Megfelel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Nem felel meg</w:t>
            </w:r>
          </w:p>
        </w:tc>
      </w:tr>
      <w:tr>
        <w:trPr>
          <w:cantSplit/>
        </w:trPr>
        <w:tc>
          <w:tcPr>
            <w:tcW w:type="dxa" w:w="6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Dr. Berta Brigitta jogi állásfoglalása jogalapokról, megőrzési időkről, legal holdról és selejtezési korlátokról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Igen / N.a.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Nem / N.a.</w:t>
            </w:r>
          </w:p>
        </w:tc>
      </w:tr>
      <w:tr>
        <w:trPr>
          <w:cantSplit/>
        </w:trPr>
        <w:tc>
          <w:tcPr>
            <w:tcW w:type="dxa" w:w="6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üzleti/adat-/alkalmazásowner és belső rendszerowner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Igen / N.a.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Nem / N.a.</w:t>
            </w:r>
          </w:p>
        </w:tc>
      </w:tr>
      <w:tr>
        <w:trPr>
          <w:cantSplit/>
        </w:trPr>
        <w:tc>
          <w:tcPr>
            <w:tcW w:type="dxa" w:w="6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jóváhagyott adatkategória- és függőségi lista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Igen / N.a.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Nem / N.a.</w:t>
            </w:r>
          </w:p>
        </w:tc>
      </w:tr>
      <w:tr>
        <w:trPr>
          <w:cantSplit/>
        </w:trPr>
        <w:tc>
          <w:tcPr>
            <w:tcW w:type="dxa" w:w="6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Kollár Csabával jóváhagyott read-only exportmódszer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Igen / N.a.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Nem / N.a.</w:t>
            </w:r>
          </w:p>
        </w:tc>
      </w:tr>
      <w:tr>
        <w:trPr>
          <w:cantSplit/>
        </w:trPr>
        <w:tc>
          <w:tcPr>
            <w:tcW w:type="dxa" w:w="6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adatszótár, rekorddarab, időtartomány, formátum, teljesség, kivételnapló, védett URI/SHA-256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Igen / N.a.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Nem / N.a.</w:t>
            </w:r>
          </w:p>
        </w:tc>
      </w:tr>
      <w:tr>
        <w:trPr>
          <w:cantSplit/>
        </w:trPr>
        <w:tc>
          <w:tcPr>
            <w:tcW w:type="dxa" w:w="6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izolált restore/read teszt owner- és G3 approval mellett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Igen / N.a.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Nem / N.a.</w:t>
            </w:r>
          </w:p>
        </w:tc>
      </w:tr>
      <w:tr>
        <w:trPr>
          <w:cantSplit/>
        </w:trPr>
        <w:tc>
          <w:tcPr>
            <w:tcW w:type="dxa" w:w="6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olvashatóság, integritás, idő, cleanup és reviewer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Igen / N.a.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Nem / N.a.</w:t>
            </w:r>
          </w:p>
        </w:tc>
      </w:tr>
      <w:tr>
        <w:trPr>
          <w:cantSplit/>
        </w:trPr>
        <w:tc>
          <w:tcPr>
            <w:tcW w:type="dxa" w:w="6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külön retention/migration/disposal döntés. Nyers export, személyes adat, üzleti dokumentum és credential Gitbe nem kerülhet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Igen / N.a.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Nem / N.a.</w:t>
            </w:r>
          </w:p>
        </w:tc>
      </w:tr>
      <w:tr>
        <w:trPr>
          <w:cantSplit/>
        </w:trPr>
        <w:tc>
          <w:tcPr>
            <w:tcW w:type="dxa" w:w="6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A tényleges döntés vagy elkészült dokumentum csatolva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Igen / N.a.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Nem / N.a.</w:t>
            </w:r>
          </w:p>
        </w:tc>
      </w:tr>
      <w:tr>
        <w:trPr>
          <w:cantSplit/>
        </w:trPr>
        <w:tc>
          <w:tcPr>
            <w:tcW w:type="dxa" w:w="6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A védett NIS2 SharePoint-hivatkozás és SHA-256 rögzítve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Igen / N.a.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Nem / N.a.</w:t>
            </w:r>
          </w:p>
        </w:tc>
      </w:tr>
      <w:tr>
        <w:trPr>
          <w:cantSplit/>
        </w:trPr>
        <w:tc>
          <w:tcPr>
            <w:tcW w:type="dxa" w:w="6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A név szerinti reviewer és az időzónás review-idő rögzítve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Igen / N.a.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Nem / N.a.</w:t>
            </w:r>
          </w:p>
        </w:tc>
      </w:tr>
    </w:tbl>
    <w:p>
      <w:pPr>
        <w:pStyle w:val="Heading2"/>
      </w:pPr>
      <w:r>
        <w:t>Megállapítás és szükséges intézkedés</w:t>
      </w:r>
    </w:p>
    <w:p>
      <w:pPr>
        <w:spacing w:after="80"/>
      </w:pPr>
      <w:r>
        <w:rPr>
          <w:rFonts w:ascii="Calibri" w:hAnsi="Calibri"/>
          <w:b w:val="0"/>
          <w:color w:val="5C6F7A"/>
          <w:sz w:val="18"/>
        </w:rPr>
        <w:t>________________________________________________________________________________</w:t>
      </w:r>
    </w:p>
    <w:p>
      <w:pPr>
        <w:spacing w:after="80"/>
      </w:pPr>
      <w:r>
        <w:rPr>
          <w:rFonts w:ascii="Calibri" w:hAnsi="Calibri"/>
          <w:b w:val="0"/>
          <w:color w:val="5C6F7A"/>
          <w:sz w:val="18"/>
        </w:rPr>
        <w:t>________________________________________________________________________________</w:t>
      </w:r>
    </w:p>
    <w:p>
      <w:pPr>
        <w:spacing w:after="80"/>
      </w:pPr>
      <w:r>
        <w:rPr>
          <w:rFonts w:ascii="Calibri" w:hAnsi="Calibri"/>
          <w:b w:val="0"/>
          <w:color w:val="5C6F7A"/>
          <w:sz w:val="18"/>
        </w:rPr>
        <w:t>________________________________________________________________________________</w:t>
      </w:r>
    </w:p>
    <w:p>
      <w:pPr>
        <w:pStyle w:val="Heading2"/>
      </w:pPr>
      <w:r>
        <w:t>Mellékletek és evidenciák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3780"/>
        <w:gridCol w:w="2880"/>
      </w:tblGrid>
      <w:tr>
        <w:trPr>
          <w:tblHeader w:val="true"/>
          <w:cantSplit/>
        </w:trP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Dokumentum / evidencia</w:t>
            </w:r>
          </w:p>
        </w:tc>
        <w:tc>
          <w:tcPr>
            <w:tcW w:type="dxa" w:w="37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Védett URI</w:t>
            </w:r>
          </w:p>
        </w:tc>
        <w:tc>
          <w:tcPr>
            <w:tcW w:type="dxa" w:w="2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SHA-256 / megjegyzés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1. __________________</w:t>
            </w:r>
          </w:p>
        </w:tc>
        <w:tc>
          <w:tcPr>
            <w:tcW w:type="dxa" w:w="37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________________________</w:t>
            </w:r>
          </w:p>
        </w:tc>
        <w:tc>
          <w:tcPr>
            <w:tcW w:type="dxa" w:w="2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__________________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2. __________________</w:t>
            </w:r>
          </w:p>
        </w:tc>
        <w:tc>
          <w:tcPr>
            <w:tcW w:type="dxa" w:w="37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________________________</w:t>
            </w:r>
          </w:p>
        </w:tc>
        <w:tc>
          <w:tcPr>
            <w:tcW w:type="dxa" w:w="2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__________________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3. __________________</w:t>
            </w:r>
          </w:p>
        </w:tc>
        <w:tc>
          <w:tcPr>
            <w:tcW w:type="dxa" w:w="37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________________________</w:t>
            </w:r>
          </w:p>
        </w:tc>
        <w:tc>
          <w:tcPr>
            <w:tcW w:type="dxa" w:w="2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__________________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4. __________________</w:t>
            </w:r>
          </w:p>
        </w:tc>
        <w:tc>
          <w:tcPr>
            <w:tcW w:type="dxa" w:w="37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________________________</w:t>
            </w:r>
          </w:p>
        </w:tc>
        <w:tc>
          <w:tcPr>
            <w:tcW w:type="dxa" w:w="2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__________________</w:t>
            </w:r>
          </w:p>
        </w:tc>
      </w:tr>
    </w:tbl>
    <w:p>
      <w:pPr>
        <w:pStyle w:val="Heading2"/>
        <w:keepNext/>
      </w:pPr>
      <w:r>
        <w:t>Döntés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rPr>
          <w:cantSplit/>
        </w:trPr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</w:pPr>
            <w:r>
              <w:rPr>
                <w:rFonts w:ascii="Calibri" w:hAnsi="Calibri"/>
                <w:b/>
                <w:color w:val="000000"/>
                <w:sz w:val="22"/>
              </w:rPr>
              <w:t>Elfogadható / előterjeszthető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</w:pPr>
            <w:r>
              <w:rPr>
                <w:rFonts w:ascii="Calibri" w:hAnsi="Calibri"/>
                <w:b/>
                <w:color w:val="000000"/>
                <w:sz w:val="22"/>
              </w:rPr>
              <w:t>Feltételekkel elfogadható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</w:pPr>
            <w:r>
              <w:rPr>
                <w:rFonts w:ascii="Calibri" w:hAnsi="Calibri"/>
                <w:b/>
                <w:color w:val="000000"/>
                <w:sz w:val="22"/>
              </w:rPr>
              <w:t>Javításra vagy pótlásra visszaadva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Jelölés: __________________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Jelölés: __________________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Jelölés: __________________</w:t>
            </w:r>
          </w:p>
        </w:tc>
      </w:tr>
    </w:tbl>
    <w:p>
      <w:r>
        <w:t>Az aláírás önmagában nem pótolja a felsorolt vizsgálatot, mellékletet, védett tárhivatkozást vagy technikai tesztet. A döntés csak a ténylegesen rendelkezésre álló és ellenőrzött anyagokra vonatkozhat.</w:t>
      </w:r>
    </w:p>
    <w:p>
      <w:pPr>
        <w:sectPr>
          <w:headerReference w:type="default" r:id="rId9"/>
          <w:footerReference w:type="default" r:id="rId10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pStyle w:val="Heading2"/>
      </w:pPr>
      <w:r>
        <w:t>Végleges dokumentum nyilvántartása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Végleges fájlnév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SharePoint-hivatkozás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SHA-256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Feltöltő / dátum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</w:r>
          </w:p>
        </w:tc>
      </w:tr>
    </w:tbl>
    <w:p>
      <w:r>
        <w:t>A helyi portálon csatolt fájl csak előkészített munkapéldány. A formális evidenciához a végleges fájlt a védett NIS2 SharePoint-tárba kell feltölteni, majd a tényleges fájlhivatkozást és a SHA-256 értéket kell rögzíteni.</w:t>
      </w:r>
    </w:p>
    <w:p>
      <w:pPr>
        <w:pStyle w:val="Heading2"/>
      </w:pPr>
      <w:r>
        <w:t>Aláírások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keepNext/>
            </w:pPr>
            <w:r>
              <w:rPr>
                <w:rFonts w:ascii="Calibri" w:hAnsi="Calibri"/>
                <w:b/>
                <w:color w:val="0B2545"/>
                <w:sz w:val="22"/>
              </w:rPr>
              <w:t>Előkészítő / felelős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keepNext/>
            </w:pPr>
            <w:r>
              <w:rPr>
                <w:rFonts w:ascii="Calibri" w:hAnsi="Calibri"/>
                <w:b/>
                <w:color w:val="0B2545"/>
                <w:sz w:val="22"/>
              </w:rPr>
              <w:t>Reviewer / jóváhagyó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Név: ______________________________</w:t>
            </w:r>
            <w:r>
              <w:rPr>
                <w:rFonts w:ascii="Calibri" w:hAnsi="Calibri"/>
                <w:b w:val="0"/>
                <w:color w:val="000000"/>
                <w:sz w:val="22"/>
              </w:rPr>
              <w:br/>
              <w:t>Dátum, aláírás: ____________________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Név: ______________________________</w:t>
            </w:r>
            <w:r>
              <w:rPr>
                <w:rFonts w:ascii="Calibri" w:hAnsi="Calibri"/>
                <w:b w:val="0"/>
                <w:color w:val="000000"/>
                <w:sz w:val="22"/>
              </w:rPr>
              <w:br/>
              <w:t>Dátum, aláírás: ____________________</w:t>
            </w:r>
          </w:p>
        </w:tc>
      </w:tr>
    </w:tbl>
    <w:sectPr w:rsidR="00FC693F" w:rsidRPr="0006063C" w:rsidSect="00034616">
      <w:footerReference w:type="default" r:id="rId11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 w:val="0"/>
        <w:color w:val="5C6F7A"/>
        <w:sz w:val="16"/>
      </w:rPr>
      <w:t>DEF-025 · Emberi munkalap · TERVEZET – kitöltés és jóváhagyás előtt nem evidencia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 w:val="0"/>
        <w:color w:val="5C6F7A"/>
        <w:sz w:val="16"/>
      </w:rPr>
      <w:t>DEF-025 · Emberi munkalap · TERVEZET – kitöltés és jóváhagyás előtt nem evidencia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/>
        <w:color w:val="5C6F7A"/>
        <w:sz w:val="18"/>
      </w:rPr>
      <w:t>metALCOM NIS2 · emberi végrehajtási csomag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0B254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Legacy megőrzési és restore-döntés</dc:title>
  <dc:subject/>
  <dc:creator/>
  <cp:keywords/>
  <dc:description/>
  <cp:lastModifiedBy/>
  <cp:revision>1</cp:revision>
  <dcterms:created xsi:type="dcterms:W3CDTF">2026-07-30T12:00:00Z</dcterms:created>
  <dcterms:modified xsi:type="dcterms:W3CDTF">2026-07-30T12:00:00Z</dcterms:modified>
  <cp:category/>
</cp:coreProperties>
</file>