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DEF-026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RDS-szeparációs assessment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RDS-, alkalmazás- és üzleti ownerek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G3/G5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A-027; data/rds_separation_plan.json; templates/rds_separation_review_record.md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RDS-/infrastruktúra-owner, Kollár Csaba, alkalmazás- és üzleti ownerek; jóváhagyott read-only user/CAL-, session-, workload-, teljesítmény-, konfigurációs és backup-export védett URI/SHA-256-tal; banki/könyvelési kulcs-/eszköz-scope metaadata secret nélkül; A-029 licencreview; szeparációs kockázat, continuity és rollback; öt kontrollált teszt owner- és G3 approval mellett; G1 review; fizetős eltérésnél hét költséginput és G5; külön konszolidációs vagy szeparációfenntartási döntés. Felhasználólista, banki/könyvelési adat, secret és kulcsanyag Gitbe nem kerülhet.</w:t>
      </w:r>
    </w:p>
    <w:p>
      <w:pPr>
        <w:pStyle w:val="Heading2"/>
      </w:pPr>
      <w:r>
        <w:t>Jelenlegi, igazolt folyamatállapot</w:t>
      </w:r>
    </w:p>
    <w:p>
      <w:r>
        <w:t>Elkészült az SRC-004 nem igazolt státuszát megőrző hatdomaines RDS-assessment, öttesztes, költségkapus és döntési séma; a jelenlegi szeparáció marad, éles lekérdezés vagy konszolidáció nem történt.</w:t>
      </w:r>
    </w:p>
    <w:p>
      <w:pPr>
        <w:pStyle w:val="Heading2"/>
      </w:pPr>
      <w:r>
        <w:t>Döntési kapu</w:t>
      </w:r>
    </w:p>
    <w:p>
      <w:r>
        <w:t>Bármely éles lekérdezés, user/session/workload mozgatás, konfigurációváltozás, konszolidáció vagy vásárlás, valamint az A-027 review-ra kész/DONE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RDS-/infrastruktúra-owner, Kollár Csaba, alkalmazás- és üzleti ownerek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read-only user/CAL-, session-, workload-, teljesítmény-, konfigurációs és backup-export védett URI/SHA-256-tal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banki/könyvelési kulcs-/eszköz-scope metaadata secret nélkül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A-029 licencreview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szeparációs kockázat, continuity és rollback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öt kontrollált teszt owner- és G3 approval mellett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fizetős eltérésnél hét költséginput és G5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külön konszolidációs vagy szeparációfenntartási döntés. Felhasználólista, banki/könyvelési adat, secret és kulcsanyag Gitbe nem kerülhet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DEF-026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DEF-026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RDS-szeparációs assessment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