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DEF-028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Működési kontrollcsomagok kapudöntése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DEF-028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Pásztor András; Kóczán Mónika; Koncz Erika; Kollár Csaba; kijelölendő belső kontroll-/alkalmazásgazdák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Zoltán; Dr. Berta Brigitta; jogosult G3/G5 approver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A-009; A-010; A-013; A-014; A-015; A-016; data/operational_control_work_packages.json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Végrehajtási hullám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W4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 feladathoz szükséges emberi vizsgálat, kapudöntés, mellékletek és jóváhagyási nyom egységes rögzítése. Elkészítendő eredmény: Szabályzatgazda és review-naptár; kontrollgazdai kapacitásigény és költségkeret-review; belső incidenskontroll-gazda, kontaktlista, jogi/IBF review és tabletop; HR/IBF szerepkör-alapú képzési scope és végrehajtási evidencia; jóváhagyott read-only account/access export, alkalmazásgazdai döntés, külön G3 change és post-check; A-029 licencreview, privilegizált MFA-scope, pilot, rollback, G3 és szükség esetén G5. Személyes lista, incidensadat, credential és védett dokumentum csak evidenciatárban kezelhető.</w:t>
      </w:r>
    </w:p>
    <w:p>
      <w:pPr>
        <w:pStyle w:val="Heading2"/>
      </w:pPr>
      <w:r>
        <w:t>Jelenlegi, igazolt folyamatállapot</w:t>
      </w:r>
    </w:p>
    <w:p>
      <w:r>
        <w:t>Elkészült a hat szervezeti/működési akció proposal-only regisztere és felelősségi útmutatója; működési vagy technikai végrehajtás nem történt.</w:t>
      </w:r>
    </w:p>
    <w:p>
      <w:pPr>
        <w:pStyle w:val="Heading2"/>
      </w:pPr>
      <w:r>
        <w:t>Döntési kapu</w:t>
      </w:r>
    </w:p>
    <w:p>
      <w:r>
        <w:t>Bármely kihirdetés, gyakorlat, képzés, éles fiókművelet, MFA-pilot vagy vásárlás, valamint az érintett akció review-ra kész/DONE státusza előtt.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Tekintse át a hivatkozott forrásokat és a jelenlegi folyamatállapotot.</w:t>
      </w:r>
    </w:p>
    <w:p>
      <w:pPr>
        <w:pStyle w:val="ListNumber"/>
      </w:pPr>
      <w:r>
        <w:t>Végezze el vagy igazolja a lapon felsorolt tényleges szakmai, jogi, biztonsági vagy műszaki ellenőrzéseket.</w:t>
      </w:r>
    </w:p>
    <w:p>
      <w:pPr>
        <w:pStyle w:val="ListNumber"/>
      </w:pPr>
      <w:r>
        <w:t>Csatolja a szükséges dokumentumokat, teszteredményeket és döntési mellékleteket; rögzítse a védett URI-kat és SHA-256 értékeket.</w:t>
      </w:r>
    </w:p>
    <w:p>
      <w:pPr>
        <w:pStyle w:val="ListNumber"/>
      </w:pPr>
      <w:r>
        <w:t>Jelölje a döntést, írja le a feltételeket vagy hiányokat, majd a jogosult reviewer írja alá a lapot.</w:t>
      </w:r>
    </w:p>
    <w:p>
      <w:pPr>
        <w:pStyle w:val="ListNumber"/>
      </w:pPr>
      <w:r>
        <w:t>A végleges, aláírt példányt töltse fel a védett NIS2 SharePoint-evidenciatárba.</w:t>
      </w: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Szabályzatgazda és review-naptár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kontrollgazdai kapacitásigény és költségkeret-review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belső incidenskontroll-gazda, kontaktlista, jogi/IBF review és tabletop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HR/IBF szerepkör-alapú képzési scope és végrehajtási evidencia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jóváhagyott read-only account/access export, alkalmazásgazdai döntés, külön G3 change és post-check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A-029 licencreview, privilegizált MFA-scope, pilot, rollback, G3 és szükség esetén G5. Személyes lista, incidensadat, credential és védett dokumentum csak evidenciatárban kezelhető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tényleges döntés vagy elkészült dokumentum csatolva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védett NIS2 SharePoint-hivatkozás és SHA-256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név szerinti reviewer és az időzónás review-idő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Mellékletek és evidenciák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780"/>
        <w:gridCol w:w="288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 / evidencia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Védett URI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 / megjegyzés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</w:tbl>
    <w:p>
      <w:pPr>
        <w:pStyle w:val="Heading2"/>
        <w:keepNext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Feltételekkel elfogadható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r>
        <w:t>Az aláírás önmagában nem pótolja a felsorolt vizsgálatot, mellékletet, védett tárhivatkozást vagy technikai tesztet. A döntés csak a ténylegesen rendelkezésre álló és ellenőrzött anyagokra vonatkozhat.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DEF-028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DEF-028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Működési kontrollcsomagok kapudöntése</dc:title>
  <dc:subject/>
  <dc:creator/>
  <cp:keywords/>
  <dc:description/>
  <cp:lastModifiedBy/>
  <cp:revision>1</cp:revision>
  <dcterms:created xsi:type="dcterms:W3CDTF">2026-07-30T12:00:00Z</dcterms:created>
  <dcterms:modified xsi:type="dcterms:W3CDTF">2026-07-30T12:00:00Z</dcterms:modified>
  <cp:category/>
</cp:coreProperties>
</file>