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012B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一、需求与完成情况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0"/>
        <w:gridCol w:w="2840"/>
      </w:tblGrid>
      <w:tr w14:paraId="69D05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5F8EB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</w:t>
            </w:r>
          </w:p>
        </w:tc>
        <w:tc>
          <w:tcPr>
            <w:tcW w:w="2840" w:type="dxa"/>
          </w:tcPr>
          <w:p w14:paraId="083E34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目标参数</w:t>
            </w:r>
          </w:p>
        </w:tc>
        <w:tc>
          <w:tcPr>
            <w:tcW w:w="2840" w:type="dxa"/>
          </w:tcPr>
          <w:p w14:paraId="15574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当前参数</w:t>
            </w:r>
          </w:p>
        </w:tc>
      </w:tr>
      <w:tr w14:paraId="41B67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840" w:type="dxa"/>
          </w:tcPr>
          <w:p w14:paraId="0967E6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输出电流通道</w:t>
            </w:r>
          </w:p>
        </w:tc>
        <w:tc>
          <w:tcPr>
            <w:tcW w:w="2840" w:type="dxa"/>
          </w:tcPr>
          <w:p w14:paraId="4CC7DA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840" w:type="dxa"/>
          </w:tcPr>
          <w:p w14:paraId="012BE6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 w14:paraId="0453A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840" w:type="dxa"/>
          </w:tcPr>
          <w:p w14:paraId="768A73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输出电压通道</w:t>
            </w:r>
          </w:p>
        </w:tc>
        <w:tc>
          <w:tcPr>
            <w:tcW w:w="2840" w:type="dxa"/>
          </w:tcPr>
          <w:p w14:paraId="7C2A52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2840" w:type="dxa"/>
          </w:tcPr>
          <w:p w14:paraId="486C1C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bookmarkStart w:id="0" w:name="_GoBack"/>
            <w:bookmarkEnd w:id="0"/>
          </w:p>
        </w:tc>
      </w:tr>
      <w:tr w14:paraId="6BAD3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36355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无线通信</w:t>
            </w:r>
          </w:p>
        </w:tc>
        <w:tc>
          <w:tcPr>
            <w:tcW w:w="2840" w:type="dxa"/>
          </w:tcPr>
          <w:p w14:paraId="5EBE3F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2840" w:type="dxa"/>
          </w:tcPr>
          <w:p w14:paraId="6C61BB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蓝牙通信</w:t>
            </w:r>
          </w:p>
        </w:tc>
      </w:tr>
      <w:tr w14:paraId="60003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38D8F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电源</w:t>
            </w:r>
          </w:p>
        </w:tc>
        <w:tc>
          <w:tcPr>
            <w:tcW w:w="2840" w:type="dxa"/>
          </w:tcPr>
          <w:p w14:paraId="722DCB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Type-C+电池&gt;300mAh</w:t>
            </w:r>
          </w:p>
        </w:tc>
        <w:tc>
          <w:tcPr>
            <w:tcW w:w="2840" w:type="dxa"/>
          </w:tcPr>
          <w:p w14:paraId="541E38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Type-C</w:t>
            </w:r>
            <w:r>
              <w:rPr>
                <w:rFonts w:hint="eastAsia"/>
                <w:vertAlign w:val="baseline"/>
                <w:lang w:val="en-US" w:eastAsia="zh-CN"/>
              </w:rPr>
              <w:t>+电池500mAh</w:t>
            </w:r>
          </w:p>
        </w:tc>
      </w:tr>
      <w:tr w14:paraId="154E6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8D77E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按键控制</w:t>
            </w:r>
          </w:p>
        </w:tc>
        <w:tc>
          <w:tcPr>
            <w:tcW w:w="2840" w:type="dxa"/>
          </w:tcPr>
          <w:p w14:paraId="7A8069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设置+开关机</w:t>
            </w:r>
          </w:p>
        </w:tc>
        <w:tc>
          <w:tcPr>
            <w:tcW w:w="2840" w:type="dxa"/>
          </w:tcPr>
          <w:p w14:paraId="677225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设置+开关机+重启</w:t>
            </w:r>
          </w:p>
        </w:tc>
      </w:tr>
      <w:tr w14:paraId="7B5B3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319DB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输出电流幅度</w:t>
            </w:r>
          </w:p>
        </w:tc>
        <w:tc>
          <w:tcPr>
            <w:tcW w:w="2840" w:type="dxa"/>
          </w:tcPr>
          <w:p w14:paraId="212CDD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0~4mA</w:t>
            </w:r>
          </w:p>
        </w:tc>
        <w:tc>
          <w:tcPr>
            <w:tcW w:w="2840" w:type="dxa"/>
          </w:tcPr>
          <w:p w14:paraId="5C2368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0~5mA</w:t>
            </w:r>
          </w:p>
        </w:tc>
      </w:tr>
      <w:tr w14:paraId="52F0C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B47AD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输出电压幅度</w:t>
            </w:r>
          </w:p>
        </w:tc>
        <w:tc>
          <w:tcPr>
            <w:tcW w:w="2840" w:type="dxa"/>
          </w:tcPr>
          <w:p w14:paraId="3CB792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2840" w:type="dxa"/>
          </w:tcPr>
          <w:p w14:paraId="57DDFD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0~5V</w:t>
            </w:r>
          </w:p>
        </w:tc>
      </w:tr>
      <w:tr w14:paraId="52D15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FFF9A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调节精度</w:t>
            </w:r>
          </w:p>
        </w:tc>
        <w:tc>
          <w:tcPr>
            <w:tcW w:w="2840" w:type="dxa"/>
          </w:tcPr>
          <w:p w14:paraId="0FE986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0.5%</w:t>
            </w:r>
          </w:p>
        </w:tc>
        <w:tc>
          <w:tcPr>
            <w:tcW w:w="2840" w:type="dxa"/>
          </w:tcPr>
          <w:p w14:paraId="1E51F7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15Bit(0.003%)</w:t>
            </w:r>
          </w:p>
        </w:tc>
      </w:tr>
      <w:tr w14:paraId="4CB3D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40C3D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调节误差</w:t>
            </w:r>
          </w:p>
        </w:tc>
        <w:tc>
          <w:tcPr>
            <w:tcW w:w="2840" w:type="dxa"/>
          </w:tcPr>
          <w:p w14:paraId="3ABFBD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0.02mA</w:t>
            </w:r>
          </w:p>
        </w:tc>
        <w:tc>
          <w:tcPr>
            <w:tcW w:w="2840" w:type="dxa"/>
          </w:tcPr>
          <w:p w14:paraId="777FA6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0.02mA</w:t>
            </w:r>
          </w:p>
        </w:tc>
      </w:tr>
      <w:tr w14:paraId="07D27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C852C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显示与调节功能</w:t>
            </w:r>
          </w:p>
        </w:tc>
        <w:tc>
          <w:tcPr>
            <w:tcW w:w="2840" w:type="dxa"/>
          </w:tcPr>
          <w:p w14:paraId="23D461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2840" w:type="dxa"/>
          </w:tcPr>
          <w:p w14:paraId="0A6F0E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0.96寸OLED显示 </w:t>
            </w:r>
          </w:p>
          <w:p w14:paraId="7B109A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按钮调节</w:t>
            </w:r>
          </w:p>
        </w:tc>
      </w:tr>
      <w:tr w14:paraId="73FC7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5AB63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尺寸</w:t>
            </w:r>
          </w:p>
        </w:tc>
        <w:tc>
          <w:tcPr>
            <w:tcW w:w="2840" w:type="dxa"/>
          </w:tcPr>
          <w:p w14:paraId="6CA6DD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5*5*2cm</w:t>
            </w:r>
          </w:p>
        </w:tc>
        <w:tc>
          <w:tcPr>
            <w:tcW w:w="2840" w:type="dxa"/>
          </w:tcPr>
          <w:p w14:paraId="313F27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4.8*4.8*2cm</w:t>
            </w:r>
          </w:p>
        </w:tc>
      </w:tr>
    </w:tbl>
    <w:p w14:paraId="53243BFB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模块设计方案</w:t>
      </w:r>
    </w:p>
    <w:p w14:paraId="786A1EA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2.1供电模块</w:t>
      </w:r>
    </w:p>
    <w:p w14:paraId="78E6D4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供电方案以电池为核心，辅以支持充电功能的电源管理板。电池通过接入的5V充放电管理板供电，该模块集成Type-C接口，具备自动电源切换能力——当检测到外部电源接入时，系统自动切换至外部供电，并同步为电池充电。</w:t>
      </w:r>
    </w:p>
    <w:p w14:paraId="405C84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</w:pPr>
      <w:r>
        <w:drawing>
          <wp:inline distT="0" distB="0" distL="114300" distR="114300">
            <wp:extent cx="4094480" cy="1812925"/>
            <wp:effectExtent l="0" t="0" r="7620" b="317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4480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59DA7">
      <w:pPr>
        <w:pStyle w:val="12"/>
        <w:numPr>
          <w:ilvl w:val="0"/>
          <w:numId w:val="0"/>
        </w:numPr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>充放电管理板</w:t>
      </w:r>
      <w:r>
        <w:rPr>
          <w:rFonts w:hint="eastAsia"/>
          <w:lang w:eastAsia="zh-CN"/>
        </w:rPr>
        <w:t>设计</w:t>
      </w:r>
    </w:p>
    <w:p w14:paraId="4C282A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管理板上设有两个状态指示灯，分别用于显示供电状态和充电状态，便于实时监测系统运行情况。</w:t>
      </w:r>
    </w:p>
    <w:p w14:paraId="0D1304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电池输出首先经由稳压模块为后级DC-DC电源芯片供电，其中采用的器件为AP63205（输出5V）与AP63203（输出3.3V）。</w:t>
      </w:r>
    </w:p>
    <w:p w14:paraId="7DD5C1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</w:pPr>
      <w:r>
        <w:drawing>
          <wp:inline distT="0" distB="0" distL="114300" distR="114300">
            <wp:extent cx="4175760" cy="4561840"/>
            <wp:effectExtent l="0" t="0" r="2540" b="1016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456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C13CA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3.3V及5V DC-DC电路</w:t>
      </w:r>
    </w:p>
    <w:p w14:paraId="1B321F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为了满足高电压输出需求，5V电压进一步通过MT3608升压芯片升压至24V，为电流源模块供电。各个供电路径均配备LED指示灯，便于调试与故障诊断。</w:t>
      </w:r>
    </w:p>
    <w:p w14:paraId="656CDB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</w:pPr>
      <w:r>
        <w:drawing>
          <wp:inline distT="0" distB="0" distL="114300" distR="114300">
            <wp:extent cx="5270500" cy="3498850"/>
            <wp:effectExtent l="0" t="0" r="0" b="635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6E145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24V DC-DC电路</w:t>
      </w:r>
    </w:p>
    <w:p w14:paraId="0F302E7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2.2输出模块</w:t>
      </w:r>
    </w:p>
    <w:p w14:paraId="130C08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本模块核心器件为GP8630，是一款集成度较高的电流电压源芯片，可将I2C数字信号线性转换为0–5mA的模拟电流输出，或切换成0-5V。</w:t>
      </w:r>
    </w:p>
    <w:p w14:paraId="3F7456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该芯片内置15-bit DAC，具备如下优势：</w:t>
      </w:r>
    </w:p>
    <w:p w14:paraId="65AA3D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输出电压线性误差仅为0.02%，保障高精度控制</w:t>
      </w:r>
    </w:p>
    <w:p w14:paraId="75A0BD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功耗低于5mA，适合便携式低功耗系统</w:t>
      </w:r>
    </w:p>
    <w:p w14:paraId="076B45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启动时间小于2ms，响应速度快</w:t>
      </w:r>
    </w:p>
    <w:p w14:paraId="40A807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内建开路报警功能，提高系统安全性</w:t>
      </w:r>
    </w:p>
    <w:p w14:paraId="03A516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芯片所采用的电路为经过实验室验证的成熟电路。为控制芯片热耗散，外部增加了散热保护电路，确保主要热量集中于PMOS管上，避免芯片过热，提升系统稳定性。</w:t>
      </w:r>
    </w:p>
    <w:p w14:paraId="49C761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</w:pPr>
      <w:r>
        <w:drawing>
          <wp:inline distT="0" distB="0" distL="114300" distR="114300">
            <wp:extent cx="5268595" cy="2439670"/>
            <wp:effectExtent l="0" t="0" r="0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rcRect b="21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4FA07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电流电压源电路</w:t>
      </w:r>
    </w:p>
    <w:p w14:paraId="77F776B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2.3主控及其他模块</w:t>
      </w:r>
    </w:p>
    <w:p w14:paraId="524488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主控单元采用STM32F103C8T6单片机，负责整体逻辑控制与通信协调。</w:t>
      </w:r>
    </w:p>
    <w:p w14:paraId="52711162">
      <w:pPr>
        <w:pStyle w:val="12"/>
        <w:bidi w:val="0"/>
      </w:pPr>
      <w:r>
        <w:drawing>
          <wp:inline distT="0" distB="0" distL="114300" distR="114300">
            <wp:extent cx="4866005" cy="2993390"/>
            <wp:effectExtent l="0" t="0" r="10795" b="381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6005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C161E">
      <w:pPr>
        <w:pStyle w:val="1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主控电路</w:t>
      </w:r>
    </w:p>
    <w:p w14:paraId="4249A0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外设包括：</w:t>
      </w:r>
    </w:p>
    <w:p w14:paraId="65D8B8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一块0.96英寸OLED屏幕，用于实时显示系统状态与参数</w:t>
      </w:r>
    </w:p>
    <w:p w14:paraId="199CD8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一个低功耗蓝牙模块（BLE），支持与上位机或移动终端通信，后续可拓展远程控制与数据记录功能。</w:t>
      </w:r>
    </w:p>
    <w:p w14:paraId="40398A59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硬件设计</w:t>
      </w:r>
    </w:p>
    <w:p w14:paraId="04C127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设备正面整体布局如下图所示。</w:t>
      </w:r>
    </w:p>
    <w:p w14:paraId="079D2C3A">
      <w:r>
        <w:drawing>
          <wp:inline distT="0" distB="0" distL="114300" distR="114300">
            <wp:extent cx="5266690" cy="3832860"/>
            <wp:effectExtent l="0" t="0" r="3810" b="254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46881">
      <w:pPr>
        <w:pStyle w:val="1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设备正面布局</w:t>
      </w:r>
    </w:p>
    <w:p w14:paraId="52E4E8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左侧面包含设备开关、充电口、重启按钮，其中设备开关用于控制设备整体的开启关闭；充电口为Type-C接口，由充放电管理板引出，用于直接为设备供电或进行充电；重启按钮用于控制主控芯片重新启动，防止设备卡死等特殊情况发生。</w:t>
      </w:r>
    </w:p>
    <w:p w14:paraId="3515616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右侧为四路输出，采用SH1.0接口，其体积较小，强度较高，在尽可能压缩尺寸的前提下保证了安全正常输出，电路板上安装母座，由带引线的公头插入即可引出输出，未插入时输出端子隐藏在母座内避免短路。</w:t>
      </w:r>
    </w:p>
    <w:p w14:paraId="1987926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正面主体为一OLED屏幕，用于显示设备相关信息，方便调试，屏幕下方有两绿色LED指示灯，分别接入3.3V与24V电路，展示两路电路运行状况，便于及时排查问题。LED下方为三个轻触开关，在操作逻辑上分别表示增加/上移、减小/下移与确认/返回，用于调整系统配置。</w:t>
      </w:r>
    </w:p>
    <w:p w14:paraId="0B389AB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OLED下方为主控与输出端相关电路，如下图所示</w:t>
      </w:r>
    </w:p>
    <w:p w14:paraId="07D719FD">
      <w:pPr>
        <w:pStyle w:val="12"/>
        <w:bidi w:val="0"/>
      </w:pPr>
      <w:r>
        <w:drawing>
          <wp:inline distT="0" distB="0" distL="114300" distR="114300">
            <wp:extent cx="3001010" cy="2955925"/>
            <wp:effectExtent l="0" t="0" r="8890" b="317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101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04379">
      <w:pPr>
        <w:pStyle w:val="1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>设备正面元器件布局</w:t>
      </w:r>
    </w:p>
    <w:p w14:paraId="137F207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，正中心为主控芯片，周围包含相关晶振、滤波、上拉电阻等元器件用于相关功能的实现与增加稳定性，左上角为5VDC-DC电路，与开关直接相连，由充放电管理板输出的5V从开关经过该电路进一步稳压后输出至其余DC-DC模块。左下角为3.3VDC-DC电路，主要为主控提供供电，并为通信线提供上拉，实现主控供电与其余模块供电的隔离，保证系统稳定性。在四路输出插座左侧拥有对应的开关电路，在电压输出模式下，主控可以控制对应的三极管实现低端控制，产生PWM波形。左侧空白区域为充放电管理板预留部分，包含四个用于安装、连接管理板的通孔，分别为电池接口与板内电路接口。</w:t>
      </w:r>
    </w:p>
    <w:p w14:paraId="3B7132F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设备背面整体布局如下图所示</w:t>
      </w:r>
    </w:p>
    <w:p w14:paraId="04D67766">
      <w:pPr>
        <w:pStyle w:val="12"/>
        <w:bidi w:val="0"/>
      </w:pPr>
      <w:r>
        <w:drawing>
          <wp:inline distT="0" distB="0" distL="114300" distR="114300">
            <wp:extent cx="3313430" cy="3249930"/>
            <wp:effectExtent l="0" t="0" r="1270" b="127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343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C097C">
      <w:pPr>
        <w:pStyle w:val="12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>设备背面布局</w:t>
      </w:r>
    </w:p>
    <w:p w14:paraId="2A9805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面整体为电路输出相关电路，其中右上角为24VDC-DC模块，与正面的5V电路直接相连，并为相关芯片提供供电。中间整体为一列输出芯片，其余均为其配套电路，包括TVS、热量转移三极管、滤波电容及电阻等，实现芯片的单端口电流电压一体输出。</w:t>
      </w:r>
    </w:p>
    <w:p w14:paraId="5F2114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此外，右上角提供了6P排针，该排针用于直接连接蓝牙模块，为蓝牙模块提供供电及通信功能。</w:t>
      </w:r>
    </w:p>
    <w:p w14:paraId="7C6039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此外，电路板四角包含四个M3通孔，用于将电路板固定在设备外壳上。</w:t>
      </w:r>
    </w:p>
    <w:p w14:paraId="079DD4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设备外壳包含两部分，在内部预留螺孔实现固定，保证外壳的完整性，底部如下图所示。</w:t>
      </w:r>
    </w:p>
    <w:p w14:paraId="2E4F4981">
      <w:pPr>
        <w:pStyle w:val="12"/>
        <w:bidi w:val="0"/>
      </w:pPr>
      <w:r>
        <w:drawing>
          <wp:inline distT="0" distB="0" distL="114300" distR="114300">
            <wp:extent cx="2872740" cy="1967865"/>
            <wp:effectExtent l="0" t="0" r="10160" b="635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06955" cy="2255520"/>
            <wp:effectExtent l="0" t="0" r="4445" b="508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6955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97888">
      <w:pPr>
        <w:pStyle w:val="1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>底部外壳</w:t>
      </w:r>
    </w:p>
    <w:p w14:paraId="05385B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底部具有内埋螺母设计，内部螺孔具备四个平台用于支撑电路板，并为下方电池、蓝牙模块提供空间。</w:t>
      </w:r>
    </w:p>
    <w:p w14:paraId="72670E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顶部如下图所示。</w:t>
      </w:r>
    </w:p>
    <w:p w14:paraId="46896024">
      <w:pPr>
        <w:pStyle w:val="12"/>
        <w:bidi w:val="0"/>
      </w:pPr>
      <w:r>
        <w:drawing>
          <wp:inline distT="0" distB="0" distL="114300" distR="114300">
            <wp:extent cx="2475865" cy="1881505"/>
            <wp:effectExtent l="0" t="0" r="635" b="10795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5865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91410" cy="1931035"/>
            <wp:effectExtent l="0" t="0" r="8890" b="12065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9141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C98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顶部包含四个用于放置平头螺丝的异形孔，为OLED、LED及按钮预留的通孔以及左右两侧为按钮及输出端预留的通孔，整体尺寸与底部保持一致，并进行部分倒角处理。</w:t>
      </w:r>
    </w:p>
    <w:p w14:paraId="01F501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底部、顶部通过3D打印成型，并采用四枚长螺丝直接固定，通过异形孔设计保证设备整体平滑，无突出法兰或多余构件，并通过注胶封堵部分孔洞。</w:t>
      </w:r>
    </w:p>
    <w:p w14:paraId="34F15E47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软件设计</w:t>
      </w:r>
    </w:p>
    <w:p w14:paraId="2E9077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软件整体架构如下图所示</w:t>
      </w:r>
    </w:p>
    <w:p w14:paraId="2C1D5856">
      <w:pPr>
        <w:pStyle w:val="12"/>
        <w:bidi w:val="0"/>
      </w:pPr>
      <w:r>
        <w:drawing>
          <wp:inline distT="0" distB="0" distL="114300" distR="114300">
            <wp:extent cx="3543300" cy="3432175"/>
            <wp:effectExtent l="0" t="0" r="0" b="9525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5D9D4">
      <w:pPr>
        <w:pStyle w:val="12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>软件架构</w:t>
      </w:r>
    </w:p>
    <w:p w14:paraId="1CAE5A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本系统采用经典的分层软件架构设计，确保代码的可维护性和可扩展性。整个软件架构分为三个主要层次：应用层、硬件抽象层和HAL库层。</w:t>
      </w:r>
    </w:p>
    <w:p w14:paraId="33059D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层是系统的最高层，负责实现所有用户可见的功能逻辑。UI管理模块处理OLED显示屏的界面渲染和用户交互逻辑，包括主界面显示、设置页面切换以及参数高亮显示等功能。参数设置模块管理四个通道的所有输出参数，包括电流值、电压值、PWM频率和占空比等的存储和验证。命令解析模块负责解析来自UART接口的远程控制命令，支持标准化的命令格式，并提供错误检测和响应反馈机制。显示控制模块协调各种显示内容的更新，确保界面信息的实时性和准确性。</w:t>
      </w:r>
    </w:p>
    <w:p w14:paraId="1BC550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抽象层在应用层和底层硬件之间提供了一层抽象接口，屏蔽了具体硬件实现的细节。I2C驱动模块封装了与DAC芯片的通信协议，提供简洁的函数接口供上层调用，并处理设备检测和错误处理。PWM控制模块管理四个独立的定时器通道，提供频率和占空比的动态配置功能。UART通信模块实现了中断驱动的串口数据收发，确保命令处理的实时性。GPIO控制模块管理按键输入的检测和消抖处理，支持短按和长按的区分识别。这种分层设计使得系统具有良好的模块化特性，便于单独测试和后期维护。</w:t>
      </w:r>
    </w:p>
    <w:p w14:paraId="58E958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主流程如下图所示。系统初始化阶段是程序执行的起点，首先进行底层硬件的配置。HAL_Init()函数完成系统基础设置，包括中断向量表配置和系统时钟准备。SystemClock_Config()将系统主频设置为72MHz，为各外设提供稳定的时钟源。接下来依次初始化GPIO、UART、I2C和四个定时器模块，建立与外部设备的通信接口。这个阶段的初始化顺序经过精心设计，确保各模块之间的依赖关系得到正确处理。</w:t>
      </w:r>
    </w:p>
    <w:p w14:paraId="15CB84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层初始化阶段在硬件初始化完成后执行，主要进行业务逻辑相关的准备工作。initChannels()函数为四个通道设置默认参数，包括输出模式、数值范围和PWM配置等。initUIState()初始化用户界面状态，设定默认显示页面和选中项。Check_I2C_Devices()执行设备自动检测，扫描I2C总线上的DAC芯片，并更新连接状态标志。OLED_Init()完成显示屏的硬件初始化，准备显示用户界面。最后启动定时器和PWM输出，使系统进入工作状态。</w:t>
      </w:r>
    </w:p>
    <w:p w14:paraId="0D5C53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循环执行阶段是系统的核心运行逻辑，采用轮询方式处理各种任务。显示更新任务以100ms的周期执行，首先清空显示缓存，然后根据当前界面状态调用相应的显示函数。showUI()显示主界面，包含四个通道的状态和参数信息，而showSettingsPage()显示设置界面的详细参数。显示更新完成后立即刷新OLED屏幕，确保用户看到最新的信息。按键扫描任务同样以100ms周期执行，KeyScan()函数检测三个按键的状态变化，处理按键消抖，并根据按键类型和当前界面状态执行相应的操作逻辑。</w:t>
      </w:r>
    </w:p>
    <w:p w14:paraId="25F9834B">
      <w:pPr>
        <w:pStyle w:val="12"/>
        <w:bidi w:val="0"/>
      </w:pPr>
      <w:r>
        <w:drawing>
          <wp:inline distT="0" distB="0" distL="114300" distR="114300">
            <wp:extent cx="4525010" cy="4901565"/>
            <wp:effectExtent l="0" t="0" r="8890" b="635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5010" cy="490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90A1F">
      <w:pPr>
        <w:pStyle w:val="12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>软件主流程</w:t>
      </w:r>
    </w:p>
    <w:p w14:paraId="4058CF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键处理子流程如下图所示。按键扫描机制采用状态机的方式实现，能够准确区分短按、长按和连续操作。系统为每个按键维护独立的状态变量和计时器，当检测到按键按下时，开始计时并更新按键状态。如果按键持续按下时间超过预设的长按阈值（10ms），系统进入长按处理模式，此时会根据当前的界面状态和选中项执行相应的快速调节操作。按键释放时，根据按压时长判断是短按还是长按操作，执行不同的功能逻辑。</w:t>
      </w:r>
    </w:p>
    <w:p w14:paraId="619F16D5">
      <w:pPr>
        <w:pStyle w:val="12"/>
        <w:bidi w:val="0"/>
      </w:pPr>
      <w:r>
        <w:drawing>
          <wp:inline distT="0" distB="0" distL="114300" distR="114300">
            <wp:extent cx="2399030" cy="4350385"/>
            <wp:effectExtent l="0" t="0" r="1270" b="5715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99030" cy="435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A6CCC">
      <w:pPr>
        <w:pStyle w:val="12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>按键子流程</w:t>
      </w:r>
    </w:p>
    <w:p w14:paraId="57BF3B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按键功能映射根据当前的界面状态动态调整。在主界面状态下，KEY1和KEY2用于切换选中的通道，支持循环切换；KEY3用于进入设置页面。在设置界面的选择状态下，KEY1和KEY2用于在不同     设置项之间导航，KEY3用于进入编辑状态或返回主界面。在设置界面的编辑状态下，KEY1和KEY2用于增减当前参数值，支持单步调节和长按连续调节；KEY3用于确认当前设置并立即应用到硬件。这种状态相关的按键映射设计，使得用户能够用最少的按键完成复杂的操作。</w:t>
      </w:r>
    </w:p>
    <w:p w14:paraId="7BCD83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UART命令处理子流程如下图所示。命令接收机制采用中断驱动方式实现，确保命令处理的实时性。HAL_UART_RxCpltCallback()中断服务函数在接收到每个字符时被调用，将字符存储到接收缓冲区中。当检测到行结束符（'\n'）时，表示一条完整命令接收完成，此时设置命令就绪标志，并将完整命令复制到命令处理缓冲区。这种设计避免了在中断服务函数中执行复杂的命令解析逻辑，保证了系统的实时性能。       </w:t>
      </w:r>
    </w:p>
    <w:p w14:paraId="7F81539F">
      <w:pPr>
        <w:pStyle w:val="12"/>
        <w:bidi w:val="0"/>
      </w:pPr>
      <w:r>
        <w:drawing>
          <wp:inline distT="0" distB="0" distL="114300" distR="114300">
            <wp:extent cx="2029460" cy="3714115"/>
            <wp:effectExtent l="0" t="0" r="2540" b="6985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2946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44798">
      <w:pPr>
        <w:pStyle w:val="12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t>UART命令处理子流程</w:t>
      </w:r>
    </w:p>
    <w:p w14:paraId="0F2909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令解析处理在主循环中通过检查命令就绪标志来触发执行。ParseCommand()函数使用标准的sscanf()函数解析命令格式，支持多种命令类型：I命令设置电流输出，V命令设置电压输出，F命令设置PWM频率，D命令设置占空比，M命令切换输出模式。每种命令都包含通道号和设置值两个参数，系统会验证通道号的有效范围（1-4）和设置值的合理区间。解析成功后，系统立即调用相应的设置函数更新硬件输出，并通过UART发送执行结果的反馈信息。如果命令格式错误或参数超出范围，系统会发送相应的错误提示信息，帮助用户纠正命令格式。这种设计确保了远程控制的可靠性和用户友好性。</w:t>
      </w:r>
    </w:p>
    <w:p w14:paraId="56D9B2DB">
      <w:pPr>
        <w:pStyle w:val="3"/>
        <w:numPr>
          <w:ilvl w:val="0"/>
          <w:numId w:val="2"/>
        </w:numPr>
        <w:bidi w:val="0"/>
        <w:ind w:firstLine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核心代码</w:t>
      </w:r>
    </w:p>
    <w:p w14:paraId="405282E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通道数据结构：</w:t>
      </w:r>
    </w:p>
    <w:p w14:paraId="365D4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typedef struct {</w:t>
      </w:r>
    </w:p>
    <w:p w14:paraId="27BF1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uint8_t mode;  // 电流/电压模式 (0=电流, 1=电压)</w:t>
      </w:r>
    </w:p>
    <w:p w14:paraId="5990F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uint16_t current_value;   // 电流值 (0.01mA精度)</w:t>
      </w:r>
    </w:p>
    <w:p w14:paraId="16A36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uint16_t voltage_value;   // 电压值 (0.01V精度)</w:t>
      </w:r>
    </w:p>
    <w:p w14:paraId="70E59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uint16_t pwm_frequency;   // PWM频率 (1-1000Hz)</w:t>
      </w:r>
    </w:p>
    <w:p w14:paraId="6DE5C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uint8_t pwm_duty_cycle;    // PWM占空比 (0-100%)</w:t>
      </w:r>
    </w:p>
    <w:p w14:paraId="1096F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uint16_t full_scale_A;      // 电流满量程校准值</w:t>
      </w:r>
    </w:p>
    <w:p w14:paraId="592A7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uint16_t full_scale_V;      // 电压满量程校准值</w:t>
      </w:r>
    </w:p>
    <w:p w14:paraId="64069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uint8_t status;             // 通道连接状态</w:t>
      </w:r>
    </w:p>
    <w:p w14:paraId="374A5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 Channel_t;</w:t>
      </w:r>
    </w:p>
    <w:p w14:paraId="4E6AEE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lang w:val="en-US" w:eastAsia="zh-CN"/>
        </w:rPr>
        <w:t>UI状态结构：</w:t>
      </w:r>
    </w:p>
    <w:p w14:paraId="0B380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typedef struct {</w:t>
      </w:r>
    </w:p>
    <w:p w14:paraId="5CD2C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uint8_t modeFlag;                 // 当前显示模式</w:t>
      </w:r>
    </w:p>
    <w:p w14:paraId="63938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uint8_t channelFlag;              // 当前选择通道 (0-3)</w:t>
      </w:r>
    </w:p>
    <w:p w14:paraId="4D359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uint8_t inSettingsPage;           // 是否在设置页面</w:t>
      </w:r>
    </w:p>
    <w:p w14:paraId="7A0C6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uint8_t settingFlag;              // 当前高亮设置项</w:t>
      </w:r>
    </w:p>
    <w:p w14:paraId="1D1D4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uint8_t isSettingFlag;            // 是否在编辑状态</w:t>
      </w:r>
    </w:p>
    <w:p w14:paraId="159C1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 UIState_t;</w:t>
      </w:r>
    </w:p>
    <w:p w14:paraId="532D562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DAC输出计算：</w:t>
      </w:r>
    </w:p>
    <w:p w14:paraId="0F147F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电流输出计算：</w:t>
      </w:r>
    </w:p>
    <w:p w14:paraId="6827E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uint16_t data = (uint16_t)((value + (fullS - value) / fullS * C[channel]) / fullS * 0xFFFF);</w:t>
      </w:r>
    </w:p>
    <w:p w14:paraId="38246D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电压输出计算：</w:t>
      </w:r>
    </w:p>
    <w:p w14:paraId="257A0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uint16_t data = (uint16_t)(((float)voltage_value / (float)full_scale_V) * 0xFFFF);</w:t>
      </w:r>
    </w:p>
    <w:p w14:paraId="783E00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PWM参数计算：</w:t>
      </w:r>
    </w:p>
    <w:p w14:paraId="7A0B4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固定预分频：7200分频 =&gt; 定时器时钟为10kHz</w:t>
      </w:r>
    </w:p>
    <w:p w14:paraId="29CA1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uint32_t prescaler = 7199;</w:t>
      </w:r>
    </w:p>
    <w:p w14:paraId="1DD86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uint32_t timer_clk = 72000000;</w:t>
      </w:r>
    </w:p>
    <w:p w14:paraId="475CB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uint32_t arr = (timer_clk / (prescaler + 1)) / freq - 1;</w:t>
      </w:r>
    </w:p>
    <w:p w14:paraId="26F9D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uint32_t ccr = (uint32_t)((arr + 1) * (duty / 100.0f));</w:t>
      </w:r>
    </w:p>
    <w:p w14:paraId="4B0D1B1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通信协议：</w:t>
      </w:r>
    </w:p>
    <w:p w14:paraId="59F39AA7">
      <w:pPr>
        <w:rPr>
          <w:rFonts w:hint="eastAsia"/>
          <w:lang w:val="en-US" w:eastAsia="zh-CN"/>
        </w:rPr>
      </w:pPr>
    </w:p>
    <w:p w14:paraId="09E4DD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UART命令格式: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61"/>
        <w:gridCol w:w="1035"/>
        <w:gridCol w:w="3777"/>
        <w:gridCol w:w="1349"/>
      </w:tblGrid>
      <w:tr w14:paraId="18EDE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61" w:type="dxa"/>
          </w:tcPr>
          <w:p w14:paraId="057490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命令类型</w:t>
            </w:r>
          </w:p>
        </w:tc>
        <w:tc>
          <w:tcPr>
            <w:tcW w:w="1035" w:type="dxa"/>
          </w:tcPr>
          <w:p w14:paraId="789FB8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格式</w:t>
            </w:r>
          </w:p>
        </w:tc>
        <w:tc>
          <w:tcPr>
            <w:tcW w:w="3777" w:type="dxa"/>
          </w:tcPr>
          <w:p w14:paraId="340F62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  <w:tc>
          <w:tcPr>
            <w:tcW w:w="1349" w:type="dxa"/>
          </w:tcPr>
          <w:p w14:paraId="32377F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示例</w:t>
            </w:r>
          </w:p>
        </w:tc>
      </w:tr>
      <w:tr w14:paraId="5B929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61" w:type="dxa"/>
          </w:tcPr>
          <w:p w14:paraId="3D5EE9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设置电流</w:t>
            </w:r>
          </w:p>
        </w:tc>
        <w:tc>
          <w:tcPr>
            <w:tcW w:w="1035" w:type="dxa"/>
          </w:tcPr>
          <w:p w14:paraId="0D3748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I=</w:t>
            </w:r>
          </w:p>
        </w:tc>
        <w:tc>
          <w:tcPr>
            <w:tcW w:w="3777" w:type="dxa"/>
          </w:tcPr>
          <w:p w14:paraId="459E8F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设置指定通道电流值(mA)</w:t>
            </w:r>
          </w:p>
        </w:tc>
        <w:tc>
          <w:tcPr>
            <w:tcW w:w="1349" w:type="dxa"/>
          </w:tcPr>
          <w:p w14:paraId="2A1135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I1=12.34</w:t>
            </w:r>
          </w:p>
        </w:tc>
      </w:tr>
      <w:tr w14:paraId="3FA66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61" w:type="dxa"/>
          </w:tcPr>
          <w:p w14:paraId="634643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设置电压</w:t>
            </w:r>
          </w:p>
        </w:tc>
        <w:tc>
          <w:tcPr>
            <w:tcW w:w="1035" w:type="dxa"/>
          </w:tcPr>
          <w:p w14:paraId="5E1485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V=</w:t>
            </w:r>
          </w:p>
        </w:tc>
        <w:tc>
          <w:tcPr>
            <w:tcW w:w="3777" w:type="dxa"/>
          </w:tcPr>
          <w:p w14:paraId="22BE90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设置指定通道电压值(V)</w:t>
            </w:r>
          </w:p>
        </w:tc>
        <w:tc>
          <w:tcPr>
            <w:tcW w:w="1349" w:type="dxa"/>
          </w:tcPr>
          <w:p w14:paraId="280710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V2=5.00</w:t>
            </w:r>
          </w:p>
        </w:tc>
      </w:tr>
      <w:tr w14:paraId="53B02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61" w:type="dxa"/>
          </w:tcPr>
          <w:p w14:paraId="2B2ADD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设置PWM频率</w:t>
            </w:r>
          </w:p>
        </w:tc>
        <w:tc>
          <w:tcPr>
            <w:tcW w:w="1035" w:type="dxa"/>
          </w:tcPr>
          <w:p w14:paraId="70ADD4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F=</w:t>
            </w:r>
          </w:p>
        </w:tc>
        <w:tc>
          <w:tcPr>
            <w:tcW w:w="3777" w:type="dxa"/>
          </w:tcPr>
          <w:p w14:paraId="21057E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设置PWM频率(Hz)</w:t>
            </w:r>
          </w:p>
        </w:tc>
        <w:tc>
          <w:tcPr>
            <w:tcW w:w="1349" w:type="dxa"/>
          </w:tcPr>
          <w:p w14:paraId="5E6820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F3=500</w:t>
            </w:r>
          </w:p>
        </w:tc>
      </w:tr>
      <w:tr w14:paraId="73B30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61" w:type="dxa"/>
          </w:tcPr>
          <w:p w14:paraId="30CC41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设置PWM占空比</w:t>
            </w:r>
          </w:p>
        </w:tc>
        <w:tc>
          <w:tcPr>
            <w:tcW w:w="1035" w:type="dxa"/>
          </w:tcPr>
          <w:p w14:paraId="59EE92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D=</w:t>
            </w:r>
          </w:p>
        </w:tc>
        <w:tc>
          <w:tcPr>
            <w:tcW w:w="3777" w:type="dxa"/>
          </w:tcPr>
          <w:p w14:paraId="4F21EA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设置占空比(%)</w:t>
            </w:r>
          </w:p>
        </w:tc>
        <w:tc>
          <w:tcPr>
            <w:tcW w:w="1349" w:type="dxa"/>
          </w:tcPr>
          <w:p w14:paraId="423A0E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D4=80</w:t>
            </w:r>
          </w:p>
        </w:tc>
      </w:tr>
      <w:tr w14:paraId="31DD1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61" w:type="dxa"/>
          </w:tcPr>
          <w:p w14:paraId="5176D9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设置模式</w:t>
            </w:r>
          </w:p>
        </w:tc>
        <w:tc>
          <w:tcPr>
            <w:tcW w:w="1035" w:type="dxa"/>
          </w:tcPr>
          <w:p w14:paraId="01A269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M=</w:t>
            </w:r>
          </w:p>
        </w:tc>
        <w:tc>
          <w:tcPr>
            <w:tcW w:w="3777" w:type="dxa"/>
          </w:tcPr>
          <w:p w14:paraId="3E8B44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设置输出模式(0/1)</w:t>
            </w:r>
          </w:p>
        </w:tc>
        <w:tc>
          <w:tcPr>
            <w:tcW w:w="1349" w:type="dxa"/>
          </w:tcPr>
          <w:p w14:paraId="7067B7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M1=0</w:t>
            </w:r>
          </w:p>
        </w:tc>
      </w:tr>
    </w:tbl>
    <w:p w14:paraId="00E7D5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I2C设备地址映射:</w:t>
      </w:r>
    </w:p>
    <w:p w14:paraId="3F22E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通道1 DAC: 0x58</w:t>
      </w:r>
    </w:p>
    <w:p w14:paraId="0A2BD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通道2 DAC: 0x59</w:t>
      </w:r>
    </w:p>
    <w:p w14:paraId="1A190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通道3 DAC: 0x5A</w:t>
      </w:r>
    </w:p>
    <w:p w14:paraId="0D21D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通道4 DAC: 0x5B</w:t>
      </w:r>
    </w:p>
    <w:p w14:paraId="2EB8AD5A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用户操作界面:</w:t>
      </w:r>
    </w:p>
    <w:p w14:paraId="061927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主界面显示:</w:t>
      </w:r>
    </w:p>
    <w:p w14:paraId="5DD226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C1✓ C2✓ C3✗ C4✓     &lt;- 设备连接状态</w:t>
      </w:r>
    </w:p>
    <w:p w14:paraId="03EF31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Ch1: 12.34mA       &lt;- 通道1当前输出</w:t>
      </w:r>
    </w:p>
    <w:p w14:paraId="16A04C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Ch2: 3.50V         &lt;- 通道2当前输出</w:t>
      </w:r>
    </w:p>
    <w:p w14:paraId="4B1A3D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Ch3: 0.00mA        &lt;- 通道3当前输出</w:t>
      </w:r>
    </w:p>
    <w:p w14:paraId="05D837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Ch4: 25.60mA       &lt;- 通道4当前输出(高亮选中)</w:t>
      </w:r>
    </w:p>
    <w:p w14:paraId="37306B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设置界面显示:</w:t>
      </w:r>
    </w:p>
    <w:p w14:paraId="5D1D4D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Ch1 Settings Back   &lt;- 当前通道设置</w:t>
      </w:r>
    </w:p>
    <w:p w14:paraId="58D9A3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Mode: Current       &lt;- 输出模式</w:t>
      </w:r>
    </w:p>
    <w:p w14:paraId="7098EF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I: 12.34mA         &lt;- 电流/电压值</w:t>
      </w:r>
    </w:p>
    <w:p w14:paraId="50E5DB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PWM Freq: 1000Hz   &lt;- PWM频率</w:t>
      </w:r>
    </w:p>
    <w:p w14:paraId="37761D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PWM Duty: 50%      &lt;- PWM占空比</w:t>
      </w:r>
    </w:p>
    <w:p w14:paraId="3F5980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Cali: 4.40mA       &lt;- 校准值(高亮选中)</w:t>
      </w:r>
    </w:p>
    <w:p w14:paraId="6F4BD3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按键功能定义:</w:t>
      </w:r>
    </w:p>
    <w:p w14:paraId="3EAC84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KEY1: 上/减少 - 通道切换或参数减少</w:t>
      </w:r>
    </w:p>
    <w:p w14:paraId="7AC0A2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KEY2: 下/增加 - 通道切换或参数增加</w:t>
      </w:r>
    </w:p>
    <w:p w14:paraId="5C7FB2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KEY3: 确认/设置 - 进入设置页面或确认修改</w:t>
      </w:r>
    </w:p>
    <w:p w14:paraId="401CD9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综合上述功能，软件系统通过设计具备以下特点：</w:t>
      </w:r>
    </w:p>
    <w:p w14:paraId="130825F9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系统启动时自动检测I2C总线上的DAC设备，实时更新连接状态显示，确保用户了解硬件工作状态。</w:t>
      </w:r>
    </w:p>
    <w:p w14:paraId="0F1F359C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每个通道支持独立的满量程校准，通过软件补偿硬件误差，提高输出精度。</w:t>
      </w:r>
    </w:p>
    <w:p w14:paraId="79CE9E5E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支持按键长短按不同操作，短按切换选项，长按快速调节数值，提升操作效率。</w:t>
      </w:r>
    </w:p>
    <w:p w14:paraId="02AD072F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参数修改后立即生效，无需额外确认步骤，实现所见即所得的操作体验。</w:t>
      </w:r>
    </w:p>
    <w:p w14:paraId="27A50542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本地按键操作和远程UART命令控制并存，满足不同应用场景需求。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560"/>
      </w:pPr>
      <w:r>
        <w:separator/>
      </w:r>
    </w:p>
  </w:endnote>
  <w:endnote w:type="continuationSeparator" w:id="1">
    <w:p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+中文正文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文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560"/>
      </w:pPr>
      <w:r>
        <w:separator/>
      </w:r>
    </w:p>
  </w:footnote>
  <w:footnote w:type="continuationSeparator" w:id="1">
    <w:p>
      <w:pPr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C03646"/>
    <w:multiLevelType w:val="singleLevel"/>
    <w:tmpl w:val="B3C0364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261A58FB"/>
    <w:multiLevelType w:val="multilevel"/>
    <w:tmpl w:val="261A58FB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2">
    <w:nsid w:val="6B572CFF"/>
    <w:multiLevelType w:val="singleLevel"/>
    <w:tmpl w:val="6B572CFF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F71878"/>
    <w:rsid w:val="0DF71878"/>
    <w:rsid w:val="13997731"/>
    <w:rsid w:val="7ED10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643" w:firstLineChars="200"/>
      <w:jc w:val="both"/>
    </w:pPr>
    <w:rPr>
      <w:rFonts w:ascii="Times New Roman" w:hAnsi="Times New Roman" w:eastAsia="宋体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ind w:firstLine="0" w:firstLineChars="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next w:val="7"/>
    <w:unhideWhenUsed/>
    <w:qFormat/>
    <w:uiPriority w:val="9"/>
    <w:pPr>
      <w:numPr>
        <w:ilvl w:val="4"/>
        <w:numId w:val="1"/>
      </w:numPr>
      <w:tabs>
        <w:tab w:val="left" w:pos="312"/>
        <w:tab w:val="clear" w:pos="0"/>
      </w:tabs>
      <w:spacing w:before="30" w:beforeLines="30" w:after="30" w:afterLines="30"/>
      <w:ind w:left="0" w:firstLine="402"/>
      <w:outlineLvl w:val="4"/>
    </w:pPr>
    <w:rPr>
      <w:rFonts w:ascii="Arial" w:hAnsi="Arial" w:eastAsiaTheme="majorEastAsia" w:cstheme="minorBidi"/>
      <w:b/>
      <w:sz w:val="24"/>
      <w:szCs w:val="22"/>
      <w:lang w:val="en-US" w:eastAsia="zh-CN" w:bidi="ar-SA"/>
    </w:rPr>
  </w:style>
  <w:style w:type="paragraph" w:styleId="8">
    <w:name w:val="heading 6"/>
    <w:next w:val="7"/>
    <w:unhideWhenUsed/>
    <w:qFormat/>
    <w:uiPriority w:val="0"/>
    <w:pPr>
      <w:numPr>
        <w:ilvl w:val="5"/>
        <w:numId w:val="1"/>
      </w:numPr>
      <w:spacing w:before="30" w:beforeLines="30" w:after="30" w:afterLines="30" w:line="312" w:lineRule="auto"/>
      <w:ind w:left="0" w:firstLine="402"/>
      <w:outlineLvl w:val="5"/>
    </w:pPr>
    <w:rPr>
      <w:rFonts w:ascii="Arial" w:hAnsi="Arial" w:eastAsia="黑体" w:cstheme="minorBidi"/>
      <w:b/>
      <w:sz w:val="24"/>
      <w:lang w:val="en-US" w:eastAsia="zh-CN" w:bidi="ar-SA"/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spacing w:before="30" w:beforeLines="30" w:after="30" w:afterLines="30" w:line="312" w:lineRule="auto"/>
      <w:ind w:left="0" w:firstLine="402"/>
      <w:outlineLvl w:val="6"/>
    </w:pPr>
    <w:rPr>
      <w:rFonts w:ascii="Arial" w:hAnsi="Arial" w:eastAsia="黑体" w:cstheme="minorBidi"/>
      <w:b/>
      <w:sz w:val="24"/>
      <w:lang w:val="en-US" w:eastAsia="zh-CN" w:bidi="ar-SA"/>
    </w:rPr>
  </w:style>
  <w:style w:type="paragraph" w:styleId="10">
    <w:name w:val="heading 8"/>
    <w:next w:val="7"/>
    <w:unhideWhenUsed/>
    <w:qFormat/>
    <w:uiPriority w:val="0"/>
    <w:pPr>
      <w:numPr>
        <w:ilvl w:val="7"/>
        <w:numId w:val="1"/>
      </w:numPr>
      <w:spacing w:before="30" w:beforeLines="30" w:after="30" w:afterLines="30" w:line="312" w:lineRule="auto"/>
      <w:ind w:left="0" w:firstLine="402"/>
      <w:outlineLvl w:val="7"/>
    </w:pPr>
    <w:rPr>
      <w:rFonts w:eastAsia="黑体" w:asciiTheme="majorAscii" w:hAnsiTheme="majorAscii" w:cstheme="majorBidi"/>
      <w:b/>
      <w:sz w:val="24"/>
      <w:lang w:val="en-US" w:eastAsia="zh-CN" w:bidi="ar-SA"/>
    </w:rPr>
  </w:style>
  <w:style w:type="paragraph" w:styleId="11">
    <w:name w:val="heading 9"/>
    <w:next w:val="7"/>
    <w:unhideWhenUsed/>
    <w:qFormat/>
    <w:uiPriority w:val="0"/>
    <w:pPr>
      <w:numPr>
        <w:ilvl w:val="8"/>
        <w:numId w:val="1"/>
      </w:numPr>
      <w:spacing w:before="30" w:beforeLines="30" w:after="30" w:afterLines="30" w:line="312" w:lineRule="auto"/>
      <w:ind w:left="0" w:firstLine="402"/>
      <w:outlineLvl w:val="8"/>
    </w:pPr>
    <w:rPr>
      <w:rFonts w:eastAsia="黑体" w:asciiTheme="majorAscii" w:hAnsiTheme="majorAscii" w:cstheme="majorBidi"/>
      <w:b/>
      <w:sz w:val="24"/>
      <w:szCs w:val="21"/>
      <w:lang w:val="en-US" w:eastAsia="zh-CN" w:bidi="ar-SA"/>
    </w:rPr>
  </w:style>
  <w:style w:type="character" w:default="1" w:styleId="17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before="100" w:after="100" w:afterLines="0" w:afterAutospacing="0" w:line="300" w:lineRule="auto"/>
      <w:ind w:firstLine="1124" w:firstLineChars="200"/>
    </w:pPr>
    <w:rPr>
      <w:rFonts w:ascii="Times New Roman" w:hAnsi="Times New Roman"/>
    </w:r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  <w:jc w:val="center"/>
    </w:pPr>
    <w:rPr>
      <w:rFonts w:ascii="Arial" w:hAnsi="Arial" w:eastAsia="黑体"/>
      <w:sz w:val="20"/>
    </w:rPr>
  </w:style>
  <w:style w:type="paragraph" w:styleId="13">
    <w:name w:val="Subtitle"/>
    <w:basedOn w:val="1"/>
    <w:qFormat/>
    <w:uiPriority w:val="0"/>
    <w:pPr>
      <w:spacing w:before="120" w:beforeLines="0" w:beforeAutospacing="0" w:after="60" w:afterLines="0" w:afterAutospacing="0" w:line="312" w:lineRule="auto"/>
      <w:jc w:val="center"/>
      <w:outlineLvl w:val="9"/>
    </w:pPr>
    <w:rPr>
      <w:rFonts w:ascii="Arial" w:hAnsi="Arial"/>
      <w:b/>
      <w:kern w:val="28"/>
      <w:sz w:val="32"/>
    </w:rPr>
  </w:style>
  <w:style w:type="paragraph" w:styleId="14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22"/>
    <w:rPr>
      <w:rFonts w:ascii="Arial" w:hAnsi="Arial" w:eastAsia="黑体"/>
      <w:b/>
      <w:color w:val="4874CB" w:themeColor="accent1"/>
      <w:u w:val="single"/>
      <w14:textFill>
        <w14:solidFill>
          <w14:schemeClr w14:val="accent1"/>
        </w14:solidFill>
      </w14:textFill>
    </w:rPr>
  </w:style>
  <w:style w:type="character" w:styleId="19">
    <w:name w:val="Emphasis"/>
    <w:basedOn w:val="17"/>
    <w:qFormat/>
    <w:uiPriority w:val="20"/>
    <w:rPr>
      <w:rFonts w:ascii="Arial" w:hAnsi="Arial" w:eastAsia="黑体"/>
      <w:b/>
      <w:bCs/>
      <w:i/>
      <w:color w:val="C00000"/>
      <w:sz w:val="24"/>
      <w:szCs w:val="22"/>
    </w:rPr>
  </w:style>
  <w:style w:type="paragraph" w:customStyle="1" w:styleId="20">
    <w:name w:val="章标题"/>
    <w:basedOn w:val="1"/>
    <w:next w:val="7"/>
    <w:qFormat/>
    <w:uiPriority w:val="0"/>
    <w:pPr>
      <w:spacing w:before="120" w:beforeLines="0" w:after="60" w:line="300" w:lineRule="auto"/>
      <w:jc w:val="center"/>
      <w:outlineLvl w:val="0"/>
    </w:pPr>
    <w:rPr>
      <w:rFonts w:hint="eastAsia" w:ascii="Arial" w:hAnsi="Arial"/>
      <w:b/>
      <w:kern w:val="28"/>
      <w:sz w:val="40"/>
    </w:rPr>
  </w:style>
  <w:style w:type="paragraph" w:customStyle="1" w:styleId="21">
    <w:name w:val="节标题"/>
    <w:basedOn w:val="1"/>
    <w:next w:val="7"/>
    <w:qFormat/>
    <w:uiPriority w:val="0"/>
    <w:pPr>
      <w:spacing w:before="120" w:beforeLines="0" w:after="60" w:line="300" w:lineRule="auto"/>
      <w:jc w:val="center"/>
      <w:outlineLvl w:val="0"/>
    </w:pPr>
    <w:rPr>
      <w:rFonts w:hint="eastAsia" w:ascii="Arial" w:hAnsi="Arial"/>
      <w:b/>
      <w:kern w:val="28"/>
      <w:sz w:val="32"/>
    </w:rPr>
  </w:style>
  <w:style w:type="paragraph" w:customStyle="1" w:styleId="22">
    <w:name w:val="附录标题"/>
    <w:basedOn w:val="1"/>
    <w:next w:val="7"/>
    <w:qFormat/>
    <w:uiPriority w:val="0"/>
    <w:pPr>
      <w:spacing w:beforeLines="0" w:line="300" w:lineRule="auto"/>
      <w:jc w:val="left"/>
      <w:outlineLvl w:val="0"/>
    </w:pPr>
    <w:rPr>
      <w:rFonts w:hint="eastAsia" w:ascii="Arial" w:hAnsi="Arial"/>
      <w:b/>
      <w:kern w:val="28"/>
      <w:sz w:val="32"/>
    </w:rPr>
  </w:style>
  <w:style w:type="paragraph" w:customStyle="1" w:styleId="23">
    <w:name w:val="题注1"/>
    <w:basedOn w:val="1"/>
    <w:qFormat/>
    <w:uiPriority w:val="0"/>
    <w:pPr>
      <w:jc w:val="center"/>
    </w:pPr>
    <w:rPr>
      <w:rFonts w:hint="default"/>
    </w:rPr>
  </w:style>
  <w:style w:type="character" w:customStyle="1" w:styleId="24">
    <w:name w:val="摘要"/>
    <w:basedOn w:val="17"/>
    <w:qFormat/>
    <w:uiPriority w:val="0"/>
    <w:rPr>
      <w:rFonts w:hint="eastAsia" w:ascii="Arial" w:hAnsi="Arial"/>
      <w:b/>
      <w:lang w:val="en-US" w:eastAsia="zh-CN"/>
    </w:rPr>
  </w:style>
  <w:style w:type="character" w:customStyle="1" w:styleId="25">
    <w:name w:val="关键词"/>
    <w:basedOn w:val="17"/>
    <w:qFormat/>
    <w:uiPriority w:val="0"/>
    <w:rPr>
      <w:rFonts w:hint="eastAsia" w:ascii="Arial" w:hAnsi="Arial"/>
      <w:b/>
      <w:lang w:val="en-US" w:eastAsia="zh-CN"/>
    </w:rPr>
  </w:style>
  <w:style w:type="paragraph" w:customStyle="1" w:styleId="26">
    <w:name w:val="文档说明标题"/>
    <w:basedOn w:val="1"/>
    <w:next w:val="7"/>
    <w:qFormat/>
    <w:uiPriority w:val="0"/>
    <w:pPr>
      <w:jc w:val="center"/>
      <w:outlineLvl w:val="9"/>
    </w:pPr>
    <w:rPr>
      <w:rFonts w:asciiTheme="majorAscii" w:hAnsiTheme="majorAscii"/>
      <w:b/>
      <w:sz w:val="56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941</Words>
  <Characters>1121</Characters>
  <Lines>0</Lines>
  <Paragraphs>0</Paragraphs>
  <TotalTime>3</TotalTime>
  <ScaleCrop>false</ScaleCrop>
  <LinksUpToDate>false</LinksUpToDate>
  <CharactersWithSpaces>1123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2025-03-24T14:17:00Z</dcterms:created>
  <dc:creator>langjc</dc:creator>
  <cp:lastModifiedBy>langjc</cp:lastModifiedBy>
  <dcterms:modified xsi:type="dcterms:W3CDTF">2025-09-10T08:51:15Z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D9E10EB404D94502929DE2CF947D2D0B_13</vt:lpwstr>
  </property>
  <property fmtid="{D5CDD505-2E9C-101B-9397-08002B2CF9AE}" pid="4" name="KSOTemplateDocerSaveRecord">
    <vt:lpwstr>eyJoZGlkIjoiMWU1OTRkOGExMzcwZTEwOTUxYjIwMWUwNGE4MTBkNTQiLCJ1c2VySWQiOiIzMjY1MzQ4ODMifQ==</vt:lpwstr>
  </property>
</Properties>
</file>