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480" w:lineRule="auto"/>
        <w:rPr>
          <w:rFonts w:ascii="Times New Roman" w:cs="Times New Roman" w:eastAsia="Times New Roman" w:hAnsi="Times New Roman"/>
          <w:b w:val="1"/>
          <w:bCs w:val="1"/>
          <w:sz w:val="26"/>
          <w:szCs w:val="26"/>
        </w:rPr>
      </w:pPr>
      <w:bookmarkStart w:colFirst="0" w:colLast="0" w:name="_q08xamz5nym3" w:id="0"/>
      <w:bookmarkEnd w:id="0"/>
      <w:r w:rsidDel="00000000" w:rsidR="00000000" w:rsidRPr="00000000">
        <w:rPr>
          <w:rFonts w:ascii="Times New Roman" w:cs="Times New Roman" w:eastAsia="Times New Roman" w:hAnsi="Times New Roman"/>
          <w:b w:val="1"/>
          <w:bCs w:val="1"/>
          <w:sz w:val="26"/>
          <w:szCs w:val="26"/>
          <w:rtl w:val="0"/>
        </w:rPr>
        <w:t xml:space="preserve">Data Methodology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targeting analysis underlying this campaign plan was built from six source datasets merged into a single county-level master workbook covering all 159 Georgia counties.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ylocio5b8inj" w:id="1"/>
      <w:bookmarkEnd w:id="1"/>
      <w:r w:rsidDel="00000000" w:rsidR="00000000" w:rsidRPr="00000000">
        <w:rPr>
          <w:rFonts w:ascii="Times New Roman" w:cs="Times New Roman" w:eastAsia="Times New Roman" w:hAnsi="Times New Roman"/>
          <w:b w:val="1"/>
          <w:bCs w:val="1"/>
          <w:i w:val="1"/>
          <w:iCs w:val="1"/>
          <w:color w:val="000000"/>
          <w:sz w:val="24"/>
          <w:szCs w:val="24"/>
          <w:rtl w:val="0"/>
        </w:rPr>
        <w:t xml:space="preserve">Source Data</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results for 2018, 2020, 2021, 2022, and 2024 were obtained from OpenElections Georgia, a nonpartisan open-data project that publishes certified state election results at the precinct level. The 2018 precinct files were downloaded county by county via the OpenElections GitHub repository and concatenated into a single statewide file. The 2020 and 2022 general election files and the January 2021 Senate runoff file were sourced the same way. A county-level 2024 general election file was obtained directly from OpenElections and cross-validated against the precinct-level file for the same cycle. Additional electoral and demographic data at the county level was drawn from GeorgiaData.org, which publishes compiled election results and voter registration statistics sourced from the Georgia Secretary of State. Active and inactive voter registration counts as of May 2026 were pulled directly from the Georgia Secretary of State's voter registration portal.</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cg5wz14gk63" w:id="2"/>
      <w:bookmarkEnd w:id="2"/>
      <w:r w:rsidDel="00000000" w:rsidR="00000000" w:rsidRPr="00000000">
        <w:rPr>
          <w:rFonts w:ascii="Times New Roman" w:cs="Times New Roman" w:eastAsia="Times New Roman" w:hAnsi="Times New Roman"/>
          <w:b w:val="1"/>
          <w:bCs w:val="1"/>
          <w:i w:val="1"/>
          <w:iCs w:val="1"/>
          <w:color w:val="000000"/>
          <w:sz w:val="24"/>
          <w:szCs w:val="24"/>
          <w:rtl w:val="0"/>
        </w:rPr>
        <w:t xml:space="preserve">Data Cleaning</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were loaded in Python using pandas. County names were standardized across sources using a canonical 159-county reference list drawn from the Georgia Secretary of State, with title-case normalization applied and manual corrections made for the three counties whose names break standard title-casing: DeKalb, McDuffie, and McIntosh. The georgiadata.org file required removal of a statewide totals row and trailing source-note rows, and conversion of dash-sentinel missing values to NaN before numeric coercion. The active/inactive voter registration file required a two-row header fix before the real column names could be read. All files were validated against the 159-county list after cleaning; any file returning fewer than 159 matched counties was flagged and inspected before use.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2h7u1n7ksku"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Derived Variables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Precinct-level files for 2020 and 2022 were aggregated to the county level by summing total votes and candidate votes, then computing Republican and Democratic vote share as a percentage of total votes cast. The Kemp-Walker gap was calculated per county as the difference in percentage points between Kemp's 2022 gubernatorial Republican share and Walker's 2022 Senate Republican share. The persuasion universe per county was derived by multiplying each county's active voter count by its Kemp-Walker gap in percentage points. The partisan blend score used for lean classification is a weighted average of Republican vote share across five election cycles (2018 governor, 2020 president, 2021 Senate runoff, 2022 governor, 2022 Senate), designed to smooth out candidate-specific effects while capturing the underlying partisan lean of each county. Lean buckets (“Strong Republican”, “Lean Republican”, “Competitive”, “Lean Democrat”, “Strong Democrat”) were assigned based on thresholds applied to this blend score. Turnout tiers (Low, Mid, High) were assigned based on each county's 2022 Senate turnout rate as a share of active registered voters, divided into terciles across all 159 counties.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so95359sw5d" w:id="4"/>
      <w:bookmarkEnd w:id="4"/>
      <w:r w:rsidDel="00000000" w:rsidR="00000000" w:rsidRPr="00000000">
        <w:rPr>
          <w:rFonts w:ascii="Times New Roman" w:cs="Times New Roman" w:eastAsia="Times New Roman" w:hAnsi="Times New Roman"/>
          <w:b w:val="1"/>
          <w:bCs w:val="1"/>
          <w:i w:val="1"/>
          <w:iCs w:val="1"/>
          <w:color w:val="000000"/>
          <w:sz w:val="24"/>
          <w:szCs w:val="24"/>
          <w:rtl w:val="0"/>
        </w:rPr>
        <w:t xml:space="preserve">Turnout Projections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methods were used in parallel. Method 1 (Conservative) carries forward each county's 2022 Senate turnout total directly as the 2026 projection, producing a statewide expected total of 3,935,924. Method 2 (Expected) applies a trend factor to each county's 2022 total, calculated as the ratio of 2024 presidential turnout to 2020 presidential turnout for that county, capturing real shifts in voter engagement driven by population growth or decline. Method 2 is the primary projection used throughout the plan, producing a statewide total of 4,139,248. The two methods diverge most sharply in fast-growing exurban counties like Cherokee, Hall, Jackson, and Paulding, and in declining urban counties like DeKalb, Richmond, and Bibb.</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rxyso4q1zm2q"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Priority Scoring</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county received a composite priority score weighting its mobilization universe and persuasion universe according to its lean bucket assignment: Strong R counties weighted mobilization most heavily, Competitive counties weighted persuasion most heavily, with intermediate weights applied to “Lean Republican” and “Lean Democrat”. The full ranked list of all 159 counties by priority score is stored in column BE of the county_data_with_markets sheet in the master workbook.</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5rwjwrr2xuz"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Tools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cleaning, aggregation, and analysis was performed in Python 3 using pandas and NumPy. The full pipeline is documented in georgia_targeting_eda.ipynb. The master workbook (GA County Master w/ Media Market) was built in Excel from the outputs of that notebook and serves as the operational source of truth for all numbers cited in the targeting section of this plan.</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