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77777777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'§enable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hyperlink r:id="rId6" w:history="1">
        <w:r w:rsidR="006D6C2C">
          <w:rPr>
            <w:rStyle w:val="a4"/>
            <w:sz w:val="28"/>
            <w:szCs w:val="28"/>
            <w:lang w:val="en-US"/>
          </w:rPr>
          <w:t>More...</w:t>
        </w:r>
      </w:hyperlink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F11A21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F11A21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F11A21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F11A21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'§region</w:t>
            </w:r>
          </w:p>
        </w:tc>
        <w:tc>
          <w:tcPr>
            <w:tcW w:w="9355" w:type="dxa"/>
            <w:vAlign w:val="center"/>
          </w:tcPr>
          <w:p w14:paraId="4302214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43C2D770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="0016408A" w:rsidRPr="0016408A">
              <w:rPr>
                <w:sz w:val="24"/>
                <w:szCs w:val="24"/>
                <w:lang w:val="en-US"/>
              </w:rPr>
              <w:t xml:space="preserve"> </w:t>
            </w:r>
            <w:bookmarkStart w:id="4" w:name="OLE_LINK20"/>
            <w:bookmarkStart w:id="5" w:name="OLE_LINK21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  <w:bookmarkEnd w:id="4"/>
            <w:bookmarkEnd w:id="5"/>
          </w:p>
        </w:tc>
      </w:tr>
      <w:tr w:rsidR="00DF1504" w:rsidRPr="00F11A21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F11A21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F11A21" w14:paraId="65C6A8E1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8F360E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'§~</w:t>
            </w:r>
          </w:p>
        </w:tc>
        <w:tc>
          <w:tcPr>
            <w:tcW w:w="9355" w:type="dxa"/>
            <w:vAlign w:val="center"/>
          </w:tcPr>
          <w:p w14:paraId="4BD8BDC7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54F568E9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6" w:name="OLE_LINK6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6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F11A21" w14:paraId="5791BCC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149B1B5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'§=~</w:t>
            </w:r>
          </w:p>
        </w:tc>
        <w:tc>
          <w:tcPr>
            <w:tcW w:w="9355" w:type="dxa"/>
            <w:vAlign w:val="center"/>
          </w:tcPr>
          <w:p w14:paraId="53332ACB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4"/>
            <w:bookmarkStart w:id="8" w:name="OLE_LINK5"/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5A135B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6CFD96DE" w14:textId="77777777" w:rsidR="00DF1504" w:rsidRPr="005A135B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 asynchronously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F11A21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697AD402" w14:textId="77777777" w:rsidR="00C75C2E" w:rsidRDefault="00C75C2E" w:rsidP="00C75C2E">
      <w:pPr>
        <w:rPr>
          <w:sz w:val="28"/>
          <w:szCs w:val="28"/>
          <w:lang w:val="en-US"/>
        </w:rPr>
      </w:pPr>
    </w:p>
    <w:p w14:paraId="282452BB" w14:textId="77777777" w:rsidR="007951BB" w:rsidRPr="005508E4" w:rsidRDefault="007951BB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5519B7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F11A21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F11A21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F11A21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F11A21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F11A21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 xml:space="preserve">of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F11A21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6478D175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hyperlink r:id="rId7" w:anchor="L295" w:history="1">
              <w:r w:rsidRPr="00D65741">
                <w:rPr>
                  <w:rStyle w:val="a4"/>
                  <w:lang w:val="en-US"/>
                </w:rPr>
                <w:t>source</w:t>
              </w:r>
            </w:hyperlink>
            <w:bookmarkStart w:id="16" w:name="_GoBack"/>
            <w:bookmarkEnd w:id="16"/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025C379" w14:textId="77777777" w:rsidR="00C75C2E" w:rsidRDefault="00C75C2E" w:rsidP="00C75C2E">
      <w:pPr>
        <w:rPr>
          <w:sz w:val="28"/>
          <w:szCs w:val="28"/>
          <w:lang w:val="en-US"/>
        </w:rPr>
      </w:pPr>
    </w:p>
    <w:p w14:paraId="23C8D546" w14:textId="77777777" w:rsidR="007951BB" w:rsidRDefault="007951BB" w:rsidP="00C75C2E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F11A21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F11A21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F11A21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F11A21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F11A21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77777777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 xml:space="preserve">Shows a selection list 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7" w:name="OLE_LINK23"/>
            <w:bookmarkStart w:id="18" w:name="OLE_LINK24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7"/>
            <w:bookmarkEnd w:id="18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77777777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 xml:space="preserve">and returns the chosen value. </w:t>
            </w: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Pr="007B2E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7B2E3D">
              <w:rPr>
                <w:sz w:val="24"/>
                <w:szCs w:val="24"/>
                <w:lang w:val="en-US"/>
              </w:rPr>
              <w:t>synchronously.</w:t>
            </w:r>
          </w:p>
        </w:tc>
      </w:tr>
      <w:tr w:rsidR="00D45C58" w:rsidRPr="00F11A21" w14:paraId="59405EC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482B4EA" w14:textId="77777777" w:rsid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25631647" w14:textId="77777777" w:rsidR="00D45C58" w:rsidRPr="00D45C58" w:rsidRDefault="00D45C58" w:rsidP="009B514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655A6E25" w14:textId="77777777" w:rsidR="00D45C58" w:rsidRPr="00D45C58" w:rsidRDefault="00D45C58" w:rsidP="009B514E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2BA1220C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8" w:anchor="L231" w:history="1">
        <w:r w:rsidRPr="00D65741">
          <w:rPr>
            <w:rStyle w:val="a4"/>
            <w:lang w:val="en-US"/>
          </w:rPr>
          <w:t>source</w:t>
        </w:r>
      </w:hyperlink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70915"/>
    <w:rsid w:val="00074C39"/>
    <w:rsid w:val="000A707D"/>
    <w:rsid w:val="00106BF4"/>
    <w:rsid w:val="00130C26"/>
    <w:rsid w:val="0016408A"/>
    <w:rsid w:val="002446ED"/>
    <w:rsid w:val="002644BC"/>
    <w:rsid w:val="002A046F"/>
    <w:rsid w:val="0034709F"/>
    <w:rsid w:val="003C04F8"/>
    <w:rsid w:val="004155FB"/>
    <w:rsid w:val="00426EF3"/>
    <w:rsid w:val="00447062"/>
    <w:rsid w:val="00460A47"/>
    <w:rsid w:val="004818E6"/>
    <w:rsid w:val="004B2E38"/>
    <w:rsid w:val="004D500F"/>
    <w:rsid w:val="00517380"/>
    <w:rsid w:val="005508E4"/>
    <w:rsid w:val="005519B7"/>
    <w:rsid w:val="005A135B"/>
    <w:rsid w:val="005A6E64"/>
    <w:rsid w:val="00643F44"/>
    <w:rsid w:val="00651D36"/>
    <w:rsid w:val="00657EBB"/>
    <w:rsid w:val="006656ED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0F2A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73A59"/>
    <w:rsid w:val="00DF1504"/>
    <w:rsid w:val="00E709D9"/>
    <w:rsid w:val="00EC5470"/>
    <w:rsid w:val="00EE295E"/>
    <w:rsid w:val="00F11A21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mf/atomix.positron/blob/master/dist/command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t_cod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64</cp:revision>
  <cp:lastPrinted>2022-07-27T12:25:00Z</cp:lastPrinted>
  <dcterms:created xsi:type="dcterms:W3CDTF">2022-07-25T15:43:00Z</dcterms:created>
  <dcterms:modified xsi:type="dcterms:W3CDTF">2022-08-08T13:54:00Z</dcterms:modified>
</cp:coreProperties>
</file>