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Langmuir Systems</w:t>
      </w:r>
    </w:p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Building a Warranty &amp; Misshipment BAQ in Epicor Kinetic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 step-by-step walkthrough — from finding your data to trending misshipments over 6 months</w:t>
      </w:r>
    </w:p>
    <w:p>
      <w:pPr>
        <w:pBdr>
          <w:bottom w:val="single" w:color="1F4E79" w:sz="8"/>
        </w:pBdr>
        <w:spacing w:after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What we're building</w:t>
      </w:r>
    </w:p>
    <w:p>
      <w:pPr>
        <w:spacing w:after="120" w:line="276"/>
      </w:pPr>
      <w:r>
        <w:rPr>
          <w:sz w:val="22"/>
          <w:szCs w:val="22"/>
        </w:rPr>
        <w:t xml:space="preserve">The goal is one Business Activity Query (BAQ) that lists every warranty / misshipment return with the </w:t>
      </w:r>
      <w:r>
        <w:rPr>
          <w:b/>
          <w:bCs/>
          <w:sz w:val="22"/>
          <w:szCs w:val="22"/>
        </w:rPr>
        <w:t xml:space="preserve">part, reason, customer, quantity and date</w:t>
      </w:r>
      <w:r>
        <w:rPr>
          <w:sz w:val="22"/>
          <w:szCs w:val="22"/>
        </w:rPr>
        <w:t xml:space="preserve">, plus a version that </w:t>
      </w:r>
      <w:r>
        <w:rPr>
          <w:b/>
          <w:bCs/>
          <w:sz w:val="22"/>
          <w:szCs w:val="22"/>
        </w:rPr>
        <w:t xml:space="preserve">counts misshipments per month so you can see the trend over the last 6 months</w:t>
      </w:r>
      <w:r>
        <w:rPr>
          <w:sz w:val="22"/>
          <w:szCs w:val="22"/>
        </w:rPr>
        <w:t xml:space="preserve">. We'll build it in three passes so it never feels like a wall: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Find where your return data actually lives (reason codes + a sample RMA).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Build the detail BAQ — the raw list of returns with everything attached.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Add the monthly trend, then (optionally) turn the count into a true rate.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one idea to hold onto: </w:t>
      </w:r>
      <w:r>
        <w:rPr>
          <w:sz w:val="22"/>
          <w:szCs w:val="22"/>
        </w:rPr>
        <w:t xml:space="preserve">in Epicor, warranty returns and misshipments almost always come in as </w:t>
      </w:r>
      <w:r>
        <w:rPr>
          <w:b/>
          <w:bCs/>
          <w:sz w:val="22"/>
          <w:szCs w:val="22"/>
        </w:rPr>
        <w:t xml:space="preserve">RMAs</w:t>
      </w:r>
      <w:r>
        <w:rPr>
          <w:sz w:val="22"/>
          <w:szCs w:val="22"/>
        </w:rPr>
        <w:t xml:space="preserve"> (Return Material Authorizations), and the "why" is stored on each RMA line as a </w:t>
      </w:r>
      <w:r>
        <w:rPr>
          <w:b/>
          <w:bCs/>
          <w:sz w:val="22"/>
          <w:szCs w:val="22"/>
        </w:rPr>
        <w:t xml:space="preserve">Reason Code</w:t>
      </w:r>
      <w:r>
        <w:rPr>
          <w:sz w:val="22"/>
          <w:szCs w:val="22"/>
        </w:rPr>
        <w:t xml:space="preserve">. Nail down which reason code(s) mean "misshipment" and the rest is straightforward.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Part A — Find where your data lives</w:t>
      </w:r>
    </w:p>
    <w:p>
      <w:pPr>
        <w:spacing w:after="120" w:line="276"/>
      </w:pPr>
      <w:r>
        <w:rPr>
          <w:sz w:val="22"/>
          <w:szCs w:val="22"/>
        </w:rPr>
        <w:t xml:space="preserve">You said you're not 100% sure where this is tracked, so we start here. Two quick checks tell us everything.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A1. Look at a real return</w:t>
      </w:r>
    </w:p>
    <w:p>
      <w:pPr>
        <w:spacing w:after="120" w:line="276"/>
      </w:pPr>
      <w:r>
        <w:rPr>
          <w:sz w:val="22"/>
          <w:szCs w:val="22"/>
        </w:rPr>
        <w:t xml:space="preserve">Open a couple of returns you know were misshipments. In the Kinetic menu search box, type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 Processing</w:t>
      </w:r>
      <w:r>
        <w:rPr>
          <w:sz w:val="22"/>
          <w:szCs w:val="22"/>
        </w:rPr>
        <w:t xml:space="preserve"> (Service Management → Returns Material Authorization → General Operations → RMA Processing).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Pull up an RMA, go to the </w:t>
      </w:r>
      <w:r>
        <w:rPr>
          <w:b/>
          <w:bCs/>
          <w:sz w:val="22"/>
          <w:szCs w:val="22"/>
        </w:rPr>
        <w:t xml:space="preserve">Lines</w:t>
      </w:r>
      <w:r>
        <w:rPr>
          <w:sz w:val="22"/>
          <w:szCs w:val="22"/>
        </w:rPr>
        <w:t xml:space="preserve"> tab.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Note the </w:t>
      </w:r>
      <w:r>
        <w:rPr>
          <w:b/>
          <w:bCs/>
          <w:sz w:val="22"/>
          <w:szCs w:val="22"/>
        </w:rPr>
        <w:t xml:space="preserve">Reason</w:t>
      </w:r>
      <w:r>
        <w:rPr>
          <w:sz w:val="22"/>
          <w:szCs w:val="22"/>
        </w:rPr>
        <w:t xml:space="preserve"> field on the line — that's the code we'll trend on. Also glance at the </w:t>
      </w:r>
      <w:r>
        <w:rPr>
          <w:b/>
          <w:bCs/>
          <w:sz w:val="22"/>
          <w:szCs w:val="22"/>
        </w:rPr>
        <w:t xml:space="preserve">Part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Disposition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Confirm these returns really are RMAs. If your misshipments are logged somewhere else (a Case or a DMR), see the note at the end of this section.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A2. See the full list of reason codes</w:t>
      </w:r>
    </w:p>
    <w:p>
      <w:pPr>
        <w:spacing w:after="120" w:line="276"/>
      </w:pPr>
      <w:r>
        <w:rPr>
          <w:sz w:val="22"/>
          <w:szCs w:val="22"/>
        </w:rPr>
        <w:t xml:space="preserve">In the menu search, type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Reason Code</w:t>
      </w:r>
      <w:r>
        <w:rPr>
          <w:sz w:val="22"/>
          <w:szCs w:val="22"/>
        </w:rPr>
        <w:t xml:space="preserve"> and open </w:t>
      </w:r>
      <w:r>
        <w:rPr>
          <w:b/>
          <w:bCs/>
          <w:sz w:val="22"/>
          <w:szCs w:val="22"/>
        </w:rPr>
        <w:t xml:space="preserve">Reason Code Maintenance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Filter / look at the codes whose </w:t>
      </w:r>
      <w:r>
        <w:rPr>
          <w:b/>
          <w:bCs/>
          <w:sz w:val="22"/>
          <w:szCs w:val="22"/>
        </w:rPr>
        <w:t xml:space="preserve">Type is "RMA"</w:t>
      </w:r>
      <w:r>
        <w:rPr>
          <w:sz w:val="22"/>
          <w:szCs w:val="22"/>
        </w:rPr>
        <w:t xml:space="preserve"> (return reasons). This is the master list of every reason a line can carry.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Write down the exact code(s) that mean misshipment — it might read like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MISSHIP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WRONGPART</w:t>
      </w:r>
      <w:r>
        <w:rPr>
          <w:sz w:val="22"/>
          <w:szCs w:val="22"/>
        </w:rPr>
        <w:t xml:space="preserve">, or "Shipping Error." You'll filter on these later.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Tip: </w:t>
      </w:r>
      <w:r>
        <w:rPr>
          <w:sz w:val="22"/>
          <w:szCs w:val="22"/>
        </w:rPr>
        <w:t xml:space="preserve">keep ALL reason codes in the BAQ at first and group by reason. That lets you compare misshipments against your other warranty reasons in the same view — often more useful than looking at misshipments in isolation.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If returns aren't RMAs: </w:t>
      </w:r>
      <w:r>
        <w:rPr>
          <w:sz w:val="22"/>
          <w:szCs w:val="22"/>
        </w:rPr>
        <w:t xml:space="preserve">the same approach works, just point at a different table —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HDCase</w:t>
      </w:r>
      <w:r>
        <w:rPr>
          <w:sz w:val="22"/>
          <w:szCs w:val="22"/>
        </w:rPr>
        <w:t xml:space="preserve"> for Case Management, or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DMRHead / NonConf</w:t>
      </w:r>
      <w:r>
        <w:rPr>
          <w:sz w:val="22"/>
          <w:szCs w:val="22"/>
        </w:rPr>
        <w:t xml:space="preserve"> for quality/DMR tracking. Tell me which one your sample lands in and I'll adjust the table list in Part B.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Part B — Build the detail BAQ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B1. Create the query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Go to </w:t>
      </w:r>
      <w:r>
        <w:rPr>
          <w:b/>
          <w:bCs/>
          <w:sz w:val="22"/>
          <w:szCs w:val="22"/>
        </w:rPr>
        <w:t xml:space="preserve">Executive Analysis → Business Activity Management → Setup → Business Activity Query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Top-right, click </w:t>
      </w:r>
      <w:r>
        <w:rPr>
          <w:b/>
          <w:bCs/>
          <w:sz w:val="22"/>
          <w:szCs w:val="22"/>
        </w:rPr>
        <w:t xml:space="preserve">New</w:t>
      </w:r>
      <w:r>
        <w:rPr>
          <w:sz w:val="22"/>
          <w:szCs w:val="22"/>
        </w:rPr>
        <w:t xml:space="preserve">. Give it a </w:t>
      </w:r>
      <w:r>
        <w:rPr>
          <w:b/>
          <w:bCs/>
          <w:sz w:val="22"/>
          <w:szCs w:val="22"/>
        </w:rPr>
        <w:t xml:space="preserve">Query ID</w:t>
      </w:r>
      <w:r>
        <w:rPr>
          <w:sz w:val="22"/>
          <w:szCs w:val="22"/>
        </w:rPr>
        <w:t xml:space="preserve"> like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LM-Warranty-Misship</w:t>
      </w:r>
      <w:r>
        <w:rPr>
          <w:sz w:val="22"/>
          <w:szCs w:val="22"/>
        </w:rPr>
        <w:t xml:space="preserve"> and a description. Leave the type as </w:t>
      </w:r>
      <w:r>
        <w:rPr>
          <w:b/>
          <w:bCs/>
          <w:sz w:val="22"/>
          <w:szCs w:val="22"/>
        </w:rPr>
        <w:t xml:space="preserve">General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B2. Add the tables</w:t>
      </w:r>
    </w:p>
    <w:p>
      <w:pPr>
        <w:spacing w:after="120" w:line="276"/>
      </w:pPr>
      <w:r>
        <w:rPr>
          <w:sz w:val="22"/>
          <w:szCs w:val="22"/>
        </w:rPr>
        <w:t xml:space="preserve">On the </w:t>
      </w:r>
      <w:r>
        <w:rPr>
          <w:b/>
          <w:bCs/>
          <w:sz w:val="22"/>
          <w:szCs w:val="22"/>
        </w:rPr>
        <w:t xml:space="preserve">Query Builder</w:t>
      </w:r>
      <w:r>
        <w:rPr>
          <w:sz w:val="22"/>
          <w:szCs w:val="22"/>
        </w:rPr>
        <w:t xml:space="preserve"> tab there's a table list on the left. Search each table and drag it onto the canvas. Start with </w:t>
      </w:r>
      <w:r>
        <w:rPr>
          <w:b/>
          <w:bCs/>
          <w:sz w:val="22"/>
          <w:szCs w:val="22"/>
        </w:rPr>
        <w:t xml:space="preserve">RMADtl</w:t>
      </w:r>
      <w:r>
        <w:rPr>
          <w:sz w:val="22"/>
          <w:szCs w:val="22"/>
        </w:rPr>
        <w:t xml:space="preserve"> (the return lines) as your primary table.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Let Epicor build the joins for you. </w:t>
      </w:r>
      <w:r>
        <w:rPr>
          <w:sz w:val="22"/>
          <w:szCs w:val="22"/>
        </w:rPr>
        <w:t xml:space="preserve">Right-click the RMADtl table on the canvas → </w:t>
      </w:r>
      <w:r>
        <w:rPr>
          <w:b/>
          <w:bCs/>
          <w:sz w:val="22"/>
          <w:szCs w:val="22"/>
        </w:rPr>
        <w:t xml:space="preserve">Add Related Table</w:t>
      </w:r>
      <w:r>
        <w:rPr>
          <w:sz w:val="22"/>
          <w:szCs w:val="22"/>
        </w:rPr>
        <w:t xml:space="preserve">. Kinetic shows the tables that legitimately link to it and wires up the join (matching Company, RMA number, reason type, etc.) automatically — so you don't hand-write join logic. Add these: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00"/>
        <w:gridCol w:w="21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RMAHead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 date, customer number, open/closed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Inner (default)</w:t>
            </w:r>
          </w:p>
        </w:tc>
      </w:tr>
      <w:tr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51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reason description ("Wrong part shipped")</w:t>
            </w:r>
          </w:p>
        </w:tc>
        <w:tc>
          <w:tcPr>
            <w:tcW w:type="dxa" w:w="21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Inner (default)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 description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Left / outer *</w:t>
            </w:r>
          </w:p>
        </w:tc>
      </w:tr>
      <w:tr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51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ID and name</w:t>
            </w:r>
          </w:p>
        </w:tc>
        <w:tc>
          <w:tcPr>
            <w:tcW w:type="dxa" w:w="21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Left / outer *</w:t>
            </w:r>
          </w:p>
        </w:tc>
      </w:tr>
    </w:tbl>
    <w:p>
      <w:pPr>
        <w:spacing w:after="160"/>
      </w:pPr>
      <w:r>
        <w:rPr>
          <w:b/>
          <w:bCs/>
          <w:sz w:val="22"/>
          <w:szCs w:val="22"/>
        </w:rPr>
        <w:t xml:space="preserve">* </w:t>
      </w:r>
      <w:r>
        <w:rPr>
          <w:sz w:val="22"/>
          <w:szCs w:val="22"/>
        </w:rPr>
        <w:t xml:space="preserve">Make Part and Customer </w:t>
      </w:r>
      <w:r>
        <w:rPr>
          <w:b/>
          <w:bCs/>
          <w:sz w:val="22"/>
          <w:szCs w:val="22"/>
        </w:rPr>
        <w:t xml:space="preserve">left (outer) joins</w:t>
      </w:r>
      <w:r>
        <w:rPr>
          <w:sz w:val="22"/>
          <w:szCs w:val="22"/>
        </w:rPr>
        <w:t xml:space="preserve"> so a return still shows even if the part is a one-off or the customer link is thin. Right-click the join line to change its type.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B3. Pick the fields to display</w:t>
      </w:r>
    </w:p>
    <w:p>
      <w:pPr>
        <w:spacing w:after="120" w:line="276"/>
      </w:pPr>
      <w:r>
        <w:rPr>
          <w:sz w:val="22"/>
          <w:szCs w:val="22"/>
        </w:rPr>
        <w:t xml:space="preserve">Tick the checkbox on each field you want in the output. A solid starting set: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RMAHead.RMANum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RMAHead.RMADate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RMAHead.CustNum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RMADtl.RMALine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RMADtl.PartNum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RMADtl.ReturnQty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RMADtl.ReasonCode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RMADtl.DispType</w:t>
      </w:r>
      <w:r>
        <w:rPr>
          <w:sz w:val="22"/>
          <w:szCs w:val="22"/>
        </w:rPr>
        <w:t xml:space="preserve"> (disposition)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Reason.Description</w:t>
      </w:r>
      <w:r>
        <w:rPr>
          <w:sz w:val="22"/>
          <w:szCs w:val="22"/>
        </w:rPr>
        <w:t xml:space="preserve">  (rename the display label to "Reason")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Part.PartDescription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Customer.CustID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Customer.Name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B4. Limit to the last 6 months</w:t>
      </w:r>
    </w:p>
    <w:p>
      <w:pPr>
        <w:spacing w:after="120" w:line="276"/>
      </w:pPr>
      <w:r>
        <w:rPr>
          <w:sz w:val="22"/>
          <w:szCs w:val="22"/>
        </w:rPr>
        <w:t xml:space="preserve">Go to the </w:t>
      </w:r>
      <w:r>
        <w:rPr>
          <w:b/>
          <w:bCs/>
          <w:sz w:val="22"/>
          <w:szCs w:val="22"/>
        </w:rPr>
        <w:t xml:space="preserve">Filters</w:t>
      </w:r>
      <w:r>
        <w:rPr>
          <w:sz w:val="22"/>
          <w:szCs w:val="22"/>
        </w:rPr>
        <w:t xml:space="preserve"> tab (Table Criteria). The cleanest, reusable way is a </w:t>
      </w:r>
      <w:r>
        <w:rPr>
          <w:b/>
          <w:bCs/>
          <w:sz w:val="22"/>
          <w:szCs w:val="22"/>
        </w:rPr>
        <w:t xml:space="preserve">parameter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a parameter named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StartDate</w:t>
      </w:r>
      <w:r>
        <w:rPr>
          <w:sz w:val="22"/>
          <w:szCs w:val="22"/>
        </w:rPr>
        <w:t xml:space="preserve"> (type Date).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a criterion: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RMAHead.RMADate &gt;= @StartDate</w:t>
      </w:r>
      <w:r>
        <w:rPr>
          <w:sz w:val="22"/>
          <w:szCs w:val="22"/>
        </w:rPr>
        <w:t xml:space="preserve">. When you run it, default StartDate to 6 months ago.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Quick-and-dirty alternative </w:t>
      </w:r>
      <w:r>
        <w:rPr>
          <w:sz w:val="22"/>
          <w:szCs w:val="22"/>
        </w:rPr>
        <w:t xml:space="preserve">(no parameter) — add a Table Criteria expression:</w:t>
      </w:r>
    </w:p>
    <w:p>
      <w:pPr>
        <w:pBdr>
          <w:top w:val="single" w:color="AFC9E3" w:sz="4"/>
          <w:bottom w:val="single" w:color="AFC9E3" w:sz="4"/>
          <w:left w:val="single" w:color="AFC9E3" w:sz="4"/>
          <w:right w:val="single" w:color="AFC9E3" w:sz="4"/>
        </w:pBdr>
        <w:shd w:fill="D9E8F5" w:val="clear"/>
        <w:spacing w:after="140" w:before="60"/>
      </w:pPr>
      <w:r>
        <w:rPr>
          <w:rFonts w:ascii="Consolas" w:cs="Consolas" w:eastAsia="Consolas" w:hAnsi="Consolas"/>
          <w:color w:val="10314F"/>
          <w:sz w:val="20"/>
          <w:szCs w:val="20"/>
        </w:rPr>
        <w:t xml:space="preserve">RMAHead.RMADate &gt;= dateadd(month, -6, getdate())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B5. Test it</w:t>
      </w:r>
    </w:p>
    <w:p>
      <w:pPr>
        <w:spacing w:after="120" w:line="276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Analyze</w:t>
      </w:r>
      <w:r>
        <w:rPr>
          <w:sz w:val="22"/>
          <w:szCs w:val="22"/>
        </w:rPr>
        <w:t xml:space="preserve"> (or Test Query) and check the </w:t>
      </w:r>
      <w:r>
        <w:rPr>
          <w:b/>
          <w:bCs/>
          <w:sz w:val="22"/>
          <w:szCs w:val="22"/>
        </w:rPr>
        <w:t xml:space="preserve">Analyze / Results</w:t>
      </w:r>
      <w:r>
        <w:rPr>
          <w:sz w:val="22"/>
          <w:szCs w:val="22"/>
        </w:rPr>
        <w:t xml:space="preserve"> tab. You should see one row per return line, each with its part, reason, customer, quantity and date. That's your detail BAQ done.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Part C — Trend misshipments by month</w:t>
      </w:r>
    </w:p>
    <w:p>
      <w:pPr>
        <w:spacing w:after="120" w:line="276"/>
      </w:pPr>
      <w:r>
        <w:rPr>
          <w:sz w:val="22"/>
          <w:szCs w:val="22"/>
        </w:rPr>
        <w:t xml:space="preserve">Now we roll those rows up into a count per month so the trend is visible.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C1. Add a “month bucket” calculated field</w:t>
      </w:r>
    </w:p>
    <w:p>
      <w:pPr>
        <w:spacing w:after="120" w:line="276"/>
      </w:pPr>
      <w:r>
        <w:rPr>
          <w:sz w:val="22"/>
          <w:szCs w:val="22"/>
        </w:rPr>
        <w:t xml:space="preserve">In the Query Builder, open the </w:t>
      </w:r>
      <w:r>
        <w:rPr>
          <w:b/>
          <w:bCs/>
          <w:sz w:val="22"/>
          <w:szCs w:val="22"/>
        </w:rPr>
        <w:t xml:space="preserve">Calculated Fields</w:t>
      </w:r>
      <w:r>
        <w:rPr>
          <w:sz w:val="22"/>
          <w:szCs w:val="22"/>
        </w:rPr>
        <w:t xml:space="preserve"> editor and add a new field. Name it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ReturnMonth</w:t>
      </w:r>
      <w:r>
        <w:rPr>
          <w:sz w:val="22"/>
          <w:szCs w:val="22"/>
        </w:rPr>
        <w:t xml:space="preserve">. Use this expression (gives a tidy sortable number like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202607</w:t>
      </w:r>
      <w:r>
        <w:rPr>
          <w:sz w:val="22"/>
          <w:szCs w:val="22"/>
        </w:rPr>
        <w:t xml:space="preserve"> for July 2026):</w:t>
      </w:r>
    </w:p>
    <w:p>
      <w:pPr>
        <w:pBdr>
          <w:top w:val="single" w:color="AFC9E3" w:sz="4"/>
          <w:bottom w:val="single" w:color="AFC9E3" w:sz="4"/>
          <w:left w:val="single" w:color="AFC9E3" w:sz="4"/>
          <w:right w:val="single" w:color="AFC9E3" w:sz="4"/>
        </w:pBdr>
        <w:shd w:fill="D9E8F5" w:val="clear"/>
        <w:spacing w:after="140" w:before="60"/>
      </w:pPr>
      <w:r>
        <w:rPr>
          <w:rFonts w:ascii="Consolas" w:cs="Consolas" w:eastAsia="Consolas" w:hAnsi="Consolas"/>
          <w:color w:val="10314F"/>
          <w:sz w:val="20"/>
          <w:szCs w:val="20"/>
        </w:rPr>
        <w:t xml:space="preserve">(datepart(year, RMAHead.RMADate) * 100)</w:t>
      </w:r>
      <w:r>
        <w:rPr>
          <w:rFonts w:ascii="Consolas" w:cs="Consolas" w:eastAsia="Consolas" w:hAnsi="Consolas"/>
          <w:color w:val="10314F"/>
          <w:sz w:val="20"/>
          <w:szCs w:val="20"/>
        </w:rPr>
        <w:br/>
        <w:t xml:space="preserve">  + datepart(month, RMAHead.RMADate)</w:t>
      </w:r>
    </w:p>
    <w:p>
      <w:pPr>
        <w:spacing w:after="120" w:line="276"/>
      </w:pPr>
      <w:r>
        <w:rPr>
          <w:sz w:val="22"/>
          <w:szCs w:val="22"/>
        </w:rPr>
        <w:t xml:space="preserve">Prefer a readable label instead? Use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convert(nvarchar(7), RMAHead.RMADate, 126)</w:t>
      </w:r>
      <w:r>
        <w:rPr>
          <w:sz w:val="22"/>
          <w:szCs w:val="22"/>
        </w:rPr>
        <w:t xml:space="preserve"> to get "2026-07".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C2. Turn on grouping and counts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Rule of thumb: </w:t>
      </w:r>
      <w:r>
        <w:rPr>
          <w:sz w:val="22"/>
          <w:szCs w:val="22"/>
        </w:rPr>
        <w:t xml:space="preserve">when you aggregate, every field that is NOT a count/sum must be marked </w:t>
      </w:r>
      <w:r>
        <w:rPr>
          <w:b/>
          <w:bCs/>
          <w:sz w:val="22"/>
          <w:szCs w:val="22"/>
        </w:rPr>
        <w:t xml:space="preserve">Group By</w:t>
      </w:r>
      <w:r>
        <w:rPr>
          <w:sz w:val="22"/>
          <w:szCs w:val="22"/>
        </w:rPr>
        <w:t xml:space="preserve">, or the query won't validate.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sz w:val="22"/>
          <w:szCs w:val="22"/>
        </w:rPr>
        <w:t xml:space="preserve">Mark </w:t>
      </w:r>
      <w:r>
        <w:rPr>
          <w:b/>
          <w:bCs/>
          <w:sz w:val="22"/>
          <w:szCs w:val="22"/>
        </w:rPr>
        <w:t xml:space="preserve">Group By</w:t>
      </w:r>
      <w:r>
        <w:rPr>
          <w:sz w:val="22"/>
          <w:szCs w:val="22"/>
        </w:rPr>
        <w:t xml:space="preserve"> on the fields you want to break the trend out by: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ReturnMonth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RMADtl.ReasonCode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Reason.Description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sz w:val="22"/>
          <w:szCs w:val="22"/>
        </w:rPr>
        <w:t xml:space="preserve">Add a calculated field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MisshipCount</w:t>
      </w:r>
      <w:r>
        <w:rPr>
          <w:sz w:val="22"/>
          <w:szCs w:val="22"/>
        </w:rPr>
        <w:t xml:space="preserve"> with expression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count(RMADtl.RMALine)</w:t>
      </w:r>
      <w:r>
        <w:rPr>
          <w:sz w:val="22"/>
          <w:szCs w:val="22"/>
        </w:rPr>
        <w:t xml:space="preserve"> — the number of return lines.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sz w:val="22"/>
          <w:szCs w:val="22"/>
        </w:rPr>
        <w:t xml:space="preserve">Add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UnitsReturned</w:t>
      </w:r>
      <w:r>
        <w:rPr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sum(RMADtl.ReturnQty)</w:t>
      </w:r>
      <w:r>
        <w:rPr>
          <w:sz w:val="22"/>
          <w:szCs w:val="22"/>
        </w:rPr>
        <w:t xml:space="preserve"> if you also want quantity, not just line count.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sz w:val="22"/>
          <w:szCs w:val="22"/>
        </w:rPr>
        <w:t xml:space="preserve">Remove (untick) the pure detail fields like RMANum and CustID from the display for this version — they can't be grouped and aren't needed for a trend.</w:t>
      </w:r>
    </w:p>
    <w:p>
      <w:pPr>
        <w:spacing w:after="120" w:line="276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Analyze</w:t>
      </w:r>
      <w:r>
        <w:rPr>
          <w:sz w:val="22"/>
          <w:szCs w:val="22"/>
        </w:rPr>
        <w:t xml:space="preserve"> again. You now get one row per month per reason, e.g.: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900"/>
        <w:gridCol w:w="19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ReturnMonth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MisshipCount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UnitsReturned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202602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Wrong part shipped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202603</w:t>
            </w:r>
          </w:p>
        </w:tc>
        <w:tc>
          <w:tcPr>
            <w:tcW w:type="dxa" w:w="34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Wrong part shipped</w:t>
            </w:r>
          </w:p>
        </w:tc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202604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Wrong part shipped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202605</w:t>
            </w:r>
          </w:p>
        </w:tc>
        <w:tc>
          <w:tcPr>
            <w:tcW w:type="dxa" w:w="34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Wrong part shipped</w:t>
            </w:r>
          </w:p>
        </w:tc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60"/>
      </w:pPr>
      <w:r>
        <w:rPr>
          <w:b/>
          <w:bCs/>
          <w:sz w:val="22"/>
          <w:szCs w:val="22"/>
        </w:rPr>
        <w:t xml:space="preserve">That is your 6-month misshipment trend.</w:t>
      </w:r>
      <w:r>
        <w:rPr>
          <w:sz w:val="22"/>
          <w:szCs w:val="22"/>
        </w:rPr>
        <w:t xml:space="preserve"> Sort by ReturnMonth to read it top-to-bottom. Want just misshipments? Filter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RMADtl.ReasonCode</w:t>
      </w:r>
      <w:r>
        <w:rPr>
          <w:sz w:val="22"/>
          <w:szCs w:val="22"/>
        </w:rPr>
        <w:t xml:space="preserve"> to the code(s) you found in Part 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Part D — From a count to a true rate</w:t>
      </w:r>
    </w:p>
    <w:p>
      <w:pPr>
        <w:spacing w:after="120" w:line="276"/>
      </w:pP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 xml:space="preserve">rate</w:t>
      </w:r>
      <w:r>
        <w:rPr>
          <w:sz w:val="22"/>
          <w:szCs w:val="22"/>
        </w:rPr>
        <w:t xml:space="preserve"> needs a denominator: misshipments divided by how much you shipped that month. Shipment volume lives in 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ShipHead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ShipDtl</w:t>
      </w:r>
      <w:r>
        <w:rPr>
          <w:sz w:val="22"/>
          <w:szCs w:val="22"/>
        </w:rPr>
        <w:t xml:space="preserve"> tables (customer shipments). Decide your unit up front and use the </w:t>
      </w:r>
      <w:r>
        <w:rPr>
          <w:b/>
          <w:bCs/>
          <w:sz w:val="22"/>
          <w:szCs w:val="22"/>
        </w:rPr>
        <w:t xml:space="preserve">same unit top and bottom</w:t>
      </w:r>
      <w:r>
        <w:rPr>
          <w:sz w:val="22"/>
          <w:szCs w:val="22"/>
        </w:rPr>
        <w:t xml:space="preserve"> — lines vs. orders vs. units.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Option 1 — Two BAQs, divide outside (recommended for now)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Numerator: </w:t>
      </w:r>
      <w:r>
        <w:rPr>
          <w:sz w:val="22"/>
          <w:szCs w:val="22"/>
        </w:rPr>
        <w:t xml:space="preserve">the BAQ you just built (misshipments per month).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Denominator: </w:t>
      </w:r>
      <w:r>
        <w:rPr>
          <w:sz w:val="22"/>
          <w:szCs w:val="22"/>
        </w:rPr>
        <w:t xml:space="preserve">a second, simple BAQ over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ShipDtl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ShipHead</w:t>
      </w:r>
      <w:r>
        <w:rPr>
          <w:sz w:val="22"/>
          <w:szCs w:val="22"/>
        </w:rPr>
        <w:t xml:space="preserve"> that counts shipment lines per month, using the same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ReturnMonth</w:t>
      </w:r>
      <w:r>
        <w:rPr>
          <w:sz w:val="22"/>
          <w:szCs w:val="22"/>
        </w:rPr>
        <w:t xml:space="preserve"> calc on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ShipHead.ShipDate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Drop both into a dashboard or Excel and compute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rate = misshipments / shipments</w:t>
      </w:r>
      <w:r>
        <w:rPr>
          <w:sz w:val="22"/>
          <w:szCs w:val="22"/>
        </w:rPr>
        <w:t xml:space="preserve">. Lowest complexity, and you can eyeball both numbers.</w:t>
      </w:r>
    </w:p>
    <w:p>
      <w:pPr>
        <w:pStyle w:val="Heading2"/>
        <w:spacing w:after="100" w:before="220"/>
      </w:pPr>
      <w:r>
        <w:rPr>
          <w:b/>
          <w:bCs/>
          <w:color w:val="2E2E2E"/>
          <w:sz w:val="25"/>
          <w:szCs w:val="25"/>
        </w:rPr>
        <w:t xml:space="preserve">Option 2 — One BAQ with subqueries (advanced)</w:t>
      </w:r>
    </w:p>
    <w:p>
      <w:pPr>
        <w:spacing w:after="120" w:line="276"/>
      </w:pPr>
      <w:r>
        <w:rPr>
          <w:sz w:val="22"/>
          <w:szCs w:val="22"/>
        </w:rPr>
        <w:t xml:space="preserve">Use two </w:t>
      </w:r>
      <w:r>
        <w:rPr>
          <w:b/>
          <w:bCs/>
          <w:sz w:val="22"/>
          <w:szCs w:val="22"/>
        </w:rPr>
        <w:t xml:space="preserve">subqueries</w:t>
      </w:r>
      <w:r>
        <w:rPr>
          <w:sz w:val="22"/>
          <w:szCs w:val="22"/>
        </w:rPr>
        <w:t xml:space="preserve"> — one for misshipments per month, one for shipments per month — then a top query that joins them on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ReturnMonth</w:t>
      </w:r>
      <w:r>
        <w:rPr>
          <w:sz w:val="22"/>
          <w:szCs w:val="22"/>
        </w:rPr>
        <w:t xml:space="preserve"> and adds:</w:t>
      </w:r>
    </w:p>
    <w:p>
      <w:pPr>
        <w:pBdr>
          <w:top w:val="single" w:color="AFC9E3" w:sz="4"/>
          <w:bottom w:val="single" w:color="AFC9E3" w:sz="4"/>
          <w:left w:val="single" w:color="AFC9E3" w:sz="4"/>
          <w:right w:val="single" w:color="AFC9E3" w:sz="4"/>
        </w:pBdr>
        <w:shd w:fill="D9E8F5" w:val="clear"/>
        <w:spacing w:after="140" w:before="60"/>
      </w:pPr>
      <w:r>
        <w:rPr>
          <w:rFonts w:ascii="Consolas" w:cs="Consolas" w:eastAsia="Consolas" w:hAnsi="Consolas"/>
          <w:color w:val="10314F"/>
          <w:sz w:val="20"/>
          <w:szCs w:val="20"/>
        </w:rPr>
        <w:t xml:space="preserve">Rate = (MisshipCount * 1.0) / ShipCount</w:t>
      </w:r>
    </w:p>
    <w:p>
      <w:pPr>
        <w:spacing w:after="120" w:line="276"/>
      </w:pPr>
      <w:r>
        <w:rPr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* 1.0</w:t>
      </w:r>
      <w:r>
        <w:rPr>
          <w:sz w:val="22"/>
          <w:szCs w:val="22"/>
        </w:rPr>
        <w:t xml:space="preserve"> forces decimal math so you don't get zero from integer division. Subqueries are the real jump from mid to advanced BAQ skill — this is the natural "walk the dog" moment, so ping me and we'll build it together when you're ready.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Part E — Save, sanity-check, and visualize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the query (top toolbar). It's stored against the company and reusable.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  <w:sz w:val="22"/>
          <w:szCs w:val="22"/>
        </w:rPr>
        <w:t xml:space="preserve">Sanity-check </w:t>
      </w:r>
      <w:r>
        <w:rPr>
          <w:sz w:val="22"/>
          <w:szCs w:val="22"/>
        </w:rPr>
        <w:t xml:space="preserve">one month by hand: open RMA Processing, count the misshipment RMAs for, say, last month, and confirm it matches the BAQ. This catches join/filter mistakes fast.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  <w:sz w:val="22"/>
          <w:szCs w:val="22"/>
        </w:rPr>
        <w:t xml:space="preserve">Chart it: </w:t>
      </w:r>
      <w:r>
        <w:rPr>
          <w:sz w:val="22"/>
          <w:szCs w:val="22"/>
        </w:rPr>
        <w:t xml:space="preserve">add the BAQ to a Kinetic Dashboard with a grid plus a </w:t>
      </w:r>
      <w:r>
        <w:rPr>
          <w:b/>
          <w:bCs/>
          <w:sz w:val="22"/>
          <w:szCs w:val="22"/>
        </w:rPr>
        <w:t xml:space="preserve">line chart</w:t>
      </w:r>
      <w:r>
        <w:rPr>
          <w:sz w:val="22"/>
          <w:szCs w:val="22"/>
        </w:rPr>
        <w:t xml:space="preserve"> of MisshipCount by ReturnMonth. The trend line is what makes the misshipment problem obvious to anyone you show it to.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Appendix — Field cheat sheet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 you'll use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RMAHead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RMANum, RMADate, CustNum, OpenRMA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RMADtl</w:t>
            </w:r>
          </w:p>
        </w:tc>
        <w:tc>
          <w:tcPr>
            <w:tcW w:type="dxa" w:w="67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RMANum, RMALine, PartNum, ReturnQty, ReasonCode, DispType, OrderNum, PackNum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ReasonCode, ReasonType (filter to RMA reasons), Description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</w:t>
            </w:r>
          </w:p>
        </w:tc>
        <w:tc>
          <w:tcPr>
            <w:tcW w:type="dxa" w:w="67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PartNum, PartDescription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CustNum, CustID, Name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ShipHead / ShipDtl</w:t>
            </w:r>
          </w:p>
        </w:tc>
        <w:tc>
          <w:tcPr>
            <w:tcW w:type="dxa" w:w="6700"/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PackNum, ShipDate, PartNum, OurInventoryShipQty (for the rate denominator)</w:t>
            </w:r>
          </w:p>
        </w:tc>
      </w:tr>
    </w:tbl>
    <w:p>
      <w:pPr>
        <w:spacing w:before="200"/>
      </w:pPr>
      <w:r>
        <w:rPr>
          <w:b/>
          <w:bCs/>
          <w:color w:val="1F4E79"/>
          <w:sz w:val="24"/>
          <w:szCs w:val="24"/>
        </w:rPr>
        <w:t xml:space="preserve">Three habits that prevent 90% of BAQ headaches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Hit Analyze constantly — after every table, field, and filter — so you know exactly which change broke something.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Every non-aggregated field must be Group By once you add a count or sum.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Use Add Related Table (right-click) instead of drawing joins by hand — it fills in the join conditions correctly.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jc w:val="center"/>
    </w:pPr>
    <w:r>
      <w:rPr>
        <w:color w:val="595959"/>
        <w:sz w:val="16"/>
        <w:szCs w:val="16"/>
      </w:rPr>
      <w:t xml:space="preserve">Langmuir Systems — Warranty &amp; Misshipment BAQ Guide   •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2026-07-15T16:24:08.658Z</dcterms:created>
  <dcterms:modified xsi:type="dcterms:W3CDTF">2026-07-15T16:24:08.659Z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