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1116C" w14:textId="1D54AA8B" w:rsidR="005871E8" w:rsidRDefault="004F186D" w:rsidP="00802DE8">
      <w:pPr>
        <w:pStyle w:val="Title"/>
      </w:pPr>
      <w:r>
        <w:t>Writing Performance &amp; time of Exposure in EFL Immersion Learners: Analysing Complexity, Accuracy, &amp; Fluency</w:t>
      </w:r>
    </w:p>
    <w:p w14:paraId="50676228" w14:textId="5308D07F" w:rsidR="004F186D" w:rsidRPr="004F186D" w:rsidRDefault="004F186D" w:rsidP="004F186D">
      <w:pPr>
        <w:rPr>
          <w:rFonts w:cs="Times New Roman"/>
          <w:i/>
          <w:vertAlign w:val="superscript"/>
          <w:lang w:val="es-ES"/>
        </w:rPr>
      </w:pPr>
      <w:r w:rsidRPr="004F186D">
        <w:rPr>
          <w:i/>
        </w:rPr>
        <w:t>Isabel Tejada-S</w:t>
      </w:r>
      <w:r w:rsidRPr="004F186D">
        <w:rPr>
          <w:rFonts w:cs="Times New Roman"/>
          <w:i/>
          <w:lang w:val="es-ES"/>
        </w:rPr>
        <w:t>á</w:t>
      </w:r>
      <w:r>
        <w:rPr>
          <w:rFonts w:cs="Times New Roman"/>
          <w:i/>
          <w:lang w:val="es-ES"/>
        </w:rPr>
        <w:t>nchez</w:t>
      </w:r>
      <w:r>
        <w:rPr>
          <w:rFonts w:cs="Times New Roman"/>
          <w:i/>
          <w:vertAlign w:val="superscript"/>
          <w:lang w:val="es-ES"/>
        </w:rPr>
        <w:t>1</w:t>
      </w:r>
      <w:r w:rsidRPr="004F186D">
        <w:rPr>
          <w:rFonts w:cs="Times New Roman"/>
          <w:i/>
          <w:lang w:val="es-ES"/>
        </w:rPr>
        <w:t xml:space="preserve"> &amp; Carmen Pérez-Vidal</w:t>
      </w:r>
      <w:r>
        <w:rPr>
          <w:rFonts w:cs="Times New Roman"/>
          <w:i/>
          <w:vertAlign w:val="superscript"/>
          <w:lang w:val="es-ES"/>
        </w:rPr>
        <w:t>2</w:t>
      </w:r>
    </w:p>
    <w:p w14:paraId="4A5A220C" w14:textId="25F791CB" w:rsidR="004F186D" w:rsidRPr="004F186D" w:rsidRDefault="004F186D" w:rsidP="004F186D">
      <w:r>
        <w:rPr>
          <w:rFonts w:cs="Times New Roman"/>
          <w:vertAlign w:val="superscript"/>
          <w:lang w:val="es-ES"/>
        </w:rPr>
        <w:t>1</w:t>
      </w:r>
      <w:r>
        <w:rPr>
          <w:rFonts w:cs="Times New Roman"/>
          <w:lang w:val="es-ES"/>
        </w:rPr>
        <w:t xml:space="preserve">Universidad de los Andes, </w:t>
      </w:r>
      <w:r>
        <w:rPr>
          <w:rFonts w:cs="Times New Roman"/>
          <w:vertAlign w:val="superscript"/>
          <w:lang w:val="es-ES"/>
        </w:rPr>
        <w:t>2</w:t>
      </w:r>
      <w:r>
        <w:rPr>
          <w:rFonts w:cs="Times New Roman"/>
          <w:lang w:val="es-ES"/>
        </w:rPr>
        <w:t>Universitat Pompeu Fabra</w:t>
      </w:r>
    </w:p>
    <w:p w14:paraId="51DC043D" w14:textId="579F2529" w:rsidR="004F186D" w:rsidRDefault="004F186D" w:rsidP="004F186D">
      <w:pPr>
        <w:pStyle w:val="lsSection1"/>
        <w:numPr>
          <w:ilvl w:val="0"/>
          <w:numId w:val="0"/>
        </w:numPr>
        <w:ind w:left="360"/>
      </w:pPr>
      <w:r>
        <w:t>Abstract</w:t>
      </w:r>
    </w:p>
    <w:p w14:paraId="0F6189BD" w14:textId="66A8C024" w:rsidR="004F186D" w:rsidRPr="004F186D" w:rsidRDefault="004F186D" w:rsidP="004F186D">
      <w:pPr>
        <w:pStyle w:val="lsSourceline"/>
      </w:pPr>
      <w:r>
        <w:rPr>
          <w:lang w:val="en-GB"/>
        </w:rPr>
        <w:t xml:space="preserve">The present study explores the effects of two types of early-partial immersion programmes on writing performance in English as a Foreign Language (EFL). It examines adolescent learners (ages 12-17) in mainstream education in Colombia. The two </w:t>
      </w:r>
      <w:r>
        <w:rPr>
          <w:color w:val="000000"/>
          <w:lang w:val="en-GB"/>
        </w:rPr>
        <w:t xml:space="preserve">programmes are similar as far as the learners’ onset age (4) is concerned, but different with respect to the total amount of EFL exposure time and intensity: High Intensity plus (HI+) has a total of 8,760 accumulated hours by age 17, while High Intensity (HI) has in turn, 7,002. It has been prevalently hypothesized that the more time students dedicate to learning the L2, the higher their level of proficiency will be </w:t>
      </w:r>
      <w:r>
        <w:rPr>
          <w:lang w:val="en-GB"/>
        </w:rPr>
        <w:t xml:space="preserve">(Carroll 1962, Stern 1985), </w:t>
      </w:r>
      <w:r>
        <w:rPr>
          <w:color w:val="000000"/>
          <w:lang w:val="en-GB"/>
        </w:rPr>
        <w:t xml:space="preserve">supporting the spread of instructed immersion and intensive programmes </w:t>
      </w:r>
      <w:r>
        <w:rPr>
          <w:lang w:val="en-GB"/>
        </w:rPr>
        <w:t xml:space="preserve">(Serrano, Llanes &amp; Tragant 2011, Lightbown 2012); </w:t>
      </w:r>
      <w:r>
        <w:rPr>
          <w:color w:val="000000"/>
          <w:lang w:val="en-GB"/>
        </w:rPr>
        <w:t>one of the aims of this chapter is to further assess this hypothesis.  The study examines a cross-sectional sample (N=188), adopting a</w:t>
      </w:r>
      <w:r>
        <w:rPr>
          <w:lang w:val="en-GB"/>
        </w:rPr>
        <w:t xml:space="preserve"> between-groups design whereby programmes’ </w:t>
      </w:r>
      <w:r>
        <w:rPr>
          <w:color w:val="000000"/>
          <w:lang w:val="en-GB"/>
        </w:rPr>
        <w:t xml:space="preserve">performance is compared in terms of the effect of accumulated time. Analysis will focus on the domains of syntactic and lexical complexity, accuracy, fluency </w:t>
      </w:r>
      <w:r>
        <w:rPr>
          <w:lang w:val="en-GB"/>
        </w:rPr>
        <w:t xml:space="preserve">(Housen, Kuiken &amp; Vedder 2012) </w:t>
      </w:r>
      <w:r>
        <w:rPr>
          <w:color w:val="000000"/>
          <w:lang w:val="en-GB"/>
        </w:rPr>
        <w:t xml:space="preserve">and on holistic ratings. Results indicate that learners’ writing in HI+ and HI do not show to be significantly different in most domains of CAF examined, </w:t>
      </w:r>
      <w:r>
        <w:rPr>
          <w:color w:val="000000"/>
          <w:lang w:val="en-GB"/>
        </w:rPr>
        <w:lastRenderedPageBreak/>
        <w:t xml:space="preserve">nor in the holistic ratings. This might be explained in the light of the prior high number of accumulated hours of English exposure and emphasis on literacy in the curriculum of both programmes, which has allowed learners to reach a threshold level from which they do not regress </w:t>
      </w:r>
      <w:r>
        <w:rPr>
          <w:lang w:val="en-GB"/>
        </w:rPr>
        <w:t>(Bournot-Trites 2007, Williams 2012).</w:t>
      </w:r>
    </w:p>
    <w:p w14:paraId="16DBBC26" w14:textId="4585DD4F" w:rsidR="004F186D" w:rsidRDefault="004F186D" w:rsidP="004F186D">
      <w:pPr>
        <w:pStyle w:val="lsSection1"/>
      </w:pPr>
      <w:r>
        <w:t>Introduction</w:t>
      </w:r>
    </w:p>
    <w:p w14:paraId="2FC4CB3C" w14:textId="77777777" w:rsidR="004F186D" w:rsidRDefault="004F186D" w:rsidP="004F186D">
      <w:pPr>
        <w:rPr>
          <w:rFonts w:eastAsia="Times New Roman" w:cs="Times New Roman"/>
          <w:lang w:eastAsia="zh-CN" w:bidi="ar-SA"/>
        </w:rPr>
      </w:pPr>
      <w:r>
        <w:rPr>
          <w:lang w:val="en-GB"/>
        </w:rPr>
        <w:t xml:space="preserve">Since the emergence of immersion programmes in Canada in the late 1960s (Lambert &amp; Tucker 1972), much research has been carried out on the development of linguistic competence in </w:t>
      </w:r>
      <w:r>
        <w:rPr>
          <w:color w:val="000000"/>
          <w:lang w:val="en-GB"/>
        </w:rPr>
        <w:t xml:space="preserve">an L2 in such settings </w:t>
      </w:r>
      <w:r>
        <w:rPr>
          <w:lang w:val="en-GB"/>
        </w:rPr>
        <w:t xml:space="preserve">(Genesee 1976; 1978, Swain 2000). </w:t>
      </w:r>
      <w:r>
        <w:rPr>
          <w:color w:val="000000"/>
          <w:lang w:val="en-GB"/>
        </w:rPr>
        <w:t>The major</w:t>
      </w:r>
      <w:r>
        <w:rPr>
          <w:lang w:val="en-GB"/>
        </w:rPr>
        <w:t>ity of these studies, mostly in favour of immersion, have also addressed the limitations of immersion programmes, particularly in terms of the L2 competence attained and the risks involved in the development of the L1 (Genesee 1978; 2013, Lazaruk 2007). Despite these concerns, the immersion education model has developed rapidly, inspiring bi- and multilingual school programmes throughout the world (De Mejia 2002).</w:t>
      </w:r>
      <w:r>
        <w:rPr>
          <w:color w:val="FF0000"/>
          <w:lang w:val="en-GB"/>
        </w:rPr>
        <w:t xml:space="preserve"> </w:t>
      </w:r>
      <w:r>
        <w:rPr>
          <w:lang w:val="en-GB"/>
        </w:rPr>
        <w:t xml:space="preserve">The acknowledged success of immersion programmes may be due to a combination of factors that have been shown to positively affect L2 acquisition, such as onset age, the type of input made available and its quantity, that is, the amount of time allocated to L2 exposure, methodological flexibility (early, middle and late programmes) and teachers’ backgrounds, among others (Genesee 2013, Johnson &amp; Swain 1997, Lazaruk 2007). </w:t>
      </w:r>
    </w:p>
    <w:p w14:paraId="6DF3D8D2" w14:textId="77777777" w:rsidR="004F186D" w:rsidRDefault="004F186D" w:rsidP="004F186D">
      <w:pPr>
        <w:rPr>
          <w:lang w:val="fr-FR"/>
        </w:rPr>
      </w:pPr>
      <w:r>
        <w:rPr>
          <w:lang w:val="en-GB"/>
        </w:rPr>
        <w:t xml:space="preserve">This chapter is part of a larger study (Tejada-Sánchez 2014) which examines  the outcomes of immersion programmes in Colombia, focusing on EFL writing of L1-Spanish speakers. More specifically, it seeks to understand the relationship between the allocation of time in the programme and the resulting learners’ written performance in their target language, English. This relationship has not been sufficiently addressed in studies on school immersion contexts outside Canada, and even less so in the Colombian context. Earlier studies and compilations have underscored the importance of addressing the effect of the time factor, and more specifically intensive exposure experiences, within L2 instructional settings (Muñoz 2012).  Consequently, there remains a gap in the literature as to how language productive abilities benefit from such intensive instructional experiences. Undoubtedly, the number of uncontrollable variables within educational settings, such as individual differences, curriculum and context specifics, make this a particularly complex endeavour. For </w:t>
      </w:r>
      <w:r>
        <w:rPr>
          <w:lang w:val="en-GB"/>
        </w:rPr>
        <w:lastRenderedPageBreak/>
        <w:t xml:space="preserve">this study, data collection was conducted during class time in order to ensure the students’ participation. It included written data and a background questionnaire which was used to control for individual variables such as age, L2 exposure and target language contact hours outside the school.     </w:t>
      </w:r>
    </w:p>
    <w:p w14:paraId="615511D7" w14:textId="3ED1D179" w:rsidR="004F186D" w:rsidRDefault="004F186D" w:rsidP="004F186D">
      <w:r>
        <w:rPr>
          <w:rFonts w:cs="Times New Roman"/>
          <w:lang w:val="en-GB"/>
        </w:rPr>
        <w:t>The chapter thus presents a descriptive study that evaluates the relative effect of different amounts of exposure to L2-English in two early partial immersion programmes in Colombia. We begin by reviewing the literature concerning time as an essential factor within immersion programmes, to then go on to discuss writing development in terms of the CAF triad, as well as the measurements adopted for profiling these dimensions. We then move on to present the methodology. Finally, results and analysis are outlined, followed by a discussion. Concluding remarks will focus on the implications of this study for L2 education and specifically curriculum allocation of languages within immersion programmes in non-English speaking contexts.</w:t>
      </w:r>
    </w:p>
    <w:p w14:paraId="02EBFE0C" w14:textId="6D021024" w:rsidR="004F186D" w:rsidRDefault="004F186D" w:rsidP="004F186D">
      <w:pPr>
        <w:pStyle w:val="lsSection1"/>
      </w:pPr>
      <w:r>
        <w:t>Literature review</w:t>
      </w:r>
    </w:p>
    <w:p w14:paraId="03321BCF" w14:textId="7EEBF76B" w:rsidR="004F186D" w:rsidRDefault="004F186D" w:rsidP="004F186D">
      <w:pPr>
        <w:pStyle w:val="lsSection2"/>
      </w:pPr>
      <w:r>
        <w:t>Time as an intrinsic factor for immersion programmes</w:t>
      </w:r>
    </w:p>
    <w:p w14:paraId="4827F6BF" w14:textId="77777777" w:rsidR="004F186D" w:rsidRDefault="004F186D" w:rsidP="004F186D">
      <w:pPr>
        <w:rPr>
          <w:lang w:eastAsia="zh-CN"/>
        </w:rPr>
      </w:pPr>
      <w:r>
        <w:rPr>
          <w:lang w:val="en-GB"/>
        </w:rPr>
        <w:t>The question of the influence of the amount of target language exposure on language proficiency was raised quite early in the implementation of French immersion programmes in Canada. Carroll’s contributions in the mid-sixties and seventies around the characteristics of immersion programmes were fundamental. Regarding the</w:t>
      </w:r>
      <w:r>
        <w:rPr>
          <w:color w:val="000000"/>
          <w:lang w:val="en-GB"/>
        </w:rPr>
        <w:t xml:space="preserve"> time-skill relationship, he asserted: “There are many factors which contribute directly to the effectiveness of French instructional programs (...) Organizationally, it is considered </w:t>
      </w:r>
      <w:r>
        <w:rPr>
          <w:i/>
          <w:color w:val="000000"/>
          <w:lang w:val="en-GB"/>
        </w:rPr>
        <w:t>that the key factor is the number of hours of instruction</w:t>
      </w:r>
      <w:r>
        <w:rPr>
          <w:color w:val="000000"/>
          <w:lang w:val="en-GB"/>
        </w:rPr>
        <w:t xml:space="preserve"> in French (…) In other words, </w:t>
      </w:r>
      <w:r>
        <w:rPr>
          <w:i/>
          <w:color w:val="000000"/>
          <w:lang w:val="en-GB"/>
        </w:rPr>
        <w:t>the more hours a pupil spends in French, the higher level of achievement is likely to b</w:t>
      </w:r>
      <w:r>
        <w:rPr>
          <w:i/>
          <w:lang w:val="en-GB"/>
        </w:rPr>
        <w:t>e</w:t>
      </w:r>
      <w:r>
        <w:rPr>
          <w:lang w:val="en-GB"/>
        </w:rPr>
        <w:t xml:space="preserve">” (Carroll 1977: 8, cited in Swain 1981: 2-3; emphasis added). </w:t>
      </w:r>
      <w:r>
        <w:rPr>
          <w:color w:val="000000"/>
          <w:lang w:val="en-GB"/>
        </w:rPr>
        <w:t>He identified a direct link</w:t>
      </w:r>
      <w:r>
        <w:rPr>
          <w:lang w:val="en-GB"/>
        </w:rPr>
        <w:t xml:space="preserve"> between the volume of input made available to learners, quantified as time, and the overall L2 attainment. Stern (1985), in turn, referred to a threshold regarding the number of hours likely to ensure a </w:t>
      </w:r>
      <w:r>
        <w:rPr>
          <w:i/>
          <w:lang w:val="en-GB"/>
        </w:rPr>
        <w:t>bilingual</w:t>
      </w:r>
      <w:r>
        <w:rPr>
          <w:lang w:val="en-GB"/>
        </w:rPr>
        <w:t xml:space="preserve"> competence in an immersion context: at least 5,000 hours, but this account did not determine the characteristics of the learner involved in the programme, and did not make explicit the distribution of exposure </w:t>
      </w:r>
      <w:r>
        <w:rPr>
          <w:lang w:val="en-GB"/>
        </w:rPr>
        <w:lastRenderedPageBreak/>
        <w:t xml:space="preserve">time or its intensity, in terms of hours per week/month. Currently, </w:t>
      </w:r>
      <w:r>
        <w:rPr>
          <w:color w:val="000000"/>
          <w:lang w:val="en-GB"/>
        </w:rPr>
        <w:t xml:space="preserve">the publications which explore time as a factor in the development of an L2 emphasize its importance but at the same time its intricate complexity.  The conclusions that can be drawn from </w:t>
      </w:r>
      <w:r>
        <w:rPr>
          <w:lang w:val="en-GB"/>
        </w:rPr>
        <w:t xml:space="preserve">Muñoz’s (2012) </w:t>
      </w:r>
      <w:r>
        <w:rPr>
          <w:color w:val="000000"/>
          <w:lang w:val="en-GB"/>
        </w:rPr>
        <w:t>compilation demonstrate that, depending on how and where time is operationalized in language education, it can lead to a myriad of effects, from cognitive to socio-pragmatic, from global language features to discrete ones such as those addressed by the CAF dimensions. In this study, we focus on the parameter of accumulated time of exposure</w:t>
      </w:r>
      <w:r>
        <w:rPr>
          <w:i/>
          <w:color w:val="000000"/>
          <w:lang w:val="en-GB"/>
        </w:rPr>
        <w:t>.</w:t>
      </w:r>
      <w:r>
        <w:rPr>
          <w:color w:val="000000"/>
          <w:lang w:val="en-GB"/>
        </w:rPr>
        <w:t xml:space="preserve"> This parameter refers to the global amount of time, in terms of number of hours, dedicated to L2 learning </w:t>
      </w:r>
      <w:r>
        <w:rPr>
          <w:lang w:val="en-GB"/>
        </w:rPr>
        <w:t xml:space="preserve">(Stern 1985, Genesee 1974; 1978; 2013). It is </w:t>
      </w:r>
      <w:r>
        <w:rPr>
          <w:color w:val="000000"/>
          <w:lang w:val="en-GB"/>
        </w:rPr>
        <w:t xml:space="preserve">usually required for the completion of a programme with a given target proficiency level, as defined for instance by the CEFR descriptors (Council of Europe 2001).  </w:t>
      </w:r>
      <w:r>
        <w:rPr>
          <w:lang w:val="en-GB" w:eastAsia="es-CO"/>
        </w:rPr>
        <w:t xml:space="preserve">Regarding the accumulated time of exposure, immersion programmes are those where L2-contact time, along with content integrated instruction, is deemed essential for the programme’s functioning (Collins, Halter, Lightbown </w:t>
      </w:r>
      <w:r>
        <w:rPr>
          <w:rFonts w:eastAsia="Times New Roman"/>
          <w:bCs/>
          <w:lang w:eastAsia="es-ES" w:bidi="ar-SA"/>
        </w:rPr>
        <w:t>&amp; Spada</w:t>
      </w:r>
      <w:r>
        <w:rPr>
          <w:lang w:val="en-GB" w:eastAsia="es-CO"/>
        </w:rPr>
        <w:t xml:space="preserve"> 1999). Globally, immersion programmes have been traditionally described as beneficial for receptive skills (Day &amp; Shapson 1988), while their limitations regarding writing and accuracy have been frequently reported in previous research (Lightbown 2012; </w:t>
      </w:r>
      <w:r>
        <w:t>Germain, Netten &amp; Séguin 2004</w:t>
      </w:r>
      <w:r>
        <w:rPr>
          <w:lang w:val="en-GB" w:eastAsia="es-CO"/>
        </w:rPr>
        <w:t xml:space="preserve">). In such respect, in written and oral expression, immersion learners often demonstrate a considerable influence of L1 grammar. Also, it has been repeatedly reported that learners would not start a conversation in the L2 spontaneously, unless when they are asked to do so (Harley 1992, Wesche 2002). </w:t>
      </w:r>
      <w:r>
        <w:rPr>
          <w:color w:val="000000"/>
          <w:lang w:val="en-GB" w:eastAsia="es-CO"/>
        </w:rPr>
        <w:t xml:space="preserve">Finally, it is suggested that even though productive skills appear to be distant from those of native speakers, learners in immersion programmes continue to make progress in the L2 </w:t>
      </w:r>
      <w:r>
        <w:rPr>
          <w:lang w:val="en-GB" w:eastAsia="es-CO"/>
        </w:rPr>
        <w:t>(Harley 1992, Wesche 1989, Housen 2012).</w:t>
      </w:r>
    </w:p>
    <w:p w14:paraId="4031DF05" w14:textId="77777777" w:rsidR="004F186D" w:rsidRDefault="004F186D" w:rsidP="004F186D">
      <w:r>
        <w:rPr>
          <w:color w:val="000000"/>
          <w:lang w:val="en-GB"/>
        </w:rPr>
        <w:t xml:space="preserve">Particularly in terms of writing, the main topic in this study, contributions by </w:t>
      </w:r>
      <w:r>
        <w:rPr>
          <w:lang w:val="en-GB"/>
        </w:rPr>
        <w:t xml:space="preserve">Bournot-Trites (2007), Collins </w:t>
      </w:r>
      <w:r>
        <w:rPr>
          <w:rFonts w:eastAsia="Times New Roman"/>
          <w:bCs/>
          <w:lang w:eastAsia="es-ES" w:bidi="ar-SA"/>
        </w:rPr>
        <w:t xml:space="preserve">&amp; </w:t>
      </w:r>
      <w:r>
        <w:rPr>
          <w:lang w:val="en-GB"/>
        </w:rPr>
        <w:t xml:space="preserve">White (2011), Turnbull, Lapkin, Hart </w:t>
      </w:r>
      <w:r>
        <w:rPr>
          <w:rFonts w:eastAsia="Times New Roman"/>
          <w:bCs/>
          <w:lang w:eastAsia="es-ES" w:bidi="ar-SA"/>
        </w:rPr>
        <w:t xml:space="preserve">&amp; Swain </w:t>
      </w:r>
      <w:r>
        <w:rPr>
          <w:lang w:val="en-GB"/>
        </w:rPr>
        <w:t xml:space="preserve">(1998) and Lightbown (2012) underscore learners’ capability to communicate effectively but failing to reach native-like levels, for instance as regards lexical diversity and structural elaboration.  </w:t>
      </w:r>
    </w:p>
    <w:p w14:paraId="57BA14AA" w14:textId="5445904B" w:rsidR="004F186D" w:rsidRDefault="004F186D" w:rsidP="004F186D">
      <w:r>
        <w:rPr>
          <w:lang w:val="en-GB"/>
        </w:rPr>
        <w:t xml:space="preserve">Summing up, it has been prevalently hypothesized that the more time students dedicate to learning the L2, the higher their level of proficiency will be (Stern 1985), thus supporting the spread of instructed immersion and intensive programmes (Serrano et al. 2011, Lightbown 2012). However, although the pioneer Canadian initiatives </w:t>
      </w:r>
      <w:r>
        <w:rPr>
          <w:lang w:val="en-GB"/>
        </w:rPr>
        <w:lastRenderedPageBreak/>
        <w:t>have been abundantly documented in the SLA literature, research is scarce as far as other countries are concerned. Hence, the current study seeks to shed light on the effects of EFL immersion in Colombia, by examining and comparing the effects on writing performance of students belonging to two programmes which differ in total number of hours and their distribution. Individual differences such as L2 exposure outside school, family bilingualism, and total amount of time in the school were also taken into consideration, but will not be discussed in this chapter.</w:t>
      </w:r>
    </w:p>
    <w:p w14:paraId="4127D4D7" w14:textId="3C575998" w:rsidR="004F186D" w:rsidRDefault="004F186D" w:rsidP="004F186D">
      <w:pPr>
        <w:pStyle w:val="lsSection2"/>
      </w:pPr>
      <w:r>
        <w:t>L2 Written performance</w:t>
      </w:r>
    </w:p>
    <w:p w14:paraId="3E11734F" w14:textId="77777777" w:rsidR="004F186D" w:rsidRDefault="004F186D" w:rsidP="004F186D">
      <w:pPr>
        <w:rPr>
          <w:lang w:eastAsia="zh-CN"/>
        </w:rPr>
      </w:pPr>
      <w:r>
        <w:rPr>
          <w:lang w:val="en-GB"/>
        </w:rPr>
        <w:t>Writing is a cognitively complex and multidimensional endeavour which involves different stages and processes (Manchón 2013, Ortega 2012). In fact, this skill is understood as an 'interactive' process where various factors, such as genre awareness (stylistic organization and textual format) and mastery of content and language, are frequently activated and deactivated, according to writing pace and the needs of the composition process.</w:t>
      </w:r>
    </w:p>
    <w:p w14:paraId="3E81754A" w14:textId="77777777" w:rsidR="004F186D" w:rsidRDefault="004F186D" w:rsidP="004F186D">
      <w:r>
        <w:rPr>
          <w:lang w:val="en-GB"/>
        </w:rPr>
        <w:t xml:space="preserve">Creating a text comprises three main stages, namely, planning, formulation and revision (Manchón 2009; 2013, Silva </w:t>
      </w:r>
      <w:r>
        <w:rPr>
          <w:rFonts w:eastAsia="Times New Roman"/>
          <w:bCs/>
          <w:lang w:eastAsia="es-ES" w:bidi="ar-SA"/>
        </w:rPr>
        <w:t>&amp; Matsuda</w:t>
      </w:r>
      <w:r>
        <w:rPr>
          <w:lang w:val="en-GB"/>
        </w:rPr>
        <w:t xml:space="preserve"> 2005).</w:t>
      </w:r>
      <w:r>
        <w:rPr>
          <w:color w:val="FF0000"/>
          <w:lang w:val="en-GB"/>
        </w:rPr>
        <w:t xml:space="preserve"> </w:t>
      </w:r>
      <w:r>
        <w:rPr>
          <w:lang w:val="en-GB"/>
        </w:rPr>
        <w:t xml:space="preserve">In the case of an L2, this activity is complicated by additional demands such as the search for the appropriate lexicon, grammar, discourse and other peculiar dimensions of the target language and culture (Manchón 2009). </w:t>
      </w:r>
    </w:p>
    <w:p w14:paraId="077D7EB0" w14:textId="72A51E52" w:rsidR="004F186D" w:rsidRDefault="004F186D" w:rsidP="004F186D">
      <w:r>
        <w:rPr>
          <w:lang w:val="en-GB"/>
        </w:rPr>
        <w:t xml:space="preserve">In this study, writing is seen as a genuine and meaningful way of communication in controlled L2 settings, such as the immersion school. Thus, in line with Harklau (2002), Ortega (2012) and Williams (2012), writing is a means of promoting permanent opportunities for practicing and revising L2 production in the classroom. </w:t>
      </w:r>
    </w:p>
    <w:p w14:paraId="65717615" w14:textId="7471E181" w:rsidR="004F186D" w:rsidRDefault="004F186D" w:rsidP="004F186D">
      <w:r>
        <w:rPr>
          <w:lang w:val="en-GB"/>
        </w:rPr>
        <w:t>Two main approaches have been used to analyse writing in this study: quantitative measures for the three CAF dimensions and qualitative assessment using holistic ratings.</w:t>
      </w:r>
    </w:p>
    <w:p w14:paraId="2313C8A4" w14:textId="38E3BF11" w:rsidR="004F186D" w:rsidRDefault="004F186D" w:rsidP="004F186D">
      <w:pPr>
        <w:pStyle w:val="lsSection2"/>
      </w:pPr>
      <w:r>
        <w:t xml:space="preserve">Complexity, </w:t>
      </w:r>
      <w:r w:rsidR="00D557AC">
        <w:t xml:space="preserve">accuracy, and fluency </w:t>
      </w:r>
      <w:r>
        <w:t>(CAF)</w:t>
      </w:r>
    </w:p>
    <w:p w14:paraId="5C470459" w14:textId="77777777" w:rsidR="004F186D" w:rsidRDefault="004F186D" w:rsidP="004F186D">
      <w:pPr>
        <w:rPr>
          <w:lang w:eastAsia="zh-CN"/>
        </w:rPr>
      </w:pPr>
      <w:r>
        <w:rPr>
          <w:rFonts w:cs="Times New Roman"/>
          <w:szCs w:val="20"/>
          <w:lang w:val="en-GB"/>
        </w:rPr>
        <w:t xml:space="preserve">The quest for a developmental index to describe L2 performance has been a key issue in SLA research for decades now (among the first attempts, see e.g. Larsen-Freeman 1978). Building on  models of L2 </w:t>
      </w:r>
      <w:r>
        <w:rPr>
          <w:rFonts w:cs="Times New Roman"/>
          <w:szCs w:val="20"/>
          <w:lang w:val="en-GB"/>
        </w:rPr>
        <w:lastRenderedPageBreak/>
        <w:t xml:space="preserve">proficiency (Skehan 2009, Ellis &amp; Barkhuizen 2005, among others), Housen et al’s 2012 volume elaborates on the potential of CAF as complementary dimensions of language performance and as a reliable approach to gauging L2 proficiency, as the three dimensions </w:t>
      </w:r>
      <w:r>
        <w:rPr>
          <w:rFonts w:cs="Times New Roman"/>
          <w:color w:val="000000"/>
          <w:szCs w:val="20"/>
          <w:lang w:val="en-GB"/>
        </w:rPr>
        <w:t xml:space="preserve">encompass the major areas of performance in an interlanguage system. </w:t>
      </w:r>
    </w:p>
    <w:p w14:paraId="2B7EC0F2" w14:textId="77777777" w:rsidR="004F186D" w:rsidRDefault="004F186D" w:rsidP="004F186D">
      <w:r>
        <w:rPr>
          <w:rFonts w:cs="Times New Roman"/>
          <w:szCs w:val="20"/>
          <w:lang w:val="en-GB"/>
        </w:rPr>
        <w:t xml:space="preserve">In this study, we adopt the CAF triad to assess writing performance in immersion contexts. Several contributions (Bulté &amp; Housen 2014, Housen &amp; Kuiken 2009, Housen et al. 2012, Wolfe-Quintero, Inagaki &amp; Kim 1998), have discussed the operationalization of these measures in order to explain what makes a learner a </w:t>
      </w:r>
      <w:r>
        <w:rPr>
          <w:rFonts w:cs="Times New Roman"/>
          <w:i/>
          <w:szCs w:val="20"/>
          <w:lang w:val="en-GB"/>
        </w:rPr>
        <w:t>skilled</w:t>
      </w:r>
      <w:r>
        <w:rPr>
          <w:rFonts w:cs="Times New Roman"/>
          <w:szCs w:val="20"/>
          <w:lang w:val="en-GB"/>
        </w:rPr>
        <w:t xml:space="preserve"> user of a language. Below we review those adopted for our study.  </w:t>
      </w:r>
    </w:p>
    <w:p w14:paraId="67394D9E" w14:textId="4306D827" w:rsidR="004F186D" w:rsidRDefault="004F186D" w:rsidP="004F186D">
      <w:pPr>
        <w:pStyle w:val="lsSection3"/>
      </w:pPr>
      <w:r>
        <w:t>Complexity</w:t>
      </w:r>
    </w:p>
    <w:p w14:paraId="449DBAD3" w14:textId="77777777" w:rsidR="004F186D" w:rsidRDefault="004F186D" w:rsidP="004F186D">
      <w:pPr>
        <w:rPr>
          <w:lang w:eastAsia="zh-CN"/>
        </w:rPr>
      </w:pPr>
      <w:r>
        <w:rPr>
          <w:lang w:val="en-GB"/>
        </w:rPr>
        <w:t>Complexity is a construct that reflects the multidimensionality of the language learning process. It particularly poses numerous problems in the SLA field due to its polysemic nature, which can refer to structural, cognitive and developmental aspects (Pallotti 2015).</w:t>
      </w:r>
    </w:p>
    <w:p w14:paraId="721503BF" w14:textId="77777777" w:rsidR="004F186D" w:rsidRDefault="004F186D" w:rsidP="004F186D">
      <w:r>
        <w:rPr>
          <w:lang w:val="en-GB"/>
        </w:rPr>
        <w:t xml:space="preserve">In this study, L2 complexity is analysed from the language structure point of view claimed by Housen et al. </w:t>
      </w:r>
      <w:r>
        <w:rPr>
          <w:rFonts w:eastAsia="Times New Roman"/>
          <w:lang w:val="en-GB" w:eastAsia="es-CO" w:bidi="ar-SA"/>
        </w:rPr>
        <w:t>(2012)</w:t>
      </w:r>
      <w:r>
        <w:rPr>
          <w:lang w:val="en-GB"/>
        </w:rPr>
        <w:t xml:space="preserve"> and Pallotti (2015). This implies looking at the properties of L2 constructions, forms,  form-meaning mappings and their interrelationships.  </w:t>
      </w:r>
    </w:p>
    <w:p w14:paraId="2B3DA116" w14:textId="77777777" w:rsidR="004F186D" w:rsidRDefault="004F186D" w:rsidP="004F186D">
      <w:r>
        <w:rPr>
          <w:lang w:val="en-GB"/>
        </w:rPr>
        <w:t>Several accounts have discussed the multiple operationalisations of this construct and underscored its problematic nature (i.e. Wolfe-Quintero et al. 1998, Norris &amp; Ortega 2009, Pallotti 2015, Housen et al. 2012, Skehan 2009)</w:t>
      </w:r>
      <w:r>
        <w:rPr>
          <w:color w:val="FF0000"/>
          <w:lang w:val="en-GB"/>
        </w:rPr>
        <w:t xml:space="preserve">. </w:t>
      </w:r>
      <w:r>
        <w:rPr>
          <w:lang w:val="en-GB"/>
        </w:rPr>
        <w:t>In this respect, a wealth of measurements have been applied, revealing relatively operationalization vagueness and ‘low content validity’ (Bulté &amp; Housen 2014: 47). Its multicompositional nature implies that complexity operates based on major assumptions that include: ‘the more content means more complex’, or ‘the longer’, ‘the most embedded’ or the ‘more varied’, all imply more complexity. As Bulté &amp; Housen (2014)</w:t>
      </w:r>
      <w:r>
        <w:rPr>
          <w:color w:val="FF0000"/>
          <w:lang w:val="en-GB"/>
        </w:rPr>
        <w:t xml:space="preserve"> </w:t>
      </w:r>
      <w:r>
        <w:rPr>
          <w:lang w:val="en-GB"/>
        </w:rPr>
        <w:t xml:space="preserve">emphasize when examining short-term changes in written complexity, L2 research needs to be cautious about the validity of such measures and their implications, as their predictions may vary depending on the context, the learner and the task. </w:t>
      </w:r>
    </w:p>
    <w:p w14:paraId="4EE6D8B7" w14:textId="765995A4" w:rsidR="004F186D" w:rsidRPr="004F186D" w:rsidRDefault="004F186D" w:rsidP="004F186D">
      <w:r>
        <w:rPr>
          <w:lang w:val="en-GB"/>
        </w:rPr>
        <w:t xml:space="preserve">In light of these observations, this study seeks to adopt complexity as an indicator of L2 performance at different stages of language instruction. The selection of measures for syntactic and lexical </w:t>
      </w:r>
      <w:r>
        <w:rPr>
          <w:color w:val="000000"/>
          <w:lang w:val="en-GB"/>
        </w:rPr>
        <w:t xml:space="preserve">complexity takes into account the nature of  the texts produced by </w:t>
      </w:r>
      <w:r>
        <w:rPr>
          <w:color w:val="000000"/>
          <w:lang w:val="en-GB"/>
        </w:rPr>
        <w:lastRenderedPageBreak/>
        <w:t>different groups of learners, which, in our study are often rather short.</w:t>
      </w:r>
    </w:p>
    <w:p w14:paraId="306C53A2" w14:textId="532B7DA4" w:rsidR="004F186D" w:rsidRDefault="00D557AC" w:rsidP="00D557AC">
      <w:pPr>
        <w:pStyle w:val="lsSection4"/>
      </w:pPr>
      <w:r>
        <w:t>Syntactic complexity</w:t>
      </w:r>
    </w:p>
    <w:p w14:paraId="2CE6EAE3" w14:textId="5E8B40F6" w:rsidR="004F186D" w:rsidRDefault="00D557AC" w:rsidP="00D557AC">
      <w:r>
        <w:rPr>
          <w:lang w:val="en-GB"/>
        </w:rPr>
        <w:t>Syntactic complexity is generally measured through the length, proportion, combination and interrelation of  different elements within a text (Bulté &amp; Housen 2014). Several elements or units have been taken into consideration such as the sentence, the clause and the T-Unit, among others.  Following Pallotti (2015), t</w:t>
      </w:r>
      <w:r>
        <w:t>his study examines L2 syntactic complexity by analysing structural properties at the sentential and the clausal level</w:t>
      </w:r>
      <w:r>
        <w:rPr>
          <w:lang w:val="en-GB"/>
        </w:rPr>
        <w:t xml:space="preserve"> as well as text organisation properties through the use of coordination and subordination. Therefore, following Torras, Navés, Celaya </w:t>
      </w:r>
      <w:r>
        <w:rPr>
          <w:rFonts w:eastAsia="Times New Roman"/>
          <w:bCs/>
          <w:lang w:eastAsia="es-ES" w:bidi="ar-SA"/>
        </w:rPr>
        <w:t>&amp;</w:t>
      </w:r>
      <w:r>
        <w:rPr>
          <w:lang w:val="en-GB"/>
        </w:rPr>
        <w:t xml:space="preserve"> Pérez-Vidal (2006) the measurements adopted for the study were independent and dependent clauses per sentence (IndepCS and DepCS), and, following Bulté &amp; Housen (2014), the Coordinated Clause Ratio (CoordCR) calculated by </w:t>
      </w:r>
      <w:r>
        <w:rPr>
          <w:color w:val="000000"/>
        </w:rPr>
        <w:t xml:space="preserve">dividing the number of </w:t>
      </w:r>
      <w:r>
        <w:t xml:space="preserve">coordinated clauses by the number of sentences. As argued by Bulté &amp; Housen (2012; 2014) this type of calculation </w:t>
      </w:r>
      <w:r>
        <w:rPr>
          <w:lang w:val="en-GB"/>
        </w:rPr>
        <w:t xml:space="preserve">(CoordCR) </w:t>
      </w:r>
      <w:r>
        <w:rPr>
          <w:rFonts w:eastAsia="DejaVu Sans"/>
          <w:lang w:eastAsia="en-US" w:bidi="en-US"/>
        </w:rPr>
        <w:t xml:space="preserve">highlights the use of coordination within a text and differs from the Coordination Index developed by Bardovi-Harlig (1992) in that the CI appears to be </w:t>
      </w:r>
      <w:r>
        <w:rPr>
          <w:color w:val="000000"/>
        </w:rPr>
        <w:t>a measure of clause combination that entails subordination as well: “the score on this index depends on the amount of subordination produced” (</w:t>
      </w:r>
      <w:r>
        <w:t>Bulté &amp; Housen et al. 2012 p. 38)</w:t>
      </w:r>
      <w:r>
        <w:rPr>
          <w:color w:val="000000"/>
        </w:rPr>
        <w:t>.</w:t>
      </w:r>
    </w:p>
    <w:p w14:paraId="4237011A" w14:textId="7D17A727" w:rsidR="004F186D" w:rsidRDefault="00D557AC" w:rsidP="00D557AC">
      <w:pPr>
        <w:pStyle w:val="lsSection4"/>
      </w:pPr>
      <w:r>
        <w:t>Lexical complexity</w:t>
      </w:r>
    </w:p>
    <w:p w14:paraId="1FBF8573" w14:textId="6209E224" w:rsidR="00D557AC" w:rsidRPr="00D557AC" w:rsidRDefault="00D557AC" w:rsidP="00D557AC">
      <w:pPr>
        <w:rPr>
          <w:lang w:eastAsia="zh-CN"/>
        </w:rPr>
      </w:pPr>
      <w:r>
        <w:rPr>
          <w:lang w:val="en-GB"/>
        </w:rPr>
        <w:t>Lexical complexity has been frequently analysed by looking at lexical diversity, density and sophistication (Housen et al. 2012, Bulté &amp; Housen 2014). Diversity,</w:t>
      </w:r>
      <w:r>
        <w:rPr>
          <w:i/>
          <w:iCs/>
          <w:lang w:val="en-GB"/>
        </w:rPr>
        <w:t xml:space="preserve"> </w:t>
      </w:r>
      <w:r>
        <w:t xml:space="preserve">also known as lexical range (Crystal 1982) or lexical variation (Read 2000), </w:t>
      </w:r>
      <w:r>
        <w:rPr>
          <w:lang w:val="en-GB"/>
        </w:rPr>
        <w:t xml:space="preserve">is measured through calculations which account for the variety of vocabulary items within a language sample (Malvern, Richards, Chipere </w:t>
      </w:r>
      <w:r>
        <w:rPr>
          <w:rFonts w:eastAsia="Times New Roman"/>
          <w:bCs/>
          <w:lang w:eastAsia="es-ES" w:bidi="ar-SA"/>
        </w:rPr>
        <w:t xml:space="preserve">&amp; Duran </w:t>
      </w:r>
      <w:r>
        <w:rPr>
          <w:lang w:val="en-GB"/>
        </w:rPr>
        <w:t xml:space="preserve">2004). Measurements of density and sophistication are mostly used either with larger text samples or to discriminate amongst text genres (Read 2000). Nonetheless, it has also been argued that these measures do not really operationalize structural complexity. As Pallotti (2015: 126) highlights, “indices of lexical sophistication, like the percentage of rare or difficult words, may be valid indicators of development, but they do not directly tap structural complexity; from a structural point of view, a rare word like </w:t>
      </w:r>
      <w:r>
        <w:rPr>
          <w:i/>
          <w:lang w:val="en-GB"/>
        </w:rPr>
        <w:t>tar</w:t>
      </w:r>
      <w:r>
        <w:rPr>
          <w:lang w:val="en-GB"/>
        </w:rPr>
        <w:t xml:space="preserve"> is not in itself more complex than a common one like </w:t>
      </w:r>
      <w:r>
        <w:rPr>
          <w:i/>
          <w:lang w:val="en-GB"/>
        </w:rPr>
        <w:t>car</w:t>
      </w:r>
      <w:r>
        <w:rPr>
          <w:lang w:val="en-GB"/>
        </w:rPr>
        <w:t xml:space="preserve">.” Today, there is a general consensus in that diversity, sophistication and density (and an additional dimension of lexical accuracy) allow us to profile vocabulary development. In addition, diversity has been frequently examined with shorter texts </w:t>
      </w:r>
      <w:r>
        <w:rPr>
          <w:lang w:val="en-GB"/>
        </w:rPr>
        <w:lastRenderedPageBreak/>
        <w:t>such as those in our data (Meara and Miralpeix 2017).This is then the measure we have adopted to assess lexical complexity in this study.</w:t>
      </w:r>
    </w:p>
    <w:p w14:paraId="677DB98F" w14:textId="116F40C8" w:rsidR="004F186D" w:rsidRDefault="00D557AC" w:rsidP="00D557AC">
      <w:r>
        <w:rPr>
          <w:rFonts w:cs="Times New Roman"/>
          <w:szCs w:val="20"/>
          <w:lang w:val="en-GB"/>
        </w:rPr>
        <w:t xml:space="preserve">Thus, this study uses two measures of diversity to gauge learners’ lexical repertoire. First, </w:t>
      </w:r>
      <w:r>
        <w:rPr>
          <w:rFonts w:cs="Times New Roman"/>
          <w:i/>
          <w:szCs w:val="20"/>
          <w:lang w:val="en-GB"/>
        </w:rPr>
        <w:t>Guiraud’s Index,</w:t>
      </w:r>
      <w:r>
        <w:rPr>
          <w:rFonts w:cs="Times New Roman"/>
          <w:szCs w:val="20"/>
          <w:lang w:val="en-GB"/>
        </w:rPr>
        <w:t xml:space="preserve"> which results from dividing the number of types by the square root of the tokens in order to limit text size effects. The second one is D, computed with the </w:t>
      </w:r>
      <w:r>
        <w:rPr>
          <w:rFonts w:cs="Times New Roman"/>
          <w:i/>
          <w:szCs w:val="20"/>
          <w:lang w:val="en-GB"/>
        </w:rPr>
        <w:t>vocd</w:t>
      </w:r>
      <w:r>
        <w:rPr>
          <w:rFonts w:cs="Times New Roman"/>
          <w:szCs w:val="20"/>
          <w:lang w:val="en-GB"/>
        </w:rPr>
        <w:t xml:space="preserve"> tool in CLAN (MacWhinney 2000), which estimates </w:t>
      </w:r>
      <w:r>
        <w:rPr>
          <w:rFonts w:cs="Times New Roman"/>
          <w:szCs w:val="20"/>
        </w:rPr>
        <w:t xml:space="preserve">lexical distribution in longer text samples </w:t>
      </w:r>
      <w:r>
        <w:rPr>
          <w:rFonts w:cs="Times New Roman"/>
          <w:szCs w:val="20"/>
          <w:lang w:val="en-GB"/>
        </w:rPr>
        <w:t>(Malvern &amp; Richards 2000</w:t>
      </w:r>
      <w:r>
        <w:rPr>
          <w:rFonts w:cs="Times New Roman"/>
          <w:color w:val="000000"/>
          <w:szCs w:val="20"/>
          <w:lang w:val="en-GB"/>
        </w:rPr>
        <w:t>).</w:t>
      </w:r>
      <w:r>
        <w:rPr>
          <w:rFonts w:cs="Times New Roman"/>
          <w:szCs w:val="20"/>
          <w:lang w:val="en-GB"/>
        </w:rPr>
        <w:t xml:space="preserve">  Both measures have been used used to gauge language diversity in general; however, consensus has not been reached over which index proves to be a better predictor of lexical diversity in a person’s interlanguage (</w:t>
      </w:r>
      <w:r>
        <w:rPr>
          <w:rFonts w:eastAsia="TimesNewRomanPSMT" w:cs="Times New Roman"/>
          <w:szCs w:val="20"/>
          <w:lang w:val="en-GB" w:eastAsia="es-CO" w:bidi="ar-SA"/>
        </w:rPr>
        <w:t xml:space="preserve">McCarthy &amp; Jarvis 2010, in </w:t>
      </w:r>
      <w:r>
        <w:rPr>
          <w:rFonts w:cs="Times New Roman"/>
          <w:szCs w:val="20"/>
          <w:lang w:val="en-GB"/>
        </w:rPr>
        <w:t>Pallotti 2015). Therefore, this study will report both measures, to provide a more comprehensive picture.</w:t>
      </w:r>
    </w:p>
    <w:p w14:paraId="2A796045" w14:textId="6F90D8F7" w:rsidR="004F186D" w:rsidRDefault="00D557AC" w:rsidP="00D557AC">
      <w:pPr>
        <w:pStyle w:val="lsSection3"/>
      </w:pPr>
      <w:r>
        <w:t>Accuracy</w:t>
      </w:r>
    </w:p>
    <w:p w14:paraId="3FEDB26D" w14:textId="4AE9CA0D" w:rsidR="00D557AC" w:rsidRPr="00D557AC" w:rsidRDefault="00D557AC" w:rsidP="00D557AC">
      <w:r>
        <w:rPr>
          <w:rFonts w:cs="Times New Roman"/>
          <w:szCs w:val="20"/>
          <w:lang w:val="en-GB"/>
        </w:rPr>
        <w:t>The accuracy domain refers to the appropriateness of grammatical, lexical, semantic and pragmatic choices with respect to L2 target parameters. It is one of the most observed traits in the language production of L2 learners and it has been frequently treated as a key aspect of interlanguage development (Housen et al. 2012). Accuracy is operationalised by counting the grammatical and lexical errors in a linguistic production. However, Polio (1997; 2001) remarks that the most commonly used measure for this domain is the quantity of units with no errors (Error-Free units), which poses problems for the analysis of short compositions or those by beginner learners. In this study, overall measures of specific errors such as total amount of errors per 100 words and Grammar errors per 100 words (ToralErr/100 and GrErr/100) were calculated,  as they capture the totality of errors produced as well as their structural category. Grammatical errors were predominant in most of the scripts, and they mainly corresponded to agreement phenomena and verb conjugations.</w:t>
      </w:r>
    </w:p>
    <w:p w14:paraId="73AFC216" w14:textId="063AF598" w:rsidR="004F186D" w:rsidRDefault="00D557AC" w:rsidP="00D557AC">
      <w:pPr>
        <w:pStyle w:val="lsSection3"/>
      </w:pPr>
      <w:r>
        <w:t>Fluency</w:t>
      </w:r>
    </w:p>
    <w:p w14:paraId="4189744B" w14:textId="697D399B" w:rsidR="004F186D" w:rsidRPr="004F186D" w:rsidRDefault="00D557AC" w:rsidP="00D557AC">
      <w:r>
        <w:rPr>
          <w:lang w:val="en-GB"/>
        </w:rPr>
        <w:t xml:space="preserve">This term is commonly associated with the speed of articulation, rhythm, and pausing in the production of oral language. In the case of written compositions, it refers to the  length of units, that is, the quantity of words and structures produced within a given time (Bulté &amp; Housen 2014). To account for written fluency, this study adopts the view whereby the proportion of words produced is observed in relation to a given amount of time (task time, which in our case was 20 minutes). Previous research employed measures such as the number of units produced per minute, or the number of units produced </w:t>
      </w:r>
      <w:r>
        <w:rPr>
          <w:lang w:val="en-GB"/>
        </w:rPr>
        <w:lastRenderedPageBreak/>
        <w:t xml:space="preserve">within a ‘macro’ structure such as the sentence; in the present study,  measurements in this domain include words per minute and words per sentence (WM and WS). </w:t>
      </w:r>
      <w:r>
        <w:t xml:space="preserve">These measures provide an account of fluency in terms of quantity and rate of production. These were chosen over analogous proposals such as </w:t>
      </w:r>
      <w:r>
        <w:rPr>
          <w:i/>
          <w:iCs/>
          <w:color w:val="000000"/>
        </w:rPr>
        <w:t xml:space="preserve">words per burst, </w:t>
      </w:r>
      <w:r>
        <w:rPr>
          <w:color w:val="000000"/>
        </w:rPr>
        <w:t>defined as the number of written words produced between two pauses or other interruptions (Gunnarson 2012), as the scripts analysed for this study were not collected using key-logging technologies.</w:t>
      </w:r>
    </w:p>
    <w:p w14:paraId="7E668156" w14:textId="1EF3A99A" w:rsidR="004F186D" w:rsidRDefault="00D557AC" w:rsidP="00D557AC">
      <w:pPr>
        <w:pStyle w:val="lsSection2"/>
      </w:pPr>
      <w:r>
        <w:t>Holistic ratings</w:t>
      </w:r>
    </w:p>
    <w:p w14:paraId="2A582D88" w14:textId="77777777" w:rsidR="00D557AC" w:rsidRDefault="00D557AC" w:rsidP="00D557AC">
      <w:pPr>
        <w:rPr>
          <w:lang w:eastAsia="zh-CN"/>
        </w:rPr>
      </w:pPr>
      <w:r>
        <w:rPr>
          <w:lang w:val="en-GB"/>
        </w:rPr>
        <w:t xml:space="preserve">Holistic  approaches to the evaluation of L2 writing have frequently been used in SLA research. These can be operationalised through scoring carried out by trained raters following assessment rubrics. These instruments usually consist of descriptors of the language used by the learner as well as the degree of completion of a given task. For example, standardized tests’ examination grids, (e.g. TOEFL) include various indicators that reflect a learner's L2 competence according to specific criteria, purpose and genre. In L2 research, these ratings often serve as complements to objective measurements of text quality (Weigle 2002).  </w:t>
      </w:r>
    </w:p>
    <w:p w14:paraId="23F355C8" w14:textId="13D780B1" w:rsidR="00D557AC" w:rsidRDefault="00D557AC" w:rsidP="00D557AC">
      <w:r>
        <w:rPr>
          <w:lang w:val="en-GB"/>
        </w:rPr>
        <w:t>Our study uses a scoring rubric for the qualitative assessment of learners’ written composition (Friedl &amp; Auer 2007). This scale examines the characteristics of beginner to high intermediate levels of expository and narrative composition, also including task completion criteria. It was originally designed for the evaluation of English-L2 written performance within CLIL school settings in Austria (Friedl &amp; Auer 2007, Dalton-Puffer, Nikula &amp; Smit 2010) and later on in Catalunya (Juan-Garau &amp; Salazar-Noguera 2015, Roquet &amp; Pérez-Vidal 2015). Four aspects are evaluated on a global scale of 0 to 20, which is in turn divided into four subscales ranging from 0 to 5: 1. Task fulfilment, 2. Text Organisation, 3. Grammar and 4. Vocabulary.  In the current study this instrument has been adopted to profile learners’ descriptive writing within content-based instruction contexts, which are highly comparable to the contexts for which it was originally developed (Pérez-Vidal 2015).</w:t>
      </w:r>
    </w:p>
    <w:p w14:paraId="1EF6A8D4" w14:textId="0B7DD07E" w:rsidR="00D557AC" w:rsidRDefault="00D557AC" w:rsidP="00D557AC">
      <w:pPr>
        <w:pStyle w:val="lsSection1"/>
      </w:pPr>
      <w:r>
        <w:t>Research question</w:t>
      </w:r>
    </w:p>
    <w:p w14:paraId="21EEE174" w14:textId="77777777" w:rsidR="00D557AC" w:rsidRDefault="00D557AC" w:rsidP="00D557AC">
      <w:pPr>
        <w:rPr>
          <w:rFonts w:eastAsia="Times New Roman" w:cs="Times New Roman"/>
          <w:lang w:eastAsia="zh-CN" w:bidi="ar-SA"/>
        </w:rPr>
      </w:pPr>
      <w:r>
        <w:rPr>
          <w:szCs w:val="20"/>
          <w:lang w:val="en-GB"/>
        </w:rPr>
        <w:t xml:space="preserve">This study explores the relationship between L2 exposure time and writing performance in immersion learners, as measured through the CAF constructs and holistic ratings. </w:t>
      </w:r>
      <w:r>
        <w:rPr>
          <w:szCs w:val="20"/>
          <w:lang w:val="en-GB" w:eastAsia="es-CO"/>
        </w:rPr>
        <w:t xml:space="preserve">Hence, the guiding research </w:t>
      </w:r>
      <w:r>
        <w:rPr>
          <w:szCs w:val="20"/>
          <w:lang w:val="en-GB" w:eastAsia="es-CO"/>
        </w:rPr>
        <w:lastRenderedPageBreak/>
        <w:t xml:space="preserve">question is:  </w:t>
      </w:r>
    </w:p>
    <w:p w14:paraId="644BD623" w14:textId="6C894CB5" w:rsidR="00D557AC" w:rsidRDefault="00D557AC" w:rsidP="00D557AC">
      <w:pPr>
        <w:pStyle w:val="lsEnumerated"/>
      </w:pPr>
      <w:r>
        <w:t xml:space="preserve">Does accumulated time of EFL exposure in two contrasting immersion programmes (HI and HI+) have a differential impact in the long run on the learners’ writing performance, when assessed with a) CAF measures and b) holistic ratings? </w:t>
      </w:r>
    </w:p>
    <w:p w14:paraId="0B46BAA9" w14:textId="4C62E2FE" w:rsidR="00D557AC" w:rsidRDefault="00D557AC" w:rsidP="00D557AC">
      <w:r>
        <w:rPr>
          <w:rFonts w:cs="Times New Roman"/>
          <w:szCs w:val="20"/>
          <w:lang w:val="en-GB"/>
        </w:rPr>
        <w:t>On the basis of this question and our review of the literature we hypothesize that, at any given time that learners are measured in the respective programmes, the higher the number of accumulated hours of EFL exposure students receive, the higher their level of proficiency will be.</w:t>
      </w:r>
    </w:p>
    <w:p w14:paraId="75CD8865" w14:textId="33CC059C" w:rsidR="00D557AC" w:rsidRDefault="00D557AC" w:rsidP="00D557AC">
      <w:pPr>
        <w:pStyle w:val="lsSection1"/>
      </w:pPr>
      <w:r>
        <w:t>Method</w:t>
      </w:r>
    </w:p>
    <w:p w14:paraId="34FFEF30" w14:textId="7C5284EC" w:rsidR="00D557AC" w:rsidRPr="00D557AC" w:rsidRDefault="00D557AC" w:rsidP="00D557AC">
      <w:pPr>
        <w:pStyle w:val="lsSection2"/>
      </w:pPr>
      <w:r>
        <w:t>Context and participants</w:t>
      </w:r>
    </w:p>
    <w:p w14:paraId="0031ADF0" w14:textId="77777777" w:rsidR="00D557AC" w:rsidRDefault="00D557AC" w:rsidP="00D557AC">
      <w:pPr>
        <w:rPr>
          <w:lang w:val="en-GB" w:eastAsia="zh-CN"/>
        </w:rPr>
      </w:pPr>
      <w:r>
        <w:rPr>
          <w:lang w:val="en-GB"/>
        </w:rPr>
        <w:t xml:space="preserve">Foreign language education is a central theme in Colombia’s political agenda (Bonilla &amp; Tejada 2016). English plays a major role in a long-term education project entitled </w:t>
      </w:r>
      <w:r>
        <w:rPr>
          <w:i/>
          <w:lang w:val="en-GB"/>
        </w:rPr>
        <w:t>Colombia Bilingüe</w:t>
      </w:r>
      <w:r>
        <w:rPr>
          <w:lang w:val="en-GB"/>
        </w:rPr>
        <w:t xml:space="preserve">, which aims to rank Colombia as the highest provider of quality in education in Latin America.   </w:t>
      </w:r>
    </w:p>
    <w:p w14:paraId="0CEA78CD" w14:textId="77777777" w:rsidR="00D557AC" w:rsidRDefault="00D557AC" w:rsidP="00D557AC">
      <w:r>
        <w:rPr>
          <w:lang w:val="en-GB"/>
        </w:rPr>
        <w:t xml:space="preserve">Our study focussed on two immersion programmes with different total times of EFL exposure. We have named them High Intensity (N=52) and High Intensity </w:t>
      </w:r>
      <w:r>
        <w:rPr>
          <w:i/>
          <w:lang w:val="en-GB"/>
        </w:rPr>
        <w:t>plus</w:t>
      </w:r>
      <w:r>
        <w:rPr>
          <w:lang w:val="en-GB"/>
        </w:rPr>
        <w:t xml:space="preserve"> (N=136) (HI and HI+) for the purpose of the study</w:t>
      </w:r>
      <w:r>
        <w:rPr>
          <w:rStyle w:val="FootnoteReference"/>
          <w:rFonts w:cs="Times New Roman"/>
          <w:szCs w:val="20"/>
          <w:lang w:val="en-GB"/>
        </w:rPr>
        <w:footnoteReference w:id="1"/>
      </w:r>
      <w:r>
        <w:rPr>
          <w:lang w:val="en-GB"/>
        </w:rPr>
        <w:t>. The difference in the number of participants in both programmes is due to a larger pool of students in the schools following the HI+ programme. Table 1 displays the number of participants per programme</w:t>
      </w:r>
      <w:r>
        <w:rPr>
          <w:color w:val="000000"/>
          <w:lang w:val="en-GB"/>
        </w:rPr>
        <w:t>, age-group, and grade involved. Both programmes represent</w:t>
      </w:r>
      <w:r>
        <w:rPr>
          <w:lang w:val="en-GB"/>
        </w:rPr>
        <w:t xml:space="preserve"> </w:t>
      </w:r>
      <w:r>
        <w:rPr>
          <w:color w:val="000000"/>
          <w:lang w:val="en-GB"/>
        </w:rPr>
        <w:t>actual</w:t>
      </w:r>
      <w:r>
        <w:rPr>
          <w:lang w:val="en-GB"/>
        </w:rPr>
        <w:t xml:space="preserve"> implementations of immersion models in the private sector of Colombia’s educational system, with rather high amounts of L2 exposure compared to the average Colombian traditional EFL programmes. In the public sector, time of L2 instruction ranges in average from 2 to 4 hours per week, whereas in the private sector these amounts of L2-exposure are much higher, ranging from 7 to 20 hours per week, with L2 content-based </w:t>
      </w:r>
      <w:r>
        <w:rPr>
          <w:lang w:val="en-GB"/>
        </w:rPr>
        <w:lastRenderedPageBreak/>
        <w:t xml:space="preserve">instruction being predominant. </w:t>
      </w:r>
    </w:p>
    <w:tbl>
      <w:tblPr>
        <w:tblW w:w="0" w:type="auto"/>
        <w:jc w:val="center"/>
        <w:tblLayout w:type="fixed"/>
        <w:tblCellMar>
          <w:left w:w="128" w:type="dxa"/>
        </w:tblCellMar>
        <w:tblLook w:val="04A0" w:firstRow="1" w:lastRow="0" w:firstColumn="1" w:lastColumn="0" w:noHBand="0" w:noVBand="1"/>
      </w:tblPr>
      <w:tblGrid>
        <w:gridCol w:w="1843"/>
        <w:gridCol w:w="992"/>
        <w:gridCol w:w="709"/>
        <w:gridCol w:w="1134"/>
      </w:tblGrid>
      <w:tr w:rsidR="00D557AC" w14:paraId="69DDB092" w14:textId="77777777" w:rsidTr="00D557AC">
        <w:trPr>
          <w:jc w:val="center"/>
        </w:trPr>
        <w:tc>
          <w:tcPr>
            <w:tcW w:w="1843" w:type="dxa"/>
            <w:tcBorders>
              <w:top w:val="nil"/>
              <w:left w:val="nil"/>
              <w:bottom w:val="single" w:sz="4" w:space="0" w:color="000000"/>
              <w:right w:val="nil"/>
            </w:tcBorders>
            <w:hideMark/>
          </w:tcPr>
          <w:p w14:paraId="1C1C296F" w14:textId="7490C717" w:rsidR="00D557AC" w:rsidRDefault="00D557AC" w:rsidP="00D557AC">
            <w:pPr>
              <w:pStyle w:val="lsTableHeading"/>
              <w:jc w:val="center"/>
              <w:rPr>
                <w:lang w:eastAsia="zh-CN"/>
              </w:rPr>
            </w:pPr>
            <w:r>
              <w:t>Age-group</w:t>
            </w:r>
          </w:p>
        </w:tc>
        <w:tc>
          <w:tcPr>
            <w:tcW w:w="992" w:type="dxa"/>
            <w:tcBorders>
              <w:top w:val="nil"/>
              <w:left w:val="nil"/>
              <w:bottom w:val="single" w:sz="4" w:space="0" w:color="000000"/>
              <w:right w:val="nil"/>
            </w:tcBorders>
            <w:hideMark/>
          </w:tcPr>
          <w:p w14:paraId="7F6E430A" w14:textId="7132A0DC" w:rsidR="00D557AC" w:rsidRDefault="00D557AC" w:rsidP="00D557AC">
            <w:pPr>
              <w:pStyle w:val="lsTableHeading"/>
              <w:jc w:val="center"/>
            </w:pPr>
            <w:r>
              <w:t>Grade</w:t>
            </w:r>
          </w:p>
        </w:tc>
        <w:tc>
          <w:tcPr>
            <w:tcW w:w="709" w:type="dxa"/>
            <w:tcBorders>
              <w:top w:val="nil"/>
              <w:left w:val="nil"/>
              <w:bottom w:val="single" w:sz="4" w:space="0" w:color="000000"/>
              <w:right w:val="nil"/>
            </w:tcBorders>
            <w:hideMark/>
          </w:tcPr>
          <w:p w14:paraId="440ECDEB" w14:textId="3E51FA27" w:rsidR="00D557AC" w:rsidRDefault="00D557AC" w:rsidP="00D557AC">
            <w:pPr>
              <w:pStyle w:val="lsTableHeading"/>
              <w:jc w:val="center"/>
            </w:pPr>
            <w:r>
              <w:t>N</w:t>
            </w:r>
          </w:p>
          <w:p w14:paraId="06FE90CF" w14:textId="77777777" w:rsidR="00D557AC" w:rsidRDefault="00D557AC" w:rsidP="00D557AC">
            <w:pPr>
              <w:pStyle w:val="lsTableHeading"/>
              <w:jc w:val="center"/>
            </w:pPr>
            <w:r>
              <w:t>HI+</w:t>
            </w:r>
          </w:p>
        </w:tc>
        <w:tc>
          <w:tcPr>
            <w:tcW w:w="1134" w:type="dxa"/>
            <w:tcBorders>
              <w:top w:val="nil"/>
              <w:left w:val="nil"/>
              <w:bottom w:val="single" w:sz="4" w:space="0" w:color="000000"/>
              <w:right w:val="nil"/>
            </w:tcBorders>
            <w:hideMark/>
          </w:tcPr>
          <w:p w14:paraId="6F05FFE8" w14:textId="77777777" w:rsidR="00D557AC" w:rsidRDefault="00D557AC" w:rsidP="00D557AC">
            <w:pPr>
              <w:pStyle w:val="lsTableHeading"/>
              <w:jc w:val="center"/>
            </w:pPr>
            <w:r>
              <w:t>N</w:t>
            </w:r>
          </w:p>
          <w:p w14:paraId="543755A6" w14:textId="77777777" w:rsidR="00D557AC" w:rsidRDefault="00D557AC" w:rsidP="00D557AC">
            <w:pPr>
              <w:pStyle w:val="lsTableHeading"/>
              <w:jc w:val="center"/>
            </w:pPr>
            <w:r>
              <w:t>HI</w:t>
            </w:r>
          </w:p>
        </w:tc>
      </w:tr>
      <w:tr w:rsidR="00D557AC" w14:paraId="4A3128B1" w14:textId="77777777" w:rsidTr="00D557AC">
        <w:trPr>
          <w:jc w:val="center"/>
        </w:trPr>
        <w:tc>
          <w:tcPr>
            <w:tcW w:w="1843" w:type="dxa"/>
            <w:hideMark/>
          </w:tcPr>
          <w:p w14:paraId="2B393B3D" w14:textId="77777777" w:rsidR="00D557AC" w:rsidRPr="00D557AC" w:rsidRDefault="00D557AC" w:rsidP="00F42BE4">
            <w:pPr>
              <w:pStyle w:val="lsTableHeading"/>
              <w:jc w:val="center"/>
            </w:pPr>
            <w:r w:rsidRPr="00D557AC">
              <w:t>12</w:t>
            </w:r>
          </w:p>
        </w:tc>
        <w:tc>
          <w:tcPr>
            <w:tcW w:w="992" w:type="dxa"/>
            <w:hideMark/>
          </w:tcPr>
          <w:p w14:paraId="4DA259D1" w14:textId="77777777" w:rsidR="00D557AC" w:rsidRDefault="00D557AC" w:rsidP="00D557AC">
            <w:pPr>
              <w:pStyle w:val="lsTable"/>
              <w:jc w:val="center"/>
            </w:pPr>
            <w:r>
              <w:rPr>
                <w:lang w:val="en-GB"/>
              </w:rPr>
              <w:t>6</w:t>
            </w:r>
            <w:r>
              <w:rPr>
                <w:vertAlign w:val="superscript"/>
                <w:lang w:val="en-GB"/>
              </w:rPr>
              <w:t>th</w:t>
            </w:r>
          </w:p>
        </w:tc>
        <w:tc>
          <w:tcPr>
            <w:tcW w:w="709" w:type="dxa"/>
            <w:vAlign w:val="center"/>
            <w:hideMark/>
          </w:tcPr>
          <w:p w14:paraId="685C8BC7" w14:textId="77777777" w:rsidR="00D557AC" w:rsidRDefault="00D557AC" w:rsidP="00D557AC">
            <w:pPr>
              <w:pStyle w:val="lsTable"/>
              <w:jc w:val="center"/>
            </w:pPr>
            <w:r>
              <w:rPr>
                <w:color w:val="000000"/>
              </w:rPr>
              <w:t>12</w:t>
            </w:r>
          </w:p>
        </w:tc>
        <w:tc>
          <w:tcPr>
            <w:tcW w:w="1134" w:type="dxa"/>
            <w:vAlign w:val="center"/>
            <w:hideMark/>
          </w:tcPr>
          <w:p w14:paraId="416B3DDD" w14:textId="77777777" w:rsidR="00D557AC" w:rsidRDefault="00D557AC" w:rsidP="00D557AC">
            <w:pPr>
              <w:pStyle w:val="lsTable"/>
              <w:jc w:val="center"/>
            </w:pPr>
            <w:r>
              <w:rPr>
                <w:color w:val="000000"/>
              </w:rPr>
              <w:t>14</w:t>
            </w:r>
          </w:p>
        </w:tc>
      </w:tr>
      <w:tr w:rsidR="00D557AC" w14:paraId="5543852E" w14:textId="77777777" w:rsidTr="00D557AC">
        <w:trPr>
          <w:jc w:val="center"/>
        </w:trPr>
        <w:tc>
          <w:tcPr>
            <w:tcW w:w="1843" w:type="dxa"/>
            <w:hideMark/>
          </w:tcPr>
          <w:p w14:paraId="5AF2ED3C" w14:textId="77777777" w:rsidR="00D557AC" w:rsidRPr="00D557AC" w:rsidRDefault="00D557AC" w:rsidP="00F42BE4">
            <w:pPr>
              <w:pStyle w:val="lsTableHeading"/>
              <w:jc w:val="center"/>
            </w:pPr>
            <w:r w:rsidRPr="00D557AC">
              <w:t>14</w:t>
            </w:r>
          </w:p>
        </w:tc>
        <w:tc>
          <w:tcPr>
            <w:tcW w:w="992" w:type="dxa"/>
            <w:hideMark/>
          </w:tcPr>
          <w:p w14:paraId="3483F5F5" w14:textId="77777777" w:rsidR="00D557AC" w:rsidRDefault="00D557AC" w:rsidP="00D557AC">
            <w:pPr>
              <w:pStyle w:val="lsTable"/>
              <w:jc w:val="center"/>
            </w:pPr>
            <w:r>
              <w:rPr>
                <w:lang w:val="en-GB"/>
              </w:rPr>
              <w:t>7</w:t>
            </w:r>
            <w:r>
              <w:rPr>
                <w:vertAlign w:val="superscript"/>
                <w:lang w:val="en-GB"/>
              </w:rPr>
              <w:t>th</w:t>
            </w:r>
          </w:p>
        </w:tc>
        <w:tc>
          <w:tcPr>
            <w:tcW w:w="709" w:type="dxa"/>
            <w:vAlign w:val="center"/>
            <w:hideMark/>
          </w:tcPr>
          <w:p w14:paraId="457F85B4" w14:textId="77777777" w:rsidR="00D557AC" w:rsidRDefault="00D557AC" w:rsidP="00D557AC">
            <w:pPr>
              <w:pStyle w:val="lsTable"/>
              <w:jc w:val="center"/>
            </w:pPr>
            <w:r>
              <w:rPr>
                <w:color w:val="000000"/>
              </w:rPr>
              <w:t>34</w:t>
            </w:r>
          </w:p>
        </w:tc>
        <w:tc>
          <w:tcPr>
            <w:tcW w:w="1134" w:type="dxa"/>
            <w:vAlign w:val="center"/>
            <w:hideMark/>
          </w:tcPr>
          <w:p w14:paraId="48393217" w14:textId="77777777" w:rsidR="00D557AC" w:rsidRDefault="00D557AC" w:rsidP="00D557AC">
            <w:pPr>
              <w:pStyle w:val="lsTable"/>
              <w:jc w:val="center"/>
            </w:pPr>
            <w:r>
              <w:rPr>
                <w:color w:val="000000"/>
              </w:rPr>
              <w:t>8</w:t>
            </w:r>
          </w:p>
        </w:tc>
      </w:tr>
      <w:tr w:rsidR="00D557AC" w14:paraId="6F7D5E94" w14:textId="77777777" w:rsidTr="00D557AC">
        <w:trPr>
          <w:jc w:val="center"/>
        </w:trPr>
        <w:tc>
          <w:tcPr>
            <w:tcW w:w="1843" w:type="dxa"/>
            <w:hideMark/>
          </w:tcPr>
          <w:p w14:paraId="1A5913F9" w14:textId="77777777" w:rsidR="00D557AC" w:rsidRPr="00D557AC" w:rsidRDefault="00D557AC" w:rsidP="00F42BE4">
            <w:pPr>
              <w:pStyle w:val="lsTableHeading"/>
              <w:jc w:val="center"/>
            </w:pPr>
            <w:r w:rsidRPr="00D557AC">
              <w:t>15</w:t>
            </w:r>
          </w:p>
        </w:tc>
        <w:tc>
          <w:tcPr>
            <w:tcW w:w="992" w:type="dxa"/>
            <w:hideMark/>
          </w:tcPr>
          <w:p w14:paraId="665FFE43" w14:textId="77777777" w:rsidR="00D557AC" w:rsidRDefault="00D557AC" w:rsidP="00D557AC">
            <w:pPr>
              <w:pStyle w:val="lsTable"/>
              <w:jc w:val="center"/>
            </w:pPr>
            <w:r>
              <w:rPr>
                <w:lang w:val="en-GB"/>
              </w:rPr>
              <w:t>8</w:t>
            </w:r>
            <w:r>
              <w:rPr>
                <w:vertAlign w:val="superscript"/>
                <w:lang w:val="en-GB"/>
              </w:rPr>
              <w:t>th</w:t>
            </w:r>
          </w:p>
        </w:tc>
        <w:tc>
          <w:tcPr>
            <w:tcW w:w="709" w:type="dxa"/>
            <w:vAlign w:val="center"/>
            <w:hideMark/>
          </w:tcPr>
          <w:p w14:paraId="0BAA4322" w14:textId="77777777" w:rsidR="00D557AC" w:rsidRDefault="00D557AC" w:rsidP="00D557AC">
            <w:pPr>
              <w:pStyle w:val="lsTable"/>
              <w:jc w:val="center"/>
            </w:pPr>
            <w:r>
              <w:rPr>
                <w:color w:val="000000"/>
              </w:rPr>
              <w:t>22</w:t>
            </w:r>
          </w:p>
        </w:tc>
        <w:tc>
          <w:tcPr>
            <w:tcW w:w="1134" w:type="dxa"/>
            <w:vAlign w:val="center"/>
            <w:hideMark/>
          </w:tcPr>
          <w:p w14:paraId="1DDE2D52" w14:textId="77777777" w:rsidR="00D557AC" w:rsidRDefault="00D557AC" w:rsidP="00D557AC">
            <w:pPr>
              <w:pStyle w:val="lsTable"/>
              <w:jc w:val="center"/>
            </w:pPr>
            <w:r>
              <w:rPr>
                <w:color w:val="000000"/>
              </w:rPr>
              <w:t>8</w:t>
            </w:r>
          </w:p>
        </w:tc>
      </w:tr>
      <w:tr w:rsidR="00D557AC" w14:paraId="6D9A14C6" w14:textId="77777777" w:rsidTr="00D557AC">
        <w:trPr>
          <w:jc w:val="center"/>
        </w:trPr>
        <w:tc>
          <w:tcPr>
            <w:tcW w:w="1843" w:type="dxa"/>
            <w:hideMark/>
          </w:tcPr>
          <w:p w14:paraId="37A25205" w14:textId="77777777" w:rsidR="00D557AC" w:rsidRPr="00D557AC" w:rsidRDefault="00D557AC" w:rsidP="00F42BE4">
            <w:pPr>
              <w:pStyle w:val="lsTableHeading"/>
              <w:jc w:val="center"/>
            </w:pPr>
            <w:r w:rsidRPr="00D557AC">
              <w:t>16</w:t>
            </w:r>
          </w:p>
        </w:tc>
        <w:tc>
          <w:tcPr>
            <w:tcW w:w="992" w:type="dxa"/>
            <w:hideMark/>
          </w:tcPr>
          <w:p w14:paraId="69316633" w14:textId="77777777" w:rsidR="00D557AC" w:rsidRDefault="00D557AC" w:rsidP="00D557AC">
            <w:pPr>
              <w:pStyle w:val="lsTable"/>
              <w:jc w:val="center"/>
            </w:pPr>
            <w:r>
              <w:rPr>
                <w:lang w:val="en-GB"/>
              </w:rPr>
              <w:t>9</w:t>
            </w:r>
            <w:r>
              <w:rPr>
                <w:vertAlign w:val="superscript"/>
                <w:lang w:val="en-GB"/>
              </w:rPr>
              <w:t>th</w:t>
            </w:r>
          </w:p>
        </w:tc>
        <w:tc>
          <w:tcPr>
            <w:tcW w:w="709" w:type="dxa"/>
            <w:vAlign w:val="center"/>
            <w:hideMark/>
          </w:tcPr>
          <w:p w14:paraId="272AB14F" w14:textId="77777777" w:rsidR="00D557AC" w:rsidRDefault="00D557AC" w:rsidP="00D557AC">
            <w:pPr>
              <w:pStyle w:val="lsTable"/>
              <w:jc w:val="center"/>
            </w:pPr>
            <w:r>
              <w:rPr>
                <w:color w:val="000000"/>
              </w:rPr>
              <w:t>20</w:t>
            </w:r>
          </w:p>
        </w:tc>
        <w:tc>
          <w:tcPr>
            <w:tcW w:w="1134" w:type="dxa"/>
            <w:vAlign w:val="center"/>
            <w:hideMark/>
          </w:tcPr>
          <w:p w14:paraId="2BE0E410" w14:textId="77777777" w:rsidR="00D557AC" w:rsidRDefault="00D557AC" w:rsidP="00D557AC">
            <w:pPr>
              <w:pStyle w:val="lsTable"/>
              <w:jc w:val="center"/>
            </w:pPr>
            <w:r>
              <w:rPr>
                <w:color w:val="000000"/>
              </w:rPr>
              <w:t>5</w:t>
            </w:r>
          </w:p>
        </w:tc>
      </w:tr>
      <w:tr w:rsidR="00D557AC" w14:paraId="7F3B0668" w14:textId="77777777" w:rsidTr="00D557AC">
        <w:trPr>
          <w:jc w:val="center"/>
        </w:trPr>
        <w:tc>
          <w:tcPr>
            <w:tcW w:w="1843" w:type="dxa"/>
            <w:hideMark/>
          </w:tcPr>
          <w:p w14:paraId="4B1BDD66" w14:textId="77777777" w:rsidR="00D557AC" w:rsidRPr="00D557AC" w:rsidRDefault="00D557AC" w:rsidP="00F42BE4">
            <w:pPr>
              <w:pStyle w:val="lsTableHeading"/>
              <w:jc w:val="center"/>
            </w:pPr>
            <w:r w:rsidRPr="00D557AC">
              <w:t>17</w:t>
            </w:r>
          </w:p>
        </w:tc>
        <w:tc>
          <w:tcPr>
            <w:tcW w:w="992" w:type="dxa"/>
            <w:hideMark/>
          </w:tcPr>
          <w:p w14:paraId="07097A6F" w14:textId="77777777" w:rsidR="00D557AC" w:rsidRDefault="00D557AC" w:rsidP="00D557AC">
            <w:pPr>
              <w:pStyle w:val="lsTable"/>
              <w:jc w:val="center"/>
            </w:pPr>
            <w:r>
              <w:rPr>
                <w:lang w:val="en-GB"/>
              </w:rPr>
              <w:t>10</w:t>
            </w:r>
            <w:r>
              <w:rPr>
                <w:vertAlign w:val="superscript"/>
                <w:lang w:val="en-GB"/>
              </w:rPr>
              <w:t>th</w:t>
            </w:r>
          </w:p>
        </w:tc>
        <w:tc>
          <w:tcPr>
            <w:tcW w:w="709" w:type="dxa"/>
            <w:vAlign w:val="center"/>
            <w:hideMark/>
          </w:tcPr>
          <w:p w14:paraId="11AAA8C7" w14:textId="77777777" w:rsidR="00D557AC" w:rsidRDefault="00D557AC" w:rsidP="00D557AC">
            <w:pPr>
              <w:pStyle w:val="lsTable"/>
              <w:jc w:val="center"/>
            </w:pPr>
            <w:r>
              <w:rPr>
                <w:color w:val="000000"/>
              </w:rPr>
              <w:t>48</w:t>
            </w:r>
          </w:p>
        </w:tc>
        <w:tc>
          <w:tcPr>
            <w:tcW w:w="1134" w:type="dxa"/>
            <w:vAlign w:val="center"/>
            <w:hideMark/>
          </w:tcPr>
          <w:p w14:paraId="5B199376" w14:textId="77777777" w:rsidR="00D557AC" w:rsidRDefault="00D557AC" w:rsidP="00D557AC">
            <w:pPr>
              <w:pStyle w:val="lsTable"/>
              <w:jc w:val="center"/>
            </w:pPr>
            <w:r>
              <w:rPr>
                <w:color w:val="000000"/>
              </w:rPr>
              <w:t>17</w:t>
            </w:r>
          </w:p>
        </w:tc>
      </w:tr>
      <w:tr w:rsidR="00D557AC" w14:paraId="05504C6E" w14:textId="77777777" w:rsidTr="00D557AC">
        <w:trPr>
          <w:jc w:val="center"/>
        </w:trPr>
        <w:tc>
          <w:tcPr>
            <w:tcW w:w="1843" w:type="dxa"/>
            <w:hideMark/>
          </w:tcPr>
          <w:p w14:paraId="1671BD3E" w14:textId="77777777" w:rsidR="00D557AC" w:rsidRPr="00D557AC" w:rsidRDefault="00D557AC" w:rsidP="00F42BE4">
            <w:pPr>
              <w:pStyle w:val="lsTableHeading"/>
              <w:jc w:val="center"/>
            </w:pPr>
            <w:r w:rsidRPr="00D557AC">
              <w:t>Total</w:t>
            </w:r>
          </w:p>
        </w:tc>
        <w:tc>
          <w:tcPr>
            <w:tcW w:w="992" w:type="dxa"/>
            <w:hideMark/>
          </w:tcPr>
          <w:p w14:paraId="2475B7EF" w14:textId="77777777" w:rsidR="00D557AC" w:rsidRDefault="00D557AC" w:rsidP="00D557AC">
            <w:pPr>
              <w:pStyle w:val="lsTable"/>
              <w:jc w:val="center"/>
            </w:pPr>
            <w:r>
              <w:rPr>
                <w:lang w:val="en-GB"/>
              </w:rPr>
              <w:t>11</w:t>
            </w:r>
            <w:r>
              <w:rPr>
                <w:vertAlign w:val="superscript"/>
                <w:lang w:val="en-GB"/>
              </w:rPr>
              <w:t>th</w:t>
            </w:r>
          </w:p>
        </w:tc>
        <w:tc>
          <w:tcPr>
            <w:tcW w:w="709" w:type="dxa"/>
            <w:vAlign w:val="center"/>
            <w:hideMark/>
          </w:tcPr>
          <w:p w14:paraId="531E1F71" w14:textId="77777777" w:rsidR="00D557AC" w:rsidRDefault="00D557AC" w:rsidP="00D557AC">
            <w:pPr>
              <w:pStyle w:val="lsTable"/>
              <w:jc w:val="center"/>
            </w:pPr>
            <w:r>
              <w:rPr>
                <w:color w:val="000000"/>
              </w:rPr>
              <w:t>136</w:t>
            </w:r>
          </w:p>
        </w:tc>
        <w:tc>
          <w:tcPr>
            <w:tcW w:w="1134" w:type="dxa"/>
            <w:vAlign w:val="center"/>
            <w:hideMark/>
          </w:tcPr>
          <w:p w14:paraId="45A9272A" w14:textId="77777777" w:rsidR="00D557AC" w:rsidRDefault="00D557AC" w:rsidP="00D557AC">
            <w:pPr>
              <w:pStyle w:val="lsTable"/>
              <w:jc w:val="center"/>
            </w:pPr>
            <w:r>
              <w:rPr>
                <w:color w:val="000000"/>
              </w:rPr>
              <w:t>52</w:t>
            </w:r>
          </w:p>
        </w:tc>
      </w:tr>
    </w:tbl>
    <w:p w14:paraId="1FFCF120" w14:textId="13145C77" w:rsidR="00D557AC" w:rsidRDefault="00D557AC" w:rsidP="00D557AC">
      <w:r>
        <w:rPr>
          <w:i/>
          <w:color w:val="000000"/>
          <w:lang w:val="en-GB"/>
        </w:rPr>
        <w:t xml:space="preserve">Table 1: </w:t>
      </w:r>
      <w:r>
        <w:rPr>
          <w:i/>
          <w:lang w:val="en-GB"/>
        </w:rPr>
        <w:t>Number of participants per programme.</w:t>
      </w:r>
    </w:p>
    <w:p w14:paraId="71F50B70" w14:textId="77777777" w:rsidR="00D557AC" w:rsidRDefault="00D557AC" w:rsidP="00D557AC">
      <w:pPr>
        <w:rPr>
          <w:lang w:eastAsia="zh-CN"/>
        </w:rPr>
      </w:pPr>
      <w:r>
        <w:rPr>
          <w:lang w:val="en-GB"/>
        </w:rPr>
        <w:t>HI and HI+ follow an early partial EFL immersion model in an otherwise Spanish curriculum, the official language in Colombia.  Schooling begins at the age of four in kindergarten. From this age onwards, courses are taught about 50% of the time in the L2 and the other 50% in the L1. The most significant exposure to the L2 is offered mainly through immersion instruction, that is through curricular content taught in English. In neither programme is English taught through a grammatical or metalinguistic approach.  Interestingly, students seldom use the L2 outside the classroom or for</w:t>
      </w:r>
      <w:r>
        <w:rPr>
          <w:color w:val="FF0000"/>
          <w:lang w:val="en-GB"/>
        </w:rPr>
        <w:t xml:space="preserve"> </w:t>
      </w:r>
      <w:r>
        <w:rPr>
          <w:lang w:val="en-GB"/>
        </w:rPr>
        <w:t xml:space="preserve">non-academic activities, so there is little or none informal learning. </w:t>
      </w:r>
    </w:p>
    <w:p w14:paraId="60C4AFE9" w14:textId="21D59C2E" w:rsidR="00D557AC" w:rsidRDefault="00D557AC" w:rsidP="00D557AC">
      <w:r>
        <w:rPr>
          <w:lang w:val="en-GB"/>
        </w:rPr>
        <w:t xml:space="preserve">Figure 1 displays </w:t>
      </w:r>
      <w:r>
        <w:rPr>
          <w:color w:val="000000"/>
          <w:lang w:val="en-GB"/>
        </w:rPr>
        <w:t xml:space="preserve">the </w:t>
      </w:r>
      <w:r>
        <w:t>mean L2-instruction hours per year</w:t>
      </w:r>
      <w:r>
        <w:rPr>
          <w:i/>
        </w:rPr>
        <w:t xml:space="preserve"> </w:t>
      </w:r>
      <w:r>
        <w:rPr>
          <w:lang w:val="en-GB"/>
        </w:rPr>
        <w:t>in both programmes. Black refers to HI+ and light grey refers to HI. Primary school, which lasts five years (1</w:t>
      </w:r>
      <w:r>
        <w:rPr>
          <w:vertAlign w:val="superscript"/>
          <w:lang w:val="en-GB"/>
        </w:rPr>
        <w:t>st</w:t>
      </w:r>
      <w:r>
        <w:rPr>
          <w:lang w:val="en-GB"/>
        </w:rPr>
        <w:t xml:space="preserve"> to 5</w:t>
      </w:r>
      <w:r>
        <w:rPr>
          <w:vertAlign w:val="superscript"/>
          <w:lang w:val="en-GB"/>
        </w:rPr>
        <w:t xml:space="preserve">th </w:t>
      </w:r>
      <w:r>
        <w:rPr>
          <w:lang w:val="en-GB"/>
        </w:rPr>
        <w:t>grade), is the most intense period in terms of L2 exposure, as most of the subject areas (Sciences, History, Arts, etc.) are taught in English in both programmes. In terms of time distribution in primary school, HI+ provides between 600 and 670 hours of L2-exposure per year, whereas HI provides 504 hours. High-school (6</w:t>
      </w:r>
      <w:r>
        <w:rPr>
          <w:vertAlign w:val="superscript"/>
          <w:lang w:val="en-GB"/>
        </w:rPr>
        <w:t>th</w:t>
      </w:r>
      <w:r>
        <w:rPr>
          <w:lang w:val="en-GB"/>
        </w:rPr>
        <w:t xml:space="preserve"> to 11</w:t>
      </w:r>
      <w:r>
        <w:rPr>
          <w:vertAlign w:val="superscript"/>
          <w:lang w:val="en-GB"/>
        </w:rPr>
        <w:t>th</w:t>
      </w:r>
      <w:r>
        <w:rPr>
          <w:lang w:val="en-GB"/>
        </w:rPr>
        <w:t xml:space="preserve"> grade) is characterized by a decrease in L2-instruction time in both programmes. The HI+ programme offers 372 hours of L2-instruction per year by the end of this stage, while the HI </w:t>
      </w:r>
      <w:r>
        <w:rPr>
          <w:rFonts w:eastAsiaTheme="minorEastAsia" w:cs="Times New Roman"/>
          <w:noProof/>
          <w:lang w:eastAsia="en-US" w:bidi="ar-SA"/>
        </w:rPr>
        <w:lastRenderedPageBreak/>
        <w:drawing>
          <wp:anchor distT="0" distB="0" distL="114300" distR="114300" simplePos="0" relativeHeight="251658240" behindDoc="0" locked="0" layoutInCell="1" allowOverlap="1" wp14:anchorId="3B769E89" wp14:editId="318C54A9">
            <wp:simplePos x="0" y="0"/>
            <wp:positionH relativeFrom="margin">
              <wp:align>right</wp:align>
            </wp:positionH>
            <wp:positionV relativeFrom="paragraph">
              <wp:posOffset>308610</wp:posOffset>
            </wp:positionV>
            <wp:extent cx="4324350" cy="269684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l="10565" t="12076" r="-32" b="-64"/>
                    <a:stretch>
                      <a:fillRect/>
                    </a:stretch>
                  </pic:blipFill>
                  <pic:spPr bwMode="auto">
                    <a:xfrm>
                      <a:off x="0" y="0"/>
                      <a:ext cx="4324350" cy="2696845"/>
                    </a:xfrm>
                    <a:prstGeom prst="rect">
                      <a:avLst/>
                    </a:prstGeom>
                    <a:solidFill>
                      <a:srgbClr val="FFFFFF"/>
                    </a:solidFill>
                  </pic:spPr>
                </pic:pic>
              </a:graphicData>
            </a:graphic>
            <wp14:sizeRelH relativeFrom="margin">
              <wp14:pctWidth>0</wp14:pctWidth>
            </wp14:sizeRelH>
          </wp:anchor>
        </w:drawing>
      </w:r>
      <w:r>
        <w:rPr>
          <w:lang w:val="en-GB"/>
        </w:rPr>
        <w:t xml:space="preserve">offers 288 hours. </w:t>
      </w:r>
    </w:p>
    <w:p w14:paraId="35FD6C36" w14:textId="190CF9BE" w:rsidR="00D557AC" w:rsidRDefault="00D557AC" w:rsidP="00D557AC">
      <w:r>
        <w:rPr>
          <w:i/>
          <w:color w:val="000000"/>
          <w:lang w:val="en-GB"/>
        </w:rPr>
        <w:t xml:space="preserve">Figure 1: </w:t>
      </w:r>
      <w:r>
        <w:rPr>
          <w:i/>
        </w:rPr>
        <w:t>Mean L2-instruction hours per school year for programmes HI and HI+.</w:t>
      </w:r>
      <w:r>
        <w:rPr>
          <w:i/>
          <w:color w:val="000000"/>
        </w:rPr>
        <w:t xml:space="preserve"> </w:t>
      </w:r>
      <w:r>
        <w:rPr>
          <w:lang w:val="en-GB"/>
        </w:rPr>
        <w:t xml:space="preserve"> </w:t>
      </w:r>
    </w:p>
    <w:p w14:paraId="1AA67C2D" w14:textId="77777777" w:rsidR="00D557AC" w:rsidRDefault="00D557AC" w:rsidP="00F42BE4">
      <w:r>
        <w:rPr>
          <w:lang w:val="en-GB"/>
        </w:rPr>
        <w:t xml:space="preserve">Regarding the curriculum at higher stages, both the HI+ and HI programmes coincide in that the only subject areas taught in English during high school are </w:t>
      </w:r>
      <w:r>
        <w:rPr>
          <w:i/>
          <w:lang w:val="en-GB"/>
        </w:rPr>
        <w:t>English Language Arts</w:t>
      </w:r>
      <w:r>
        <w:rPr>
          <w:lang w:val="en-GB"/>
        </w:rPr>
        <w:t xml:space="preserve"> or </w:t>
      </w:r>
      <w:r>
        <w:rPr>
          <w:i/>
          <w:lang w:val="en-GB"/>
        </w:rPr>
        <w:t>Anglo-Saxon Literature</w:t>
      </w:r>
      <w:r>
        <w:rPr>
          <w:lang w:val="en-GB"/>
        </w:rPr>
        <w:t>. These are offered in the L2 from 9</w:t>
      </w:r>
      <w:r>
        <w:rPr>
          <w:vertAlign w:val="superscript"/>
          <w:lang w:val="en-GB"/>
        </w:rPr>
        <w:t>th</w:t>
      </w:r>
      <w:r>
        <w:rPr>
          <w:lang w:val="en-GB"/>
        </w:rPr>
        <w:t xml:space="preserve"> grade on in both programmes (around age 15). </w:t>
      </w:r>
      <w:r>
        <w:rPr>
          <w:rFonts w:eastAsia="Times New Roman"/>
          <w:lang w:eastAsia="es-CO" w:bidi="ar-SA"/>
        </w:rPr>
        <w:t>Opportunities for exposure to English at</w:t>
      </w:r>
      <w:r>
        <w:rPr>
          <w:lang w:val="en-GB"/>
        </w:rPr>
        <w:t xml:space="preserve"> </w:t>
      </w:r>
      <w:r>
        <w:rPr>
          <w:rFonts w:eastAsia="Times New Roman"/>
          <w:lang w:eastAsia="es-CO" w:bidi="ar-SA"/>
        </w:rPr>
        <w:t xml:space="preserve">other locations in the schools, for example in the school cafeteria, the playground or common areas remains limited. </w:t>
      </w:r>
    </w:p>
    <w:p w14:paraId="7FF67F65" w14:textId="77777777" w:rsidR="00D557AC" w:rsidRDefault="00D557AC" w:rsidP="00F42BE4">
      <w:r>
        <w:rPr>
          <w:i/>
          <w:lang w:val="en-GB"/>
        </w:rPr>
        <w:t>The HI+ programme</w:t>
      </w:r>
      <w:r>
        <w:rPr>
          <w:lang w:val="en-GB"/>
        </w:rPr>
        <w:t xml:space="preserve"> gathers students from three schools. These offer the largest number of hours of L2 exposure-instruction time: </w:t>
      </w:r>
      <w:r>
        <w:rPr>
          <w:b/>
          <w:lang w:val="en-GB"/>
        </w:rPr>
        <w:t xml:space="preserve">8760 accumulated hours </w:t>
      </w:r>
      <w:r>
        <w:rPr>
          <w:lang w:val="en-GB"/>
        </w:rPr>
        <w:t>by the end of grade 11 (age 17). At the end of a school in the HI+ programme, a renowned international certification is provided</w:t>
      </w:r>
      <w:r>
        <w:rPr>
          <w:rStyle w:val="FootnoteReference"/>
          <w:rFonts w:cs="Times New Roman"/>
          <w:szCs w:val="20"/>
          <w:lang w:val="en-GB"/>
        </w:rPr>
        <w:footnoteReference w:id="2"/>
      </w:r>
      <w:r>
        <w:rPr>
          <w:lang w:val="en-GB"/>
        </w:rPr>
        <w:t xml:space="preserve">. </w:t>
      </w:r>
    </w:p>
    <w:p w14:paraId="2E82369C" w14:textId="77777777" w:rsidR="00D557AC" w:rsidRDefault="00D557AC" w:rsidP="00F42BE4">
      <w:r>
        <w:rPr>
          <w:i/>
          <w:lang w:val="en-GB"/>
        </w:rPr>
        <w:t xml:space="preserve">The HI programme </w:t>
      </w:r>
      <w:r>
        <w:rPr>
          <w:lang w:val="en-GB"/>
        </w:rPr>
        <w:t xml:space="preserve">involves students from one school. It offers a relatively lower number of hours of L2 exposure-instruction time, </w:t>
      </w:r>
      <w:r>
        <w:rPr>
          <w:b/>
          <w:lang w:val="en-GB"/>
        </w:rPr>
        <w:t>7002</w:t>
      </w:r>
      <w:r>
        <w:rPr>
          <w:lang w:val="en-GB"/>
        </w:rPr>
        <w:t xml:space="preserve"> </w:t>
      </w:r>
      <w:r>
        <w:rPr>
          <w:b/>
          <w:lang w:val="en-GB"/>
        </w:rPr>
        <w:t>accumulated hours</w:t>
      </w:r>
      <w:r>
        <w:rPr>
          <w:lang w:val="en-GB"/>
        </w:rPr>
        <w:t xml:space="preserve"> by the end of grade 11 (age 17). A singular academic approach to literacy in the HI curriculum is underscored by </w:t>
      </w:r>
      <w:r>
        <w:rPr>
          <w:lang w:val="en-GB"/>
        </w:rPr>
        <w:lastRenderedPageBreak/>
        <w:t xml:space="preserve">the school’s stakeholders (principals, coordinators and teachers), so students are frequently exposed to discourse and text analysis since primary school. Table 2 shows the distribution of hours per year and the accumulated hours in the two programmes. </w:t>
      </w:r>
    </w:p>
    <w:tbl>
      <w:tblPr>
        <w:tblW w:w="0" w:type="auto"/>
        <w:tblInd w:w="142" w:type="dxa"/>
        <w:tblLayout w:type="fixed"/>
        <w:tblCellMar>
          <w:left w:w="70" w:type="dxa"/>
          <w:right w:w="70" w:type="dxa"/>
        </w:tblCellMar>
        <w:tblLook w:val="04A0" w:firstRow="1" w:lastRow="0" w:firstColumn="1" w:lastColumn="0" w:noHBand="0" w:noVBand="1"/>
      </w:tblPr>
      <w:tblGrid>
        <w:gridCol w:w="993"/>
        <w:gridCol w:w="709"/>
        <w:gridCol w:w="709"/>
        <w:gridCol w:w="709"/>
        <w:gridCol w:w="709"/>
        <w:gridCol w:w="710"/>
        <w:gridCol w:w="1131"/>
      </w:tblGrid>
      <w:tr w:rsidR="00F42BE4" w:rsidRPr="00F42BE4" w14:paraId="1FD66299" w14:textId="77777777" w:rsidTr="00F42BE4">
        <w:trPr>
          <w:trHeight w:val="394"/>
        </w:trPr>
        <w:tc>
          <w:tcPr>
            <w:tcW w:w="993" w:type="dxa"/>
          </w:tcPr>
          <w:p w14:paraId="7F6885ED" w14:textId="77777777" w:rsidR="00F42BE4" w:rsidRPr="00F42BE4" w:rsidRDefault="00F42BE4" w:rsidP="00F42BE4">
            <w:pPr>
              <w:pStyle w:val="lsTableHeading"/>
            </w:pPr>
          </w:p>
        </w:tc>
        <w:tc>
          <w:tcPr>
            <w:tcW w:w="4677" w:type="dxa"/>
            <w:gridSpan w:val="6"/>
            <w:hideMark/>
          </w:tcPr>
          <w:p w14:paraId="67E6E46F" w14:textId="77777777" w:rsidR="00F42BE4" w:rsidRPr="00F42BE4" w:rsidRDefault="00F42BE4" w:rsidP="00F42BE4">
            <w:pPr>
              <w:pStyle w:val="lsTableHeading"/>
            </w:pPr>
            <w:r w:rsidRPr="00F42BE4">
              <w:t>Mean accumulated L2 hours per programme</w:t>
            </w:r>
          </w:p>
        </w:tc>
      </w:tr>
      <w:tr w:rsidR="00F42BE4" w:rsidRPr="00F42BE4" w14:paraId="54F5A64A" w14:textId="77777777" w:rsidTr="00F42BE4">
        <w:trPr>
          <w:trHeight w:val="226"/>
        </w:trPr>
        <w:tc>
          <w:tcPr>
            <w:tcW w:w="993" w:type="dxa"/>
            <w:hideMark/>
          </w:tcPr>
          <w:p w14:paraId="7E914D1D" w14:textId="77777777" w:rsidR="00F42BE4" w:rsidRPr="00F42BE4" w:rsidRDefault="00F42BE4" w:rsidP="00F42BE4">
            <w:pPr>
              <w:pStyle w:val="lsTableHeading"/>
            </w:pPr>
            <w:r w:rsidRPr="00F42BE4">
              <w:t>Grade</w:t>
            </w:r>
          </w:p>
        </w:tc>
        <w:tc>
          <w:tcPr>
            <w:tcW w:w="709" w:type="dxa"/>
            <w:hideMark/>
          </w:tcPr>
          <w:p w14:paraId="274840F5" w14:textId="77777777" w:rsidR="00F42BE4" w:rsidRPr="00F42BE4" w:rsidRDefault="00F42BE4" w:rsidP="00F42BE4">
            <w:pPr>
              <w:pStyle w:val="lsTable"/>
            </w:pPr>
            <w:r w:rsidRPr="00F42BE4">
              <w:t>6th</w:t>
            </w:r>
          </w:p>
        </w:tc>
        <w:tc>
          <w:tcPr>
            <w:tcW w:w="709" w:type="dxa"/>
            <w:hideMark/>
          </w:tcPr>
          <w:p w14:paraId="19F0AE61" w14:textId="77777777" w:rsidR="00F42BE4" w:rsidRPr="00F42BE4" w:rsidRDefault="00F42BE4" w:rsidP="00F42BE4">
            <w:pPr>
              <w:pStyle w:val="lsTable"/>
            </w:pPr>
            <w:r w:rsidRPr="00F42BE4">
              <w:t>7th</w:t>
            </w:r>
          </w:p>
        </w:tc>
        <w:tc>
          <w:tcPr>
            <w:tcW w:w="709" w:type="dxa"/>
            <w:hideMark/>
          </w:tcPr>
          <w:p w14:paraId="415E7BA1" w14:textId="77777777" w:rsidR="00F42BE4" w:rsidRPr="00F42BE4" w:rsidRDefault="00F42BE4" w:rsidP="00F42BE4">
            <w:pPr>
              <w:pStyle w:val="lsTable"/>
            </w:pPr>
            <w:r w:rsidRPr="00F42BE4">
              <w:t>8th</w:t>
            </w:r>
          </w:p>
        </w:tc>
        <w:tc>
          <w:tcPr>
            <w:tcW w:w="709" w:type="dxa"/>
            <w:hideMark/>
          </w:tcPr>
          <w:p w14:paraId="60B9B8C3" w14:textId="77777777" w:rsidR="00F42BE4" w:rsidRPr="00F42BE4" w:rsidRDefault="00F42BE4" w:rsidP="00F42BE4">
            <w:pPr>
              <w:pStyle w:val="lsTable"/>
            </w:pPr>
            <w:r w:rsidRPr="00F42BE4">
              <w:t>9th</w:t>
            </w:r>
          </w:p>
        </w:tc>
        <w:tc>
          <w:tcPr>
            <w:tcW w:w="710" w:type="dxa"/>
            <w:hideMark/>
          </w:tcPr>
          <w:p w14:paraId="4FF1F28C" w14:textId="77777777" w:rsidR="00F42BE4" w:rsidRPr="00F42BE4" w:rsidRDefault="00F42BE4" w:rsidP="00F42BE4">
            <w:pPr>
              <w:pStyle w:val="lsTable"/>
            </w:pPr>
            <w:r w:rsidRPr="00F42BE4">
              <w:t>10th</w:t>
            </w:r>
          </w:p>
        </w:tc>
        <w:tc>
          <w:tcPr>
            <w:tcW w:w="1131" w:type="dxa"/>
          </w:tcPr>
          <w:p w14:paraId="0FF2B94F" w14:textId="77777777" w:rsidR="00F42BE4" w:rsidRPr="00F42BE4" w:rsidRDefault="00F42BE4" w:rsidP="00F42BE4">
            <w:pPr>
              <w:pStyle w:val="lsTable"/>
            </w:pPr>
            <w:r w:rsidRPr="00F42BE4">
              <w:t>11th</w:t>
            </w:r>
          </w:p>
          <w:p w14:paraId="6DBBB402" w14:textId="77777777" w:rsidR="00F42BE4" w:rsidRPr="00F42BE4" w:rsidRDefault="00F42BE4" w:rsidP="00F42BE4">
            <w:pPr>
              <w:pStyle w:val="lsTable"/>
            </w:pPr>
          </w:p>
        </w:tc>
      </w:tr>
      <w:tr w:rsidR="00F42BE4" w:rsidRPr="00F42BE4" w14:paraId="546E023B" w14:textId="77777777" w:rsidTr="00F42BE4">
        <w:trPr>
          <w:trHeight w:val="226"/>
        </w:trPr>
        <w:tc>
          <w:tcPr>
            <w:tcW w:w="993" w:type="dxa"/>
            <w:hideMark/>
          </w:tcPr>
          <w:p w14:paraId="6EF93E92" w14:textId="77777777" w:rsidR="00F42BE4" w:rsidRPr="00F42BE4" w:rsidRDefault="00F42BE4" w:rsidP="00F42BE4">
            <w:pPr>
              <w:pStyle w:val="lsTableHeading"/>
            </w:pPr>
            <w:r w:rsidRPr="00F42BE4">
              <w:t xml:space="preserve">Age </w:t>
            </w:r>
          </w:p>
        </w:tc>
        <w:tc>
          <w:tcPr>
            <w:tcW w:w="709" w:type="dxa"/>
          </w:tcPr>
          <w:p w14:paraId="6AE25123" w14:textId="77777777" w:rsidR="00F42BE4" w:rsidRPr="00F42BE4" w:rsidRDefault="00F42BE4" w:rsidP="00F42BE4">
            <w:pPr>
              <w:pStyle w:val="lsTable"/>
            </w:pPr>
            <w:r w:rsidRPr="00F42BE4">
              <w:t>12</w:t>
            </w:r>
          </w:p>
          <w:p w14:paraId="074F8D5A" w14:textId="77777777" w:rsidR="00F42BE4" w:rsidRPr="00F42BE4" w:rsidRDefault="00F42BE4" w:rsidP="00F42BE4">
            <w:pPr>
              <w:pStyle w:val="lsTable"/>
            </w:pPr>
          </w:p>
        </w:tc>
        <w:tc>
          <w:tcPr>
            <w:tcW w:w="709" w:type="dxa"/>
            <w:hideMark/>
          </w:tcPr>
          <w:p w14:paraId="11EE5CE3" w14:textId="77777777" w:rsidR="00F42BE4" w:rsidRPr="00F42BE4" w:rsidRDefault="00F42BE4" w:rsidP="00F42BE4">
            <w:pPr>
              <w:pStyle w:val="lsTable"/>
            </w:pPr>
            <w:r w:rsidRPr="00F42BE4">
              <w:t>13</w:t>
            </w:r>
          </w:p>
        </w:tc>
        <w:tc>
          <w:tcPr>
            <w:tcW w:w="709" w:type="dxa"/>
            <w:hideMark/>
          </w:tcPr>
          <w:p w14:paraId="006E23DF" w14:textId="77777777" w:rsidR="00F42BE4" w:rsidRPr="00F42BE4" w:rsidRDefault="00F42BE4" w:rsidP="00F42BE4">
            <w:pPr>
              <w:pStyle w:val="lsTable"/>
            </w:pPr>
            <w:r w:rsidRPr="00F42BE4">
              <w:t>14</w:t>
            </w:r>
          </w:p>
        </w:tc>
        <w:tc>
          <w:tcPr>
            <w:tcW w:w="709" w:type="dxa"/>
            <w:hideMark/>
          </w:tcPr>
          <w:p w14:paraId="1C62C65B" w14:textId="77777777" w:rsidR="00F42BE4" w:rsidRPr="00F42BE4" w:rsidRDefault="00F42BE4" w:rsidP="00F42BE4">
            <w:pPr>
              <w:pStyle w:val="lsTable"/>
            </w:pPr>
            <w:r w:rsidRPr="00F42BE4">
              <w:t>15</w:t>
            </w:r>
          </w:p>
        </w:tc>
        <w:tc>
          <w:tcPr>
            <w:tcW w:w="710" w:type="dxa"/>
            <w:hideMark/>
          </w:tcPr>
          <w:p w14:paraId="14604836" w14:textId="77777777" w:rsidR="00F42BE4" w:rsidRPr="00F42BE4" w:rsidRDefault="00F42BE4" w:rsidP="00F42BE4">
            <w:pPr>
              <w:pStyle w:val="lsTable"/>
            </w:pPr>
            <w:r w:rsidRPr="00F42BE4">
              <w:t>16</w:t>
            </w:r>
          </w:p>
        </w:tc>
        <w:tc>
          <w:tcPr>
            <w:tcW w:w="1131" w:type="dxa"/>
            <w:hideMark/>
          </w:tcPr>
          <w:p w14:paraId="4CBEF29B" w14:textId="77777777" w:rsidR="00F42BE4" w:rsidRPr="00F42BE4" w:rsidRDefault="00F42BE4" w:rsidP="00F42BE4">
            <w:pPr>
              <w:pStyle w:val="lsTable"/>
            </w:pPr>
            <w:r w:rsidRPr="00F42BE4">
              <w:t>17</w:t>
            </w:r>
          </w:p>
        </w:tc>
      </w:tr>
      <w:tr w:rsidR="00F42BE4" w:rsidRPr="00F42BE4" w14:paraId="0AF8923F" w14:textId="77777777" w:rsidTr="00F42BE4">
        <w:trPr>
          <w:trHeight w:val="77"/>
        </w:trPr>
        <w:tc>
          <w:tcPr>
            <w:tcW w:w="993" w:type="dxa"/>
            <w:hideMark/>
          </w:tcPr>
          <w:p w14:paraId="1B587265" w14:textId="77777777" w:rsidR="00F42BE4" w:rsidRPr="00F42BE4" w:rsidRDefault="00F42BE4" w:rsidP="00F42BE4">
            <w:pPr>
              <w:pStyle w:val="lsTableHeading"/>
            </w:pPr>
            <w:r w:rsidRPr="00F42BE4">
              <w:t>HI</w:t>
            </w:r>
          </w:p>
        </w:tc>
        <w:tc>
          <w:tcPr>
            <w:tcW w:w="709" w:type="dxa"/>
            <w:hideMark/>
          </w:tcPr>
          <w:p w14:paraId="2B2941D1" w14:textId="77777777" w:rsidR="00F42BE4" w:rsidRPr="00F42BE4" w:rsidRDefault="00F42BE4" w:rsidP="00F42BE4">
            <w:pPr>
              <w:pStyle w:val="lsTable"/>
            </w:pPr>
            <w:r w:rsidRPr="00F42BE4">
              <w:t>4914</w:t>
            </w:r>
          </w:p>
        </w:tc>
        <w:tc>
          <w:tcPr>
            <w:tcW w:w="709" w:type="dxa"/>
            <w:hideMark/>
          </w:tcPr>
          <w:p w14:paraId="68CEC072" w14:textId="77777777" w:rsidR="00F42BE4" w:rsidRPr="00F42BE4" w:rsidRDefault="00F42BE4" w:rsidP="00F42BE4">
            <w:pPr>
              <w:pStyle w:val="lsTable"/>
            </w:pPr>
            <w:r w:rsidRPr="00F42BE4">
              <w:t>5418</w:t>
            </w:r>
          </w:p>
        </w:tc>
        <w:tc>
          <w:tcPr>
            <w:tcW w:w="709" w:type="dxa"/>
            <w:hideMark/>
          </w:tcPr>
          <w:p w14:paraId="5EB9C73B" w14:textId="77777777" w:rsidR="00F42BE4" w:rsidRPr="00F42BE4" w:rsidRDefault="00F42BE4" w:rsidP="00F42BE4">
            <w:pPr>
              <w:pStyle w:val="lsTable"/>
            </w:pPr>
            <w:r w:rsidRPr="00F42BE4">
              <w:t>5922</w:t>
            </w:r>
          </w:p>
        </w:tc>
        <w:tc>
          <w:tcPr>
            <w:tcW w:w="709" w:type="dxa"/>
            <w:hideMark/>
          </w:tcPr>
          <w:p w14:paraId="181CF8E7" w14:textId="77777777" w:rsidR="00F42BE4" w:rsidRPr="00F42BE4" w:rsidRDefault="00F42BE4" w:rsidP="00F42BE4">
            <w:pPr>
              <w:pStyle w:val="lsTable"/>
            </w:pPr>
            <w:r w:rsidRPr="00F42BE4">
              <w:t>6426</w:t>
            </w:r>
          </w:p>
        </w:tc>
        <w:tc>
          <w:tcPr>
            <w:tcW w:w="710" w:type="dxa"/>
            <w:hideMark/>
          </w:tcPr>
          <w:p w14:paraId="2A8580EC" w14:textId="77777777" w:rsidR="00F42BE4" w:rsidRPr="00F42BE4" w:rsidRDefault="00F42BE4" w:rsidP="00F42BE4">
            <w:pPr>
              <w:pStyle w:val="lsTable"/>
            </w:pPr>
            <w:r w:rsidRPr="00F42BE4">
              <w:t>6714</w:t>
            </w:r>
          </w:p>
        </w:tc>
        <w:tc>
          <w:tcPr>
            <w:tcW w:w="1131" w:type="dxa"/>
          </w:tcPr>
          <w:p w14:paraId="5EAFB0C1" w14:textId="77777777" w:rsidR="00F42BE4" w:rsidRPr="00F42BE4" w:rsidRDefault="00F42BE4" w:rsidP="00F42BE4">
            <w:pPr>
              <w:pStyle w:val="lsTable"/>
            </w:pPr>
            <w:r w:rsidRPr="00F42BE4">
              <w:t>7002</w:t>
            </w:r>
          </w:p>
          <w:p w14:paraId="151CBFD9" w14:textId="77777777" w:rsidR="00F42BE4" w:rsidRPr="00F42BE4" w:rsidRDefault="00F42BE4" w:rsidP="00F42BE4">
            <w:pPr>
              <w:pStyle w:val="lsTable"/>
            </w:pPr>
          </w:p>
        </w:tc>
      </w:tr>
      <w:tr w:rsidR="00F42BE4" w:rsidRPr="00F42BE4" w14:paraId="1B6396E2" w14:textId="77777777" w:rsidTr="00F42BE4">
        <w:trPr>
          <w:trHeight w:val="506"/>
        </w:trPr>
        <w:tc>
          <w:tcPr>
            <w:tcW w:w="993" w:type="dxa"/>
            <w:shd w:val="clear" w:color="auto" w:fill="FFFFFF"/>
            <w:hideMark/>
          </w:tcPr>
          <w:p w14:paraId="7D0F2704" w14:textId="77777777" w:rsidR="00F42BE4" w:rsidRPr="00F42BE4" w:rsidRDefault="00F42BE4" w:rsidP="00F42BE4">
            <w:pPr>
              <w:pStyle w:val="lsTableHeading"/>
            </w:pPr>
            <w:r w:rsidRPr="00F42BE4">
              <w:t>HI+</w:t>
            </w:r>
          </w:p>
        </w:tc>
        <w:tc>
          <w:tcPr>
            <w:tcW w:w="709" w:type="dxa"/>
            <w:hideMark/>
          </w:tcPr>
          <w:p w14:paraId="4958C421" w14:textId="77777777" w:rsidR="00F42BE4" w:rsidRPr="00F42BE4" w:rsidRDefault="00F42BE4" w:rsidP="00F42BE4">
            <w:pPr>
              <w:pStyle w:val="lsTable"/>
            </w:pPr>
            <w:r w:rsidRPr="00F42BE4">
              <w:t>6312</w:t>
            </w:r>
          </w:p>
        </w:tc>
        <w:tc>
          <w:tcPr>
            <w:tcW w:w="709" w:type="dxa"/>
            <w:hideMark/>
          </w:tcPr>
          <w:p w14:paraId="6D69139B" w14:textId="77777777" w:rsidR="00F42BE4" w:rsidRPr="00F42BE4" w:rsidRDefault="00F42BE4" w:rsidP="00F42BE4">
            <w:pPr>
              <w:pStyle w:val="lsTable"/>
            </w:pPr>
            <w:r w:rsidRPr="00F42BE4">
              <w:t>6924</w:t>
            </w:r>
          </w:p>
        </w:tc>
        <w:tc>
          <w:tcPr>
            <w:tcW w:w="709" w:type="dxa"/>
          </w:tcPr>
          <w:p w14:paraId="7322178B" w14:textId="77777777" w:rsidR="00F42BE4" w:rsidRPr="00F42BE4" w:rsidRDefault="00F42BE4" w:rsidP="00F42BE4">
            <w:pPr>
              <w:pStyle w:val="lsTable"/>
            </w:pPr>
            <w:r w:rsidRPr="00F42BE4">
              <w:t>7536</w:t>
            </w:r>
          </w:p>
          <w:p w14:paraId="7DEE219C" w14:textId="77777777" w:rsidR="00F42BE4" w:rsidRPr="00F42BE4" w:rsidRDefault="00F42BE4" w:rsidP="00F42BE4">
            <w:pPr>
              <w:pStyle w:val="lsTable"/>
            </w:pPr>
          </w:p>
        </w:tc>
        <w:tc>
          <w:tcPr>
            <w:tcW w:w="709" w:type="dxa"/>
          </w:tcPr>
          <w:p w14:paraId="338C5017" w14:textId="77777777" w:rsidR="00F42BE4" w:rsidRPr="00F42BE4" w:rsidRDefault="00F42BE4" w:rsidP="00F42BE4">
            <w:pPr>
              <w:pStyle w:val="lsTable"/>
            </w:pPr>
            <w:r w:rsidRPr="00F42BE4">
              <w:t>8016</w:t>
            </w:r>
          </w:p>
          <w:p w14:paraId="28E943EB" w14:textId="77777777" w:rsidR="00F42BE4" w:rsidRPr="00F42BE4" w:rsidRDefault="00F42BE4" w:rsidP="00F42BE4">
            <w:pPr>
              <w:pStyle w:val="lsTable"/>
            </w:pPr>
          </w:p>
        </w:tc>
        <w:tc>
          <w:tcPr>
            <w:tcW w:w="710" w:type="dxa"/>
            <w:hideMark/>
          </w:tcPr>
          <w:p w14:paraId="17DF65BE" w14:textId="77777777" w:rsidR="00F42BE4" w:rsidRPr="00F42BE4" w:rsidRDefault="00F42BE4" w:rsidP="00F42BE4">
            <w:pPr>
              <w:pStyle w:val="lsTable"/>
            </w:pPr>
            <w:r w:rsidRPr="00F42BE4">
              <w:t>8388</w:t>
            </w:r>
          </w:p>
        </w:tc>
        <w:tc>
          <w:tcPr>
            <w:tcW w:w="1131" w:type="dxa"/>
            <w:hideMark/>
          </w:tcPr>
          <w:p w14:paraId="704ED58E" w14:textId="77777777" w:rsidR="00F42BE4" w:rsidRPr="00F42BE4" w:rsidRDefault="00F42BE4" w:rsidP="00F42BE4">
            <w:pPr>
              <w:pStyle w:val="lsTable"/>
            </w:pPr>
            <w:r w:rsidRPr="00F42BE4">
              <w:t>8760</w:t>
            </w:r>
          </w:p>
        </w:tc>
      </w:tr>
    </w:tbl>
    <w:p w14:paraId="7AE7FC57" w14:textId="53B1506C" w:rsidR="004F186D" w:rsidRDefault="00D557AC" w:rsidP="00D557AC">
      <w:r>
        <w:rPr>
          <w:i/>
          <w:color w:val="000000"/>
        </w:rPr>
        <w:t xml:space="preserve">Table 2. </w:t>
      </w:r>
      <w:r>
        <w:rPr>
          <w:i/>
          <w:color w:val="000000"/>
          <w:lang w:val="en-GB"/>
        </w:rPr>
        <w:t>Number</w:t>
      </w:r>
      <w:r>
        <w:rPr>
          <w:i/>
          <w:lang w:val="en-GB"/>
        </w:rPr>
        <w:t xml:space="preserve"> of hours of L2 accumulated per year per programme.</w:t>
      </w:r>
    </w:p>
    <w:p w14:paraId="4EAC7182" w14:textId="5405A7AA" w:rsidR="00F42BE4" w:rsidRDefault="00F42BE4" w:rsidP="00F42BE4">
      <w:pPr>
        <w:pStyle w:val="lsSection2"/>
      </w:pPr>
      <w:r>
        <w:t>Design and procedure</w:t>
      </w:r>
    </w:p>
    <w:p w14:paraId="24CB2888" w14:textId="3F3F3497" w:rsidR="00F42BE4" w:rsidRPr="00F42BE4" w:rsidRDefault="00F42BE4" w:rsidP="00F42BE4">
      <w:r>
        <w:rPr>
          <w:rFonts w:cs="Times New Roman"/>
          <w:szCs w:val="20"/>
          <w:lang w:val="en-GB"/>
        </w:rPr>
        <w:t>Written data was collected from five different age-groups (ages 12, 14, 15, 16, and 17) in each programme. Age 13 was not taken into consideration since the data collection process could not be completed with the whole group in one of the programmes.</w:t>
      </w:r>
    </w:p>
    <w:p w14:paraId="54B468DE" w14:textId="53350188" w:rsidR="00F42BE4" w:rsidRDefault="00F42BE4" w:rsidP="00F42BE4">
      <w:pPr>
        <w:pStyle w:val="lsSection3"/>
      </w:pPr>
      <w:r>
        <w:t>Data collection and trimming</w:t>
      </w:r>
    </w:p>
    <w:p w14:paraId="20711C2D" w14:textId="30F23D59" w:rsidR="00F42BE4" w:rsidRDefault="00F42BE4" w:rsidP="00F42BE4">
      <w:r>
        <w:rPr>
          <w:rFonts w:cs="Times New Roman"/>
          <w:szCs w:val="20"/>
          <w:lang w:val="en-GB"/>
        </w:rPr>
        <w:t>Two main instruments were used to collect the data used for the present study: a linguistic background questionnaire and a written task consisting of a composition based on a silent film.</w:t>
      </w:r>
    </w:p>
    <w:p w14:paraId="1E3AECF9" w14:textId="0767FFC5" w:rsidR="00F42BE4" w:rsidRDefault="00F42BE4" w:rsidP="00D557AC">
      <w:pPr>
        <w:pStyle w:val="lsSection4"/>
      </w:pPr>
      <w:r>
        <w:t>Linguistic background questionnaire</w:t>
      </w:r>
    </w:p>
    <w:p w14:paraId="04D59034" w14:textId="30A47D35" w:rsidR="00F42BE4" w:rsidRDefault="00F42BE4" w:rsidP="00D557AC">
      <w:r>
        <w:rPr>
          <w:rFonts w:cs="Times New Roman"/>
          <w:szCs w:val="20"/>
          <w:lang w:val="en-GB"/>
        </w:rPr>
        <w:t>A general linguistic background questionnaire inspired by Grosjean (2010)</w:t>
      </w:r>
      <w:r>
        <w:rPr>
          <w:rFonts w:cs="Times New Roman"/>
          <w:color w:val="FF0000"/>
          <w:szCs w:val="20"/>
          <w:lang w:val="en-GB"/>
        </w:rPr>
        <w:t xml:space="preserve"> </w:t>
      </w:r>
      <w:r>
        <w:rPr>
          <w:rFonts w:cs="Times New Roman"/>
          <w:szCs w:val="20"/>
          <w:lang w:val="en-GB"/>
        </w:rPr>
        <w:t xml:space="preserve">was used to investigate participants’ use of different languages, their learning habits, their L2 interaction and contact with target language speakers, as well as the average time spent in the immersion programme. This instrument was later used to make a selection of participants in the study. Students who had not been in the same school for their complete tuition (from primary years onwards), had lived in an English-speaking country or abroad, were binational or had English-speaking relatives, were excluded from the study. This left a </w:t>
      </w:r>
      <w:r>
        <w:rPr>
          <w:rFonts w:cs="Times New Roman"/>
          <w:szCs w:val="20"/>
          <w:lang w:val="en-GB"/>
        </w:rPr>
        <w:lastRenderedPageBreak/>
        <w:t>final sample of 188 students including both programmes, as shown in Table 1.</w:t>
      </w:r>
    </w:p>
    <w:p w14:paraId="7709E100" w14:textId="46C4A1C5" w:rsidR="00F42BE4" w:rsidRPr="00F42BE4" w:rsidRDefault="00F42BE4" w:rsidP="00F42BE4">
      <w:pPr>
        <w:pStyle w:val="lsSection4"/>
      </w:pPr>
      <w:r>
        <w:t>The writing task: Retelling a story</w:t>
      </w:r>
    </w:p>
    <w:p w14:paraId="1472A797" w14:textId="77777777" w:rsidR="00F42BE4" w:rsidRDefault="00F42BE4" w:rsidP="00F42BE4">
      <w:pPr>
        <w:rPr>
          <w:lang w:eastAsia="zh-CN"/>
        </w:rPr>
      </w:pPr>
      <w:r>
        <w:rPr>
          <w:lang w:val="en-GB"/>
        </w:rPr>
        <w:t xml:space="preserve">In order to collect data on the participants’ written abilities, they were asked to write a story retell on the basis of the silent film "College" (Horne &amp; Keaton 1927), starring Buster Keaton. The choice for this task emerged from earlier analyses on task structure such as Skehan &amp; Foster (1999), where narrative retellings tasks supported by visual prompts are used to elicit the three dimensions of CAF in comparable degrees. Likewise, silent films have frequently been used in SLA studies to elicit narratives in the L2 (e.g. </w:t>
      </w:r>
      <w:r>
        <w:rPr>
          <w:rStyle w:val="familyname"/>
          <w:rFonts w:cs="Times New Roman"/>
          <w:color w:val="333333"/>
          <w:shd w:val="clear" w:color="auto" w:fill="FFFFFF"/>
        </w:rPr>
        <w:t>Lambert</w:t>
      </w:r>
      <w:r>
        <w:rPr>
          <w:rStyle w:val="Strong"/>
          <w:b w:val="0"/>
          <w:bCs w:val="0"/>
          <w:color w:val="333333"/>
          <w:shd w:val="clear" w:color="auto" w:fill="FFFFFF"/>
        </w:rPr>
        <w:t xml:space="preserve"> </w:t>
      </w:r>
      <w:r>
        <w:rPr>
          <w:rStyle w:val="familyname"/>
          <w:rFonts w:cs="Times New Roman"/>
          <w:color w:val="333333"/>
          <w:shd w:val="clear" w:color="auto" w:fill="FFFFFF"/>
        </w:rPr>
        <w:t>1997, who used Chaplin’s Modern Times)</w:t>
      </w:r>
      <w:r>
        <w:rPr>
          <w:szCs w:val="20"/>
          <w:lang w:val="en-GB"/>
        </w:rPr>
        <w:t xml:space="preserve">. </w:t>
      </w:r>
    </w:p>
    <w:p w14:paraId="0D93F764" w14:textId="77777777" w:rsidR="00F42BE4" w:rsidRDefault="00F42BE4" w:rsidP="00F42BE4">
      <w:r>
        <w:rPr>
          <w:szCs w:val="20"/>
          <w:lang w:val="en-GB"/>
        </w:rPr>
        <w:t xml:space="preserve">Participants watched a 3.30-minute scene of the film, which was played only once. Subsequently, they were allowed 20 minutes to complete the composition. They were asked to write as much as they were able to in the given time. They received the following instruction: </w:t>
      </w:r>
    </w:p>
    <w:p w14:paraId="00867F43" w14:textId="77777777" w:rsidR="00F42BE4" w:rsidRDefault="00F42BE4" w:rsidP="00F42BE4">
      <w:pPr>
        <w:pStyle w:val="lsEnumerated"/>
      </w:pPr>
      <w:r>
        <w:t xml:space="preserve">Retell the story in writing while keeping in mind all the details. Use your current knowledge of English; do not use the dictionary.  </w:t>
      </w:r>
    </w:p>
    <w:p w14:paraId="7966F538" w14:textId="35F4D132" w:rsidR="00F42BE4" w:rsidRDefault="00F42BE4" w:rsidP="00D557AC">
      <w:pPr>
        <w:pStyle w:val="lsSection3"/>
      </w:pPr>
      <w:r>
        <w:t>Data coding and analysis</w:t>
      </w:r>
    </w:p>
    <w:p w14:paraId="49BAFDD2" w14:textId="77777777" w:rsidR="00F42BE4" w:rsidRDefault="00F42BE4" w:rsidP="00F42BE4">
      <w:pPr>
        <w:rPr>
          <w:lang w:eastAsia="zh-CN"/>
        </w:rPr>
      </w:pPr>
      <w:r>
        <w:rPr>
          <w:lang w:val="en-GB"/>
        </w:rPr>
        <w:t xml:space="preserve">All the participants’ compositions (N=188) collected through the written tasks were transcribed and coded using CLAN (MacWhinney 2000). A first streamlining was conducted to standardize coding procedures. L2 errors and spelling occurrences were identified and scripts were segmented into units. The errors that were not taken into account were those caused by phonology or graphical ambiguity (i.e. </w:t>
      </w:r>
      <w:r>
        <w:rPr>
          <w:bCs/>
          <w:i/>
          <w:lang w:val="en-GB"/>
        </w:rPr>
        <w:t>the man say's</w:t>
      </w:r>
      <w:r>
        <w:rPr>
          <w:lang w:val="en-GB"/>
        </w:rPr>
        <w:t xml:space="preserve">), misspelling (i.e. </w:t>
      </w:r>
      <w:r>
        <w:rPr>
          <w:i/>
          <w:lang w:val="en-GB"/>
        </w:rPr>
        <w:t>he whent</w:t>
      </w:r>
      <w:r>
        <w:rPr>
          <w:lang w:val="en-GB"/>
        </w:rPr>
        <w:t xml:space="preserve">), redundancy, or repetition of text content (i.e. </w:t>
      </w:r>
      <w:r>
        <w:rPr>
          <w:b/>
          <w:bCs/>
          <w:i/>
          <w:lang w:val="en-GB"/>
        </w:rPr>
        <w:t>A man</w:t>
      </w:r>
      <w:r>
        <w:rPr>
          <w:bCs/>
          <w:i/>
          <w:lang w:val="en-GB"/>
        </w:rPr>
        <w:t xml:space="preserve"> put a poster that says Boy needed. And then </w:t>
      </w:r>
      <w:r>
        <w:rPr>
          <w:b/>
          <w:bCs/>
          <w:i/>
          <w:lang w:val="en-GB"/>
        </w:rPr>
        <w:t>a man</w:t>
      </w:r>
      <w:r>
        <w:rPr>
          <w:bCs/>
          <w:i/>
          <w:lang w:val="en-GB"/>
        </w:rPr>
        <w:t xml:space="preserve"> come and tell that he want the work</w:t>
      </w:r>
      <w:r>
        <w:rPr>
          <w:lang w:val="en-GB"/>
        </w:rPr>
        <w:t xml:space="preserve">). </w:t>
      </w:r>
    </w:p>
    <w:p w14:paraId="28F45A82" w14:textId="25A84B9D" w:rsidR="00F42BE4" w:rsidRDefault="00F42BE4" w:rsidP="00F42BE4">
      <w:r>
        <w:rPr>
          <w:lang w:val="en-GB"/>
        </w:rPr>
        <w:t>CAF measures and holistic ratings were employed to analyse the learners’ writings</w:t>
      </w:r>
      <w:r>
        <w:t>. CAF analysis was carried out through manual coding of grammatical and lexical errors, segmentation of syntactic units and automatic calculations using CLAN and Excel. H</w:t>
      </w:r>
      <w:r>
        <w:rPr>
          <w:lang w:val="en-GB"/>
        </w:rPr>
        <w:t xml:space="preserve">olistic ratings were carried out by two external evaluators. In order to compare learners’ performance in terms of the impact of the accumulated time of exposure in HI and HI+,  descriptive statistics (means and SDs) were calculated on both CAF measures and holistic </w:t>
      </w:r>
      <w:r>
        <w:rPr>
          <w:lang w:val="en-GB"/>
        </w:rPr>
        <w:lastRenderedPageBreak/>
        <w:t>ratings for all the age groups combined (12, 14, 15, 16, and 17) in each programme, which allowed us to measure the effects throughout the programme. Between-groups comparisons were conducted using Welch’s t-test.</w:t>
      </w:r>
    </w:p>
    <w:p w14:paraId="01ACB760" w14:textId="4C383627" w:rsidR="00F42BE4" w:rsidRPr="00F42BE4" w:rsidRDefault="00F42BE4" w:rsidP="00F42BE4">
      <w:pPr>
        <w:pStyle w:val="lsSection4"/>
      </w:pPr>
      <w:r>
        <w:t>The unit of analysis</w:t>
      </w:r>
    </w:p>
    <w:p w14:paraId="10D58AC3" w14:textId="77777777" w:rsidR="00F42BE4" w:rsidRDefault="00F42BE4" w:rsidP="00F42BE4">
      <w:pPr>
        <w:rPr>
          <w:lang w:eastAsia="zh-CN"/>
        </w:rPr>
      </w:pPr>
      <w:r>
        <w:rPr>
          <w:lang w:val="en-GB"/>
        </w:rPr>
        <w:t xml:space="preserve">The main unit of analysis in our study is the sentence. Our scripts resulted in an average of 32 words (see Table 3), which made an analysis based on T-Units (Hunt 1965) too restraining, as this syntactic unit requires longer compositions to allow for a more substantive examination of how the units are conceived by the writer in terms of length and interrelations between clauses. Following Bardovi-Harlig (1992), this study adopts the sentence as the main syntactic unit in order to keep the author’s original textual/syntactic segmentation. </w:t>
      </w:r>
    </w:p>
    <w:p w14:paraId="6B39265E" w14:textId="77777777" w:rsidR="00F42BE4" w:rsidRDefault="00F42BE4" w:rsidP="00F42BE4">
      <w:r>
        <w:rPr>
          <w:lang w:val="en-GB"/>
        </w:rPr>
        <w:t xml:space="preserve">We followed the criteria for defining the sentence and the clause </w:t>
      </w:r>
      <w:r>
        <w:rPr>
          <w:color w:val="000000"/>
          <w:lang w:val="en-GB"/>
        </w:rPr>
        <w:t xml:space="preserve">established by </w:t>
      </w:r>
      <w:r>
        <w:rPr>
          <w:lang w:val="en-GB"/>
        </w:rPr>
        <w:t xml:space="preserve">Greenbaum &amp; Quirk (1990), Bardovi-Harlig (1992), Vyatkina (2012) and Bulté and Housen (2014). </w:t>
      </w:r>
      <w:r>
        <w:rPr>
          <w:color w:val="000000"/>
          <w:lang w:val="en-GB"/>
        </w:rPr>
        <w:t xml:space="preserve">We understand the sentence </w:t>
      </w:r>
      <w:r>
        <w:rPr>
          <w:lang w:val="en-GB"/>
        </w:rPr>
        <w:t>('S')</w:t>
      </w:r>
      <w:r>
        <w:rPr>
          <w:color w:val="000000"/>
          <w:lang w:val="en-GB"/>
        </w:rPr>
        <w:t xml:space="preserve"> as a ‘grammatically autonomous unit’ </w:t>
      </w:r>
      <w:r>
        <w:rPr>
          <w:lang w:val="en-GB"/>
        </w:rPr>
        <w:t xml:space="preserve">(Quirk, Greenbaum, Leech </w:t>
      </w:r>
      <w:r>
        <w:rPr>
          <w:rFonts w:eastAsia="Times New Roman"/>
          <w:bCs/>
          <w:lang w:eastAsia="es-ES" w:bidi="ar-SA"/>
        </w:rPr>
        <w:t xml:space="preserve">&amp; Svartvik </w:t>
      </w:r>
      <w:r>
        <w:rPr>
          <w:lang w:val="en-GB"/>
        </w:rPr>
        <w:t xml:space="preserve">1985: 78) having a subject, at least one conjugated verb and possible complements. In written texts, sentences are identified as those stretches of writing enclosed between two full stops, or between a full stop and a colon or semi-colon. </w:t>
      </w:r>
      <w:r>
        <w:rPr>
          <w:color w:val="262626"/>
          <w:shd w:val="clear" w:color="auto" w:fill="FFFFFF"/>
          <w:lang w:val="en-GB"/>
        </w:rPr>
        <w:t xml:space="preserve">The clauses </w:t>
      </w:r>
      <w:r>
        <w:rPr>
          <w:lang w:val="en-GB"/>
        </w:rPr>
        <w:t xml:space="preserve">(‘C’) are the units which combined together form different types of sentences: simple, compound and complex. They contain a subject and predicate and can be independent </w:t>
      </w:r>
      <w:r>
        <w:rPr>
          <w:color w:val="262626"/>
          <w:shd w:val="clear" w:color="auto" w:fill="FFFFFF"/>
          <w:lang w:val="en-GB"/>
        </w:rPr>
        <w:t>or dependent (subordinate</w:t>
      </w:r>
      <w:r>
        <w:rPr>
          <w:color w:val="000000"/>
          <w:shd w:val="clear" w:color="auto" w:fill="FFFFFF"/>
          <w:lang w:val="en-GB"/>
        </w:rPr>
        <w:t xml:space="preserve">). Likewise, according to </w:t>
      </w:r>
      <w:r>
        <w:rPr>
          <w:color w:val="000000"/>
          <w:lang w:val="en-GB"/>
        </w:rPr>
        <w:t>Bulté</w:t>
      </w:r>
      <w:r>
        <w:rPr>
          <w:lang w:val="en-GB"/>
        </w:rPr>
        <w:t xml:space="preserve"> and Housen (2014) “a</w:t>
      </w:r>
      <w:r>
        <w:rPr>
          <w:color w:val="000000"/>
        </w:rPr>
        <w:t xml:space="preserve"> sentence can also include two or more coordinated independent clauses and become longer by adding more coordinated and/or subordinated clauses, when their</w:t>
      </w:r>
      <w:r>
        <w:t xml:space="preserve"> constituent clause(s) contain more constituents and phrases, and when the phrases that make up these clauses contain </w:t>
      </w:r>
      <w:r>
        <w:rPr>
          <w:color w:val="000000"/>
        </w:rPr>
        <w:t>more words” (p. 49)</w:t>
      </w:r>
      <w:r>
        <w:rPr>
          <w:color w:val="000000"/>
          <w:lang w:val="en-GB"/>
        </w:rPr>
        <w:t xml:space="preserve">.  In contrast, </w:t>
      </w:r>
      <w:r>
        <w:rPr>
          <w:color w:val="000000"/>
          <w:lang w:val="en-GB" w:eastAsia="es-CO" w:bidi="ar-SA"/>
        </w:rPr>
        <w:t>a</w:t>
      </w:r>
      <w:r>
        <w:rPr>
          <w:color w:val="000000"/>
        </w:rPr>
        <w:t xml:space="preserve"> T-unit consists of one independent clause with all of its dependent (subordinate) clauses and they do not become longer when coordinated clauses are added. </w:t>
      </w:r>
    </w:p>
    <w:p w14:paraId="0A81C196" w14:textId="77777777" w:rsidR="00F42BE4" w:rsidRDefault="00F42BE4" w:rsidP="00F42BE4">
      <w:r>
        <w:rPr>
          <w:lang w:val="en-GB"/>
        </w:rPr>
        <w:t xml:space="preserve">The following excerpts are sentences derived from the data examined, and they serve to illustrate the segmentations applied for this study. T-Unit boundaries have also been marked (/). Sentence length differs between both subjects as does the amount of coordinated (Coord) and dependent clauses (DepC). L2-errors have been kept as in the original.  </w:t>
      </w:r>
    </w:p>
    <w:p w14:paraId="2EEC5E73" w14:textId="77777777" w:rsidR="00F42BE4" w:rsidRDefault="00F42BE4" w:rsidP="00F42BE4">
      <w:pPr>
        <w:pStyle w:val="lsEnumerated"/>
      </w:pPr>
      <w:r>
        <w:rPr>
          <w:szCs w:val="20"/>
          <w:lang w:val="en-GB"/>
        </w:rPr>
        <w:t>Excerpt 1</w:t>
      </w:r>
      <w:r>
        <w:rPr>
          <w:shd w:val="clear" w:color="auto" w:fill="FFFFFF"/>
        </w:rPr>
        <w:t xml:space="preserve">(Grade 10, Age 16, HI): </w:t>
      </w:r>
    </w:p>
    <w:p w14:paraId="5BD950A7" w14:textId="77777777" w:rsidR="00F42BE4" w:rsidRDefault="00F42BE4" w:rsidP="00F42BE4">
      <w:pPr>
        <w:pStyle w:val="lsConversationTranscript"/>
        <w:ind w:left="720"/>
        <w:rPr>
          <w:shd w:val="clear" w:color="auto" w:fill="FFFFFF"/>
        </w:rPr>
      </w:pPr>
      <w:r>
        <w:rPr>
          <w:b/>
          <w:shd w:val="clear" w:color="auto" w:fill="FFFFFF"/>
        </w:rPr>
        <w:lastRenderedPageBreak/>
        <w:t>1a.</w:t>
      </w:r>
      <w:r>
        <w:rPr>
          <w:shd w:val="clear" w:color="auto" w:fill="FFFFFF"/>
        </w:rPr>
        <w:t xml:space="preserve"> Ronald passed throw [= through]  the store and saw an announcement that says Boy Wanted, / so he decided to enter in the store and ask for the job. </w:t>
      </w:r>
    </w:p>
    <w:p w14:paraId="3CF03C24" w14:textId="2382613E" w:rsidR="00F42BE4" w:rsidRPr="00F42BE4" w:rsidRDefault="00F42BE4" w:rsidP="00F42BE4">
      <w:pPr>
        <w:ind w:left="720"/>
        <w:rPr>
          <w:b/>
        </w:rPr>
      </w:pPr>
      <w:r w:rsidRPr="00F42BE4">
        <w:rPr>
          <w:b/>
          <w:shd w:val="clear" w:color="auto" w:fill="FFFFFF"/>
        </w:rPr>
        <w:t xml:space="preserve">(1 S, 2 T-Units, 2 Coord, 1 DepC). </w:t>
      </w:r>
    </w:p>
    <w:p w14:paraId="56706A46" w14:textId="77777777" w:rsidR="00F42BE4" w:rsidRDefault="00F42BE4" w:rsidP="00F42BE4">
      <w:pPr>
        <w:pStyle w:val="lsConversationTranscript"/>
        <w:ind w:left="720"/>
        <w:rPr>
          <w:lang w:val="en-GB"/>
        </w:rPr>
      </w:pPr>
      <w:r>
        <w:rPr>
          <w:b/>
          <w:lang w:val="en-GB"/>
        </w:rPr>
        <w:t>1b.</w:t>
      </w:r>
      <w:r>
        <w:rPr>
          <w:lang w:val="en-GB"/>
        </w:rPr>
        <w:t xml:space="preserve"> When Ronald saw a beautiful girl in a table he was ashame of working as a clerk / so he went out of the bar and sat down as if he was a client. </w:t>
      </w:r>
    </w:p>
    <w:p w14:paraId="67400D2A" w14:textId="3AF7FB4C" w:rsidR="00F42BE4" w:rsidRPr="00F42BE4" w:rsidRDefault="00F42BE4" w:rsidP="00F42BE4">
      <w:pPr>
        <w:ind w:left="720"/>
        <w:rPr>
          <w:b/>
        </w:rPr>
      </w:pPr>
      <w:r w:rsidRPr="00F42BE4">
        <w:rPr>
          <w:b/>
          <w:shd w:val="clear" w:color="auto" w:fill="FFFFFF"/>
        </w:rPr>
        <w:t>(1 S, 2 T-Units, 2 Coord, 1 DepC).</w:t>
      </w:r>
    </w:p>
    <w:p w14:paraId="1F45E72A" w14:textId="77777777" w:rsidR="00F42BE4" w:rsidRDefault="00F42BE4" w:rsidP="00F42BE4">
      <w:pPr>
        <w:pStyle w:val="lsTable"/>
      </w:pPr>
      <w:r>
        <w:rPr>
          <w:i/>
          <w:sz w:val="22"/>
          <w:lang w:val="en-GB"/>
        </w:rPr>
        <w:t xml:space="preserve"> </w:t>
      </w:r>
    </w:p>
    <w:p w14:paraId="57C2071B" w14:textId="77777777" w:rsidR="00F42BE4" w:rsidRDefault="00F42BE4" w:rsidP="00F42BE4">
      <w:pPr>
        <w:pStyle w:val="lsEnumerated"/>
      </w:pPr>
      <w:r>
        <w:rPr>
          <w:szCs w:val="20"/>
          <w:lang w:val="en-GB"/>
        </w:rPr>
        <w:t xml:space="preserve">Excerpt 2 </w:t>
      </w:r>
      <w:r>
        <w:rPr>
          <w:shd w:val="clear" w:color="auto" w:fill="FFFFFF"/>
        </w:rPr>
        <w:t xml:space="preserve">(Grade 6, Age 12, HI+): </w:t>
      </w:r>
    </w:p>
    <w:p w14:paraId="14238645" w14:textId="77777777" w:rsidR="00F42BE4" w:rsidRDefault="00F42BE4" w:rsidP="00F42BE4">
      <w:pPr>
        <w:pStyle w:val="lsConversationTranscript"/>
        <w:ind w:left="720"/>
        <w:rPr>
          <w:lang w:val="en-GB"/>
        </w:rPr>
      </w:pPr>
      <w:r>
        <w:rPr>
          <w:b/>
          <w:lang w:val="en-GB"/>
        </w:rPr>
        <w:t>2a.</w:t>
      </w:r>
      <w:r>
        <w:rPr>
          <w:lang w:val="en-GB"/>
        </w:rPr>
        <w:t xml:space="preserve"> There was a man that get by train to a new city. </w:t>
      </w:r>
    </w:p>
    <w:p w14:paraId="49977046" w14:textId="05186691" w:rsidR="00F42BE4" w:rsidRDefault="00F42BE4" w:rsidP="00F42BE4">
      <w:pPr>
        <w:pStyle w:val="lsTable"/>
        <w:ind w:left="720"/>
      </w:pPr>
      <w:r>
        <w:rPr>
          <w:b/>
          <w:color w:val="000000"/>
          <w:sz w:val="22"/>
          <w:shd w:val="clear" w:color="auto" w:fill="FFFFFF"/>
        </w:rPr>
        <w:t>(1 S, 1 T-Unit, 1 DepC).</w:t>
      </w:r>
    </w:p>
    <w:p w14:paraId="6394A9BC" w14:textId="77777777" w:rsidR="00F42BE4" w:rsidRDefault="00F42BE4" w:rsidP="00F42BE4">
      <w:pPr>
        <w:pStyle w:val="lsConversationTranscript"/>
        <w:ind w:left="720"/>
        <w:rPr>
          <w:lang w:val="en-GB"/>
        </w:rPr>
      </w:pPr>
      <w:r>
        <w:rPr>
          <w:b/>
          <w:lang w:val="en-GB"/>
        </w:rPr>
        <w:t>2b.</w:t>
      </w:r>
      <w:r>
        <w:rPr>
          <w:lang w:val="en-GB"/>
        </w:rPr>
        <w:t xml:space="preserve"> he don't have the good cordination to do it /so he say* that he cannot do it again and he go*. </w:t>
      </w:r>
    </w:p>
    <w:p w14:paraId="0E607BC3" w14:textId="5ADC8114" w:rsidR="00F42BE4" w:rsidRDefault="00F42BE4" w:rsidP="00F42BE4">
      <w:pPr>
        <w:pStyle w:val="lsTable"/>
        <w:ind w:left="720"/>
        <w:rPr>
          <w:b/>
          <w:color w:val="000000"/>
          <w:sz w:val="22"/>
          <w:shd w:val="clear" w:color="auto" w:fill="FFFFFF"/>
        </w:rPr>
      </w:pPr>
      <w:r>
        <w:rPr>
          <w:b/>
          <w:color w:val="000000"/>
          <w:sz w:val="22"/>
          <w:shd w:val="clear" w:color="auto" w:fill="FFFFFF"/>
        </w:rPr>
        <w:t xml:space="preserve">(1 S, 2 T-Units, 2 Coord, 1 DepC). </w:t>
      </w:r>
    </w:p>
    <w:p w14:paraId="5850C29E" w14:textId="77777777" w:rsidR="00F42BE4" w:rsidRPr="00F42BE4" w:rsidRDefault="00F42BE4" w:rsidP="00F42BE4">
      <w:pPr>
        <w:pStyle w:val="lsTable"/>
        <w:ind w:left="720"/>
      </w:pPr>
    </w:p>
    <w:p w14:paraId="79E5DB60" w14:textId="4261E5C9" w:rsidR="00F42BE4" w:rsidRPr="00F42BE4" w:rsidRDefault="00F42BE4" w:rsidP="00F42BE4">
      <w:pPr>
        <w:rPr>
          <w:rFonts w:ascii="Calibri" w:hAnsi="Calibri"/>
          <w:color w:val="00000A"/>
          <w:szCs w:val="20"/>
          <w:lang w:val="es-CO"/>
        </w:rPr>
      </w:pPr>
      <w:r>
        <w:rPr>
          <w:color w:val="000000"/>
        </w:rPr>
        <w:t>Based on this analysis, t</w:t>
      </w:r>
      <w:r>
        <w:rPr>
          <w:color w:val="000000"/>
          <w:lang w:val="en-GB"/>
        </w:rPr>
        <w:t xml:space="preserve">he </w:t>
      </w:r>
      <w:r>
        <w:rPr>
          <w:lang w:val="en-GB"/>
        </w:rPr>
        <w:t xml:space="preserve">scripts examined for this study were fairly short, as shown in Table 3, with an average of 32 words, 5 sentences, and 11 clauses. </w:t>
      </w:r>
    </w:p>
    <w:tbl>
      <w:tblPr>
        <w:tblW w:w="0" w:type="auto"/>
        <w:tblInd w:w="70" w:type="dxa"/>
        <w:tblLayout w:type="fixed"/>
        <w:tblCellMar>
          <w:left w:w="70" w:type="dxa"/>
          <w:right w:w="70" w:type="dxa"/>
        </w:tblCellMar>
        <w:tblLook w:val="04A0" w:firstRow="1" w:lastRow="0" w:firstColumn="1" w:lastColumn="0" w:noHBand="0" w:noVBand="1"/>
      </w:tblPr>
      <w:tblGrid>
        <w:gridCol w:w="834"/>
        <w:gridCol w:w="1140"/>
        <w:gridCol w:w="1514"/>
        <w:gridCol w:w="1247"/>
        <w:gridCol w:w="1434"/>
      </w:tblGrid>
      <w:tr w:rsidR="00F42BE4" w:rsidRPr="00F42BE4" w14:paraId="0598FAB5" w14:textId="77777777" w:rsidTr="00F42BE4">
        <w:trPr>
          <w:trHeight w:val="787"/>
        </w:trPr>
        <w:tc>
          <w:tcPr>
            <w:tcW w:w="834" w:type="dxa"/>
            <w:tcBorders>
              <w:top w:val="nil"/>
              <w:left w:val="nil"/>
              <w:bottom w:val="single" w:sz="4" w:space="0" w:color="000001"/>
              <w:right w:val="nil"/>
            </w:tcBorders>
            <w:vAlign w:val="bottom"/>
            <w:hideMark/>
          </w:tcPr>
          <w:p w14:paraId="6EA0D1BE" w14:textId="77777777" w:rsidR="00F42BE4" w:rsidRPr="00F42BE4" w:rsidRDefault="00F42BE4" w:rsidP="00F42BE4">
            <w:pPr>
              <w:pStyle w:val="lsTableHeading"/>
            </w:pPr>
            <w:r w:rsidRPr="00F42BE4">
              <w:t>Words</w:t>
            </w:r>
          </w:p>
        </w:tc>
        <w:tc>
          <w:tcPr>
            <w:tcW w:w="1140" w:type="dxa"/>
            <w:tcBorders>
              <w:top w:val="nil"/>
              <w:left w:val="nil"/>
              <w:bottom w:val="single" w:sz="4" w:space="0" w:color="000001"/>
              <w:right w:val="nil"/>
            </w:tcBorders>
            <w:vAlign w:val="bottom"/>
            <w:hideMark/>
          </w:tcPr>
          <w:p w14:paraId="2A9B4795" w14:textId="77777777" w:rsidR="00F42BE4" w:rsidRPr="00F42BE4" w:rsidRDefault="00F42BE4" w:rsidP="00F42BE4">
            <w:pPr>
              <w:pStyle w:val="lsTableHeading"/>
            </w:pPr>
            <w:r w:rsidRPr="00F42BE4">
              <w:t>Sentences</w:t>
            </w:r>
          </w:p>
        </w:tc>
        <w:tc>
          <w:tcPr>
            <w:tcW w:w="1514" w:type="dxa"/>
            <w:tcBorders>
              <w:top w:val="nil"/>
              <w:left w:val="nil"/>
              <w:bottom w:val="single" w:sz="4" w:space="0" w:color="000001"/>
              <w:right w:val="nil"/>
            </w:tcBorders>
            <w:vAlign w:val="bottom"/>
            <w:hideMark/>
          </w:tcPr>
          <w:p w14:paraId="2215E5CA" w14:textId="77777777" w:rsidR="00F42BE4" w:rsidRPr="00F42BE4" w:rsidRDefault="00F42BE4" w:rsidP="00F42BE4">
            <w:pPr>
              <w:pStyle w:val="lsTableHeading"/>
            </w:pPr>
            <w:r w:rsidRPr="00F42BE4">
              <w:t>Coordination</w:t>
            </w:r>
          </w:p>
        </w:tc>
        <w:tc>
          <w:tcPr>
            <w:tcW w:w="1247" w:type="dxa"/>
            <w:tcBorders>
              <w:top w:val="nil"/>
              <w:left w:val="nil"/>
              <w:bottom w:val="single" w:sz="4" w:space="0" w:color="000001"/>
              <w:right w:val="nil"/>
            </w:tcBorders>
            <w:vAlign w:val="bottom"/>
            <w:hideMark/>
          </w:tcPr>
          <w:p w14:paraId="3D1D34E0" w14:textId="77777777" w:rsidR="00F42BE4" w:rsidRPr="00F42BE4" w:rsidRDefault="00F42BE4" w:rsidP="00F42BE4">
            <w:pPr>
              <w:pStyle w:val="lsTableHeading"/>
            </w:pPr>
            <w:r w:rsidRPr="00F42BE4">
              <w:t>Dependent</w:t>
            </w:r>
          </w:p>
          <w:p w14:paraId="24823B96" w14:textId="77777777" w:rsidR="00F42BE4" w:rsidRPr="00F42BE4" w:rsidRDefault="00F42BE4" w:rsidP="00F42BE4">
            <w:pPr>
              <w:pStyle w:val="lsTableHeading"/>
            </w:pPr>
            <w:r w:rsidRPr="00F42BE4">
              <w:t>Clauses</w:t>
            </w:r>
          </w:p>
        </w:tc>
        <w:tc>
          <w:tcPr>
            <w:tcW w:w="1434" w:type="dxa"/>
            <w:tcBorders>
              <w:top w:val="nil"/>
              <w:left w:val="nil"/>
              <w:bottom w:val="single" w:sz="4" w:space="0" w:color="000001"/>
              <w:right w:val="nil"/>
            </w:tcBorders>
            <w:vAlign w:val="bottom"/>
            <w:hideMark/>
          </w:tcPr>
          <w:p w14:paraId="3334A489" w14:textId="77777777" w:rsidR="00F42BE4" w:rsidRPr="00F42BE4" w:rsidRDefault="00F42BE4" w:rsidP="00F42BE4">
            <w:pPr>
              <w:pStyle w:val="lsTableHeading"/>
            </w:pPr>
            <w:r w:rsidRPr="00F42BE4">
              <w:t>Independent Clauses</w:t>
            </w:r>
          </w:p>
        </w:tc>
      </w:tr>
      <w:tr w:rsidR="00F42BE4" w:rsidRPr="00F42BE4" w14:paraId="1AE0CEFC" w14:textId="77777777" w:rsidTr="00F42BE4">
        <w:trPr>
          <w:trHeight w:val="240"/>
        </w:trPr>
        <w:tc>
          <w:tcPr>
            <w:tcW w:w="834" w:type="dxa"/>
            <w:tcBorders>
              <w:top w:val="single" w:sz="4" w:space="0" w:color="000001"/>
              <w:left w:val="nil"/>
              <w:bottom w:val="single" w:sz="4" w:space="0" w:color="000001"/>
              <w:right w:val="nil"/>
            </w:tcBorders>
            <w:vAlign w:val="bottom"/>
            <w:hideMark/>
          </w:tcPr>
          <w:p w14:paraId="58D6AA8C" w14:textId="77777777" w:rsidR="00F42BE4" w:rsidRPr="00F42BE4" w:rsidRDefault="00F42BE4" w:rsidP="00F42BE4">
            <w:pPr>
              <w:pStyle w:val="lsTable"/>
            </w:pPr>
            <w:r w:rsidRPr="00F42BE4">
              <w:t>31.54</w:t>
            </w:r>
          </w:p>
        </w:tc>
        <w:tc>
          <w:tcPr>
            <w:tcW w:w="1140" w:type="dxa"/>
            <w:tcBorders>
              <w:top w:val="single" w:sz="4" w:space="0" w:color="000001"/>
              <w:left w:val="nil"/>
              <w:bottom w:val="single" w:sz="4" w:space="0" w:color="000001"/>
              <w:right w:val="nil"/>
            </w:tcBorders>
            <w:vAlign w:val="bottom"/>
            <w:hideMark/>
          </w:tcPr>
          <w:p w14:paraId="3E59B0EC" w14:textId="77777777" w:rsidR="00F42BE4" w:rsidRPr="00F42BE4" w:rsidRDefault="00F42BE4" w:rsidP="00F42BE4">
            <w:pPr>
              <w:pStyle w:val="lsTable"/>
            </w:pPr>
            <w:r w:rsidRPr="00F42BE4">
              <w:t>4.98</w:t>
            </w:r>
          </w:p>
        </w:tc>
        <w:tc>
          <w:tcPr>
            <w:tcW w:w="1514" w:type="dxa"/>
            <w:tcBorders>
              <w:top w:val="single" w:sz="4" w:space="0" w:color="000001"/>
              <w:left w:val="nil"/>
              <w:bottom w:val="single" w:sz="4" w:space="0" w:color="000001"/>
              <w:right w:val="nil"/>
            </w:tcBorders>
            <w:vAlign w:val="bottom"/>
            <w:hideMark/>
          </w:tcPr>
          <w:p w14:paraId="11E53570" w14:textId="77777777" w:rsidR="00F42BE4" w:rsidRPr="00F42BE4" w:rsidRDefault="00F42BE4" w:rsidP="00F42BE4">
            <w:pPr>
              <w:pStyle w:val="lsTable"/>
            </w:pPr>
            <w:r w:rsidRPr="00F42BE4">
              <w:t>3.23</w:t>
            </w:r>
          </w:p>
        </w:tc>
        <w:tc>
          <w:tcPr>
            <w:tcW w:w="1247" w:type="dxa"/>
            <w:tcBorders>
              <w:top w:val="single" w:sz="4" w:space="0" w:color="000001"/>
              <w:left w:val="nil"/>
              <w:bottom w:val="single" w:sz="4" w:space="0" w:color="000001"/>
              <w:right w:val="nil"/>
            </w:tcBorders>
            <w:vAlign w:val="bottom"/>
            <w:hideMark/>
          </w:tcPr>
          <w:p w14:paraId="213FCC27" w14:textId="77777777" w:rsidR="00F42BE4" w:rsidRPr="00F42BE4" w:rsidRDefault="00F42BE4" w:rsidP="00F42BE4">
            <w:pPr>
              <w:pStyle w:val="lsTable"/>
            </w:pPr>
            <w:r w:rsidRPr="00F42BE4">
              <w:t>4.29</w:t>
            </w:r>
          </w:p>
        </w:tc>
        <w:tc>
          <w:tcPr>
            <w:tcW w:w="1434" w:type="dxa"/>
            <w:tcBorders>
              <w:top w:val="single" w:sz="4" w:space="0" w:color="000001"/>
              <w:left w:val="nil"/>
              <w:bottom w:val="single" w:sz="4" w:space="0" w:color="000001"/>
              <w:right w:val="nil"/>
            </w:tcBorders>
            <w:vAlign w:val="bottom"/>
            <w:hideMark/>
          </w:tcPr>
          <w:p w14:paraId="2787AC11" w14:textId="77777777" w:rsidR="00F42BE4" w:rsidRPr="00F42BE4" w:rsidRDefault="00F42BE4" w:rsidP="00F42BE4">
            <w:pPr>
              <w:pStyle w:val="lsTable"/>
            </w:pPr>
            <w:r w:rsidRPr="00F42BE4">
              <w:t>10.51</w:t>
            </w:r>
          </w:p>
        </w:tc>
      </w:tr>
    </w:tbl>
    <w:p w14:paraId="159000F6" w14:textId="4DFA27C2" w:rsidR="00F42BE4" w:rsidRPr="00CC6315" w:rsidRDefault="00F42BE4" w:rsidP="00CC6315">
      <w:pPr>
        <w:rPr>
          <w:i/>
        </w:rPr>
      </w:pPr>
      <w:r w:rsidRPr="00CC6315">
        <w:rPr>
          <w:i/>
          <w:lang w:val="en-GB"/>
        </w:rPr>
        <w:t>Table 3: Main descriptive statistics for the whole corpus</w:t>
      </w:r>
    </w:p>
    <w:p w14:paraId="18EB45EA" w14:textId="058FE39F" w:rsidR="00F42BE4" w:rsidRDefault="00F42BE4" w:rsidP="00D557AC">
      <w:pPr>
        <w:pStyle w:val="lsSection4"/>
      </w:pPr>
      <w:r>
        <w:t>CAF measures</w:t>
      </w:r>
    </w:p>
    <w:p w14:paraId="4BFAF847" w14:textId="77777777" w:rsidR="00F42BE4" w:rsidRDefault="00F42BE4" w:rsidP="00F42BE4">
      <w:pPr>
        <w:rPr>
          <w:lang w:eastAsia="zh-CN"/>
        </w:rPr>
      </w:pPr>
      <w:r>
        <w:rPr>
          <w:lang w:val="en-GB"/>
        </w:rPr>
        <w:t xml:space="preserve">A total of nine measures, in the form of frequencies, means, and ratios, were examined in this study to account for complexity (syntactic and lexical), accuracy (use of L2 target parameters) and fluency (quantity of words). Table 4 presents the summary of the </w:t>
      </w:r>
      <w:r>
        <w:rPr>
          <w:lang w:val="en-GB"/>
        </w:rPr>
        <w:lastRenderedPageBreak/>
        <w:t xml:space="preserve">measures adopted. </w:t>
      </w:r>
    </w:p>
    <w:tbl>
      <w:tblPr>
        <w:tblW w:w="0" w:type="auto"/>
        <w:tblInd w:w="534" w:type="dxa"/>
        <w:tblLayout w:type="fixed"/>
        <w:tblLook w:val="04A0" w:firstRow="1" w:lastRow="0" w:firstColumn="1" w:lastColumn="0" w:noHBand="0" w:noVBand="1"/>
      </w:tblPr>
      <w:tblGrid>
        <w:gridCol w:w="1416"/>
        <w:gridCol w:w="1418"/>
        <w:gridCol w:w="3260"/>
      </w:tblGrid>
      <w:tr w:rsidR="00F42BE4" w14:paraId="7A9FF975" w14:textId="77777777" w:rsidTr="00CC6315">
        <w:trPr>
          <w:trHeight w:val="23"/>
        </w:trPr>
        <w:tc>
          <w:tcPr>
            <w:tcW w:w="1416" w:type="dxa"/>
            <w:tcBorders>
              <w:top w:val="nil"/>
              <w:left w:val="nil"/>
              <w:bottom w:val="single" w:sz="12" w:space="0" w:color="000001"/>
              <w:right w:val="nil"/>
            </w:tcBorders>
            <w:hideMark/>
          </w:tcPr>
          <w:p w14:paraId="441526C3" w14:textId="77777777" w:rsidR="00F42BE4" w:rsidRDefault="00F42BE4" w:rsidP="00F42BE4">
            <w:pPr>
              <w:pStyle w:val="lsTableHeading"/>
              <w:rPr>
                <w:lang w:eastAsia="zh-CN"/>
              </w:rPr>
            </w:pPr>
            <w:r>
              <w:rPr>
                <w:lang w:val="en-GB"/>
              </w:rPr>
              <w:t>Domain</w:t>
            </w:r>
          </w:p>
        </w:tc>
        <w:tc>
          <w:tcPr>
            <w:tcW w:w="1418" w:type="dxa"/>
            <w:tcBorders>
              <w:top w:val="nil"/>
              <w:left w:val="nil"/>
              <w:bottom w:val="single" w:sz="12" w:space="0" w:color="000001"/>
              <w:right w:val="nil"/>
            </w:tcBorders>
            <w:hideMark/>
          </w:tcPr>
          <w:p w14:paraId="7A7CDF54" w14:textId="77777777" w:rsidR="00F42BE4" w:rsidRDefault="00F42BE4" w:rsidP="00F42BE4">
            <w:pPr>
              <w:pStyle w:val="lsTableHeading"/>
            </w:pPr>
            <w:r>
              <w:rPr>
                <w:lang w:val="en-GB"/>
              </w:rPr>
              <w:t>Subdomain</w:t>
            </w:r>
          </w:p>
        </w:tc>
        <w:tc>
          <w:tcPr>
            <w:tcW w:w="3260" w:type="dxa"/>
            <w:tcBorders>
              <w:top w:val="nil"/>
              <w:left w:val="nil"/>
              <w:bottom w:val="single" w:sz="12" w:space="0" w:color="000001"/>
              <w:right w:val="nil"/>
            </w:tcBorders>
            <w:vAlign w:val="center"/>
            <w:hideMark/>
          </w:tcPr>
          <w:p w14:paraId="23908736" w14:textId="77777777" w:rsidR="00F42BE4" w:rsidRDefault="00F42BE4" w:rsidP="00F42BE4">
            <w:pPr>
              <w:pStyle w:val="lsTableHeading"/>
            </w:pPr>
            <w:r>
              <w:rPr>
                <w:lang w:val="en-GB"/>
              </w:rPr>
              <w:t>Measures</w:t>
            </w:r>
          </w:p>
        </w:tc>
      </w:tr>
      <w:tr w:rsidR="00F42BE4" w14:paraId="300FAA3D" w14:textId="77777777" w:rsidTr="00CC6315">
        <w:trPr>
          <w:cantSplit/>
          <w:trHeight w:val="23"/>
        </w:trPr>
        <w:tc>
          <w:tcPr>
            <w:tcW w:w="1416" w:type="dxa"/>
            <w:tcBorders>
              <w:top w:val="single" w:sz="12" w:space="0" w:color="000001"/>
              <w:left w:val="nil"/>
              <w:bottom w:val="nil"/>
              <w:right w:val="nil"/>
            </w:tcBorders>
            <w:hideMark/>
          </w:tcPr>
          <w:p w14:paraId="6631EB59" w14:textId="77777777" w:rsidR="00F42BE4" w:rsidRDefault="00F42BE4" w:rsidP="00F42BE4">
            <w:pPr>
              <w:pStyle w:val="lsTableHeading"/>
            </w:pPr>
            <w:r>
              <w:rPr>
                <w:lang w:val="en-GB"/>
              </w:rPr>
              <w:t>Complexity</w:t>
            </w:r>
          </w:p>
        </w:tc>
        <w:tc>
          <w:tcPr>
            <w:tcW w:w="1418" w:type="dxa"/>
            <w:vMerge w:val="restart"/>
            <w:tcBorders>
              <w:top w:val="single" w:sz="12" w:space="0" w:color="000001"/>
              <w:left w:val="nil"/>
              <w:bottom w:val="nil"/>
              <w:right w:val="nil"/>
            </w:tcBorders>
            <w:hideMark/>
          </w:tcPr>
          <w:p w14:paraId="241E9A43" w14:textId="77777777" w:rsidR="00F42BE4" w:rsidRDefault="00F42BE4" w:rsidP="00F42BE4">
            <w:pPr>
              <w:pStyle w:val="lsTableHeading"/>
            </w:pPr>
            <w:r>
              <w:rPr>
                <w:lang w:val="en-GB"/>
              </w:rPr>
              <w:t>Syntactic</w:t>
            </w:r>
          </w:p>
        </w:tc>
        <w:tc>
          <w:tcPr>
            <w:tcW w:w="3260" w:type="dxa"/>
            <w:tcBorders>
              <w:top w:val="single" w:sz="12" w:space="0" w:color="000001"/>
              <w:left w:val="nil"/>
              <w:bottom w:val="nil"/>
              <w:right w:val="nil"/>
            </w:tcBorders>
            <w:hideMark/>
          </w:tcPr>
          <w:p w14:paraId="4510C984" w14:textId="77777777" w:rsidR="00F42BE4" w:rsidRDefault="00F42BE4" w:rsidP="00F42BE4">
            <w:pPr>
              <w:pStyle w:val="lsTable"/>
            </w:pPr>
            <w:r>
              <w:rPr>
                <w:lang w:val="en-GB"/>
              </w:rPr>
              <w:t>Independent Clauses per Sentence (IndepCS)</w:t>
            </w:r>
          </w:p>
        </w:tc>
      </w:tr>
      <w:tr w:rsidR="00F42BE4" w14:paraId="20FDDA68" w14:textId="77777777" w:rsidTr="00F42BE4">
        <w:trPr>
          <w:cantSplit/>
          <w:trHeight w:val="373"/>
        </w:trPr>
        <w:tc>
          <w:tcPr>
            <w:tcW w:w="1416" w:type="dxa"/>
          </w:tcPr>
          <w:p w14:paraId="6402C578" w14:textId="77777777" w:rsidR="00F42BE4" w:rsidRDefault="00F42BE4" w:rsidP="00F42BE4">
            <w:pPr>
              <w:pStyle w:val="lsTableHeading"/>
              <w:rPr>
                <w:lang w:val="en-GB"/>
              </w:rPr>
            </w:pPr>
          </w:p>
        </w:tc>
        <w:tc>
          <w:tcPr>
            <w:tcW w:w="1418" w:type="dxa"/>
            <w:vMerge/>
            <w:tcBorders>
              <w:top w:val="single" w:sz="4" w:space="0" w:color="000001"/>
              <w:left w:val="nil"/>
              <w:bottom w:val="nil"/>
              <w:right w:val="nil"/>
            </w:tcBorders>
            <w:vAlign w:val="center"/>
            <w:hideMark/>
          </w:tcPr>
          <w:p w14:paraId="595E683B" w14:textId="77777777" w:rsidR="00F42BE4" w:rsidRDefault="00F42BE4" w:rsidP="00F42BE4">
            <w:pPr>
              <w:pStyle w:val="lsTableHeading"/>
              <w:rPr>
                <w:color w:val="00000A"/>
                <w:lang w:eastAsia="zh-CN"/>
              </w:rPr>
            </w:pPr>
          </w:p>
        </w:tc>
        <w:tc>
          <w:tcPr>
            <w:tcW w:w="3260" w:type="dxa"/>
            <w:hideMark/>
          </w:tcPr>
          <w:p w14:paraId="15D17EE5" w14:textId="77777777" w:rsidR="00F42BE4" w:rsidRDefault="00F42BE4" w:rsidP="00F42BE4">
            <w:pPr>
              <w:pStyle w:val="lsTable"/>
              <w:rPr>
                <w:color w:val="00000A"/>
              </w:rPr>
            </w:pPr>
            <w:r>
              <w:rPr>
                <w:lang w:val="en-GB"/>
              </w:rPr>
              <w:t>Coordinated Clause Ratio (CoordCRatio)</w:t>
            </w:r>
          </w:p>
        </w:tc>
      </w:tr>
      <w:tr w:rsidR="00F42BE4" w14:paraId="4EE23CCB" w14:textId="77777777" w:rsidTr="00CC6315">
        <w:trPr>
          <w:trHeight w:val="23"/>
        </w:trPr>
        <w:tc>
          <w:tcPr>
            <w:tcW w:w="1416" w:type="dxa"/>
          </w:tcPr>
          <w:p w14:paraId="45B078A2" w14:textId="77777777" w:rsidR="00F42BE4" w:rsidRDefault="00F42BE4" w:rsidP="00F42BE4">
            <w:pPr>
              <w:pStyle w:val="lsTableHeading"/>
              <w:rPr>
                <w:lang w:val="en-GB"/>
              </w:rPr>
            </w:pPr>
          </w:p>
        </w:tc>
        <w:tc>
          <w:tcPr>
            <w:tcW w:w="1418" w:type="dxa"/>
            <w:tcBorders>
              <w:bottom w:val="single" w:sz="4" w:space="0" w:color="auto"/>
            </w:tcBorders>
          </w:tcPr>
          <w:p w14:paraId="1E10C92D" w14:textId="77777777" w:rsidR="00F42BE4" w:rsidRDefault="00F42BE4" w:rsidP="00F42BE4">
            <w:pPr>
              <w:pStyle w:val="lsTableHeading"/>
              <w:rPr>
                <w:lang w:val="en-GB"/>
              </w:rPr>
            </w:pPr>
          </w:p>
        </w:tc>
        <w:tc>
          <w:tcPr>
            <w:tcW w:w="3260" w:type="dxa"/>
            <w:tcBorders>
              <w:bottom w:val="single" w:sz="4" w:space="0" w:color="auto"/>
            </w:tcBorders>
            <w:hideMark/>
          </w:tcPr>
          <w:p w14:paraId="05029386" w14:textId="77777777" w:rsidR="00F42BE4" w:rsidRDefault="00F42BE4" w:rsidP="00F42BE4">
            <w:pPr>
              <w:pStyle w:val="lsTable"/>
              <w:rPr>
                <w:color w:val="00000A"/>
              </w:rPr>
            </w:pPr>
            <w:r>
              <w:rPr>
                <w:lang w:val="en-GB"/>
              </w:rPr>
              <w:t>Dependent Clauses (DepC)</w:t>
            </w:r>
          </w:p>
        </w:tc>
      </w:tr>
      <w:tr w:rsidR="00F42BE4" w14:paraId="774F0382" w14:textId="77777777" w:rsidTr="00CC6315">
        <w:trPr>
          <w:trHeight w:val="23"/>
        </w:trPr>
        <w:tc>
          <w:tcPr>
            <w:tcW w:w="1416" w:type="dxa"/>
          </w:tcPr>
          <w:p w14:paraId="58430BAA" w14:textId="77777777" w:rsidR="00F42BE4" w:rsidRDefault="00F42BE4" w:rsidP="00F42BE4">
            <w:pPr>
              <w:pStyle w:val="lsTableHeading"/>
              <w:rPr>
                <w:lang w:val="en-GB"/>
              </w:rPr>
            </w:pPr>
          </w:p>
        </w:tc>
        <w:tc>
          <w:tcPr>
            <w:tcW w:w="1418" w:type="dxa"/>
            <w:tcBorders>
              <w:top w:val="single" w:sz="4" w:space="0" w:color="auto"/>
            </w:tcBorders>
            <w:hideMark/>
          </w:tcPr>
          <w:p w14:paraId="1F236362" w14:textId="77777777" w:rsidR="00F42BE4" w:rsidRDefault="00F42BE4" w:rsidP="00F42BE4">
            <w:pPr>
              <w:pStyle w:val="lsTableHeading"/>
              <w:rPr>
                <w:color w:val="00000A"/>
              </w:rPr>
            </w:pPr>
            <w:r>
              <w:rPr>
                <w:lang w:val="en-GB"/>
              </w:rPr>
              <w:t>Lexical</w:t>
            </w:r>
          </w:p>
        </w:tc>
        <w:tc>
          <w:tcPr>
            <w:tcW w:w="3260" w:type="dxa"/>
            <w:tcBorders>
              <w:top w:val="single" w:sz="4" w:space="0" w:color="auto"/>
            </w:tcBorders>
            <w:hideMark/>
          </w:tcPr>
          <w:p w14:paraId="2BA86C49" w14:textId="77777777" w:rsidR="00F42BE4" w:rsidRDefault="00F42BE4" w:rsidP="00F42BE4">
            <w:pPr>
              <w:pStyle w:val="lsTable"/>
            </w:pPr>
            <w:r>
              <w:rPr>
                <w:lang w:val="en-GB"/>
              </w:rPr>
              <w:t>Guiraud’s Index</w:t>
            </w:r>
          </w:p>
        </w:tc>
      </w:tr>
      <w:tr w:rsidR="00F42BE4" w14:paraId="71078BC8" w14:textId="77777777" w:rsidTr="00CC6315">
        <w:trPr>
          <w:trHeight w:val="23"/>
        </w:trPr>
        <w:tc>
          <w:tcPr>
            <w:tcW w:w="1416" w:type="dxa"/>
            <w:tcBorders>
              <w:bottom w:val="single" w:sz="4" w:space="0" w:color="auto"/>
            </w:tcBorders>
          </w:tcPr>
          <w:p w14:paraId="2D468E02" w14:textId="77777777" w:rsidR="00F42BE4" w:rsidRDefault="00F42BE4" w:rsidP="00F42BE4">
            <w:pPr>
              <w:pStyle w:val="lsTableHeading"/>
              <w:rPr>
                <w:lang w:val="en-GB"/>
              </w:rPr>
            </w:pPr>
          </w:p>
        </w:tc>
        <w:tc>
          <w:tcPr>
            <w:tcW w:w="1418" w:type="dxa"/>
            <w:tcBorders>
              <w:bottom w:val="single" w:sz="4" w:space="0" w:color="auto"/>
            </w:tcBorders>
          </w:tcPr>
          <w:p w14:paraId="06C2BF44" w14:textId="77777777" w:rsidR="00F42BE4" w:rsidRDefault="00F42BE4" w:rsidP="00F42BE4">
            <w:pPr>
              <w:pStyle w:val="lsTableHeading"/>
              <w:rPr>
                <w:lang w:val="en-GB"/>
              </w:rPr>
            </w:pPr>
          </w:p>
        </w:tc>
        <w:tc>
          <w:tcPr>
            <w:tcW w:w="3260" w:type="dxa"/>
            <w:tcBorders>
              <w:bottom w:val="single" w:sz="4" w:space="0" w:color="auto"/>
            </w:tcBorders>
            <w:hideMark/>
          </w:tcPr>
          <w:p w14:paraId="783053B0" w14:textId="77777777" w:rsidR="00F42BE4" w:rsidRDefault="00F42BE4" w:rsidP="00F42BE4">
            <w:pPr>
              <w:pStyle w:val="lsTable"/>
              <w:rPr>
                <w:color w:val="00000A"/>
              </w:rPr>
            </w:pPr>
            <w:r>
              <w:rPr>
                <w:lang w:val="en-GB"/>
              </w:rPr>
              <w:t>D</w:t>
            </w:r>
          </w:p>
        </w:tc>
      </w:tr>
      <w:tr w:rsidR="00F42BE4" w14:paraId="51E0020F" w14:textId="77777777" w:rsidTr="00CC6315">
        <w:trPr>
          <w:trHeight w:val="23"/>
        </w:trPr>
        <w:tc>
          <w:tcPr>
            <w:tcW w:w="1416" w:type="dxa"/>
            <w:tcBorders>
              <w:top w:val="single" w:sz="4" w:space="0" w:color="auto"/>
            </w:tcBorders>
            <w:hideMark/>
          </w:tcPr>
          <w:p w14:paraId="498A79CE" w14:textId="77777777" w:rsidR="00F42BE4" w:rsidRDefault="00F42BE4" w:rsidP="00F42BE4">
            <w:pPr>
              <w:pStyle w:val="lsTableHeading"/>
            </w:pPr>
            <w:r>
              <w:rPr>
                <w:lang w:val="en-GB"/>
              </w:rPr>
              <w:t>Accuracy</w:t>
            </w:r>
          </w:p>
        </w:tc>
        <w:tc>
          <w:tcPr>
            <w:tcW w:w="1418" w:type="dxa"/>
            <w:tcBorders>
              <w:top w:val="single" w:sz="4" w:space="0" w:color="auto"/>
            </w:tcBorders>
          </w:tcPr>
          <w:p w14:paraId="606FC14E" w14:textId="77777777" w:rsidR="00F42BE4" w:rsidRDefault="00F42BE4" w:rsidP="00F42BE4">
            <w:pPr>
              <w:pStyle w:val="lsTableHeading"/>
              <w:rPr>
                <w:lang w:val="en-GB"/>
              </w:rPr>
            </w:pPr>
          </w:p>
        </w:tc>
        <w:tc>
          <w:tcPr>
            <w:tcW w:w="3260" w:type="dxa"/>
            <w:tcBorders>
              <w:top w:val="single" w:sz="4" w:space="0" w:color="auto"/>
            </w:tcBorders>
            <w:hideMark/>
          </w:tcPr>
          <w:p w14:paraId="3A57B5A3" w14:textId="77777777" w:rsidR="00F42BE4" w:rsidRDefault="00F42BE4" w:rsidP="00F42BE4">
            <w:pPr>
              <w:pStyle w:val="lsTable"/>
              <w:rPr>
                <w:color w:val="00000A"/>
              </w:rPr>
            </w:pPr>
            <w:r>
              <w:rPr>
                <w:lang w:val="en-GB"/>
              </w:rPr>
              <w:t>Errors per 100 Words</w:t>
            </w:r>
          </w:p>
        </w:tc>
      </w:tr>
      <w:tr w:rsidR="00F42BE4" w14:paraId="61F5369B" w14:textId="77777777" w:rsidTr="00CC6315">
        <w:trPr>
          <w:trHeight w:val="23"/>
        </w:trPr>
        <w:tc>
          <w:tcPr>
            <w:tcW w:w="1416" w:type="dxa"/>
            <w:tcBorders>
              <w:bottom w:val="single" w:sz="4" w:space="0" w:color="auto"/>
            </w:tcBorders>
          </w:tcPr>
          <w:p w14:paraId="19BBDD1B" w14:textId="77777777" w:rsidR="00F42BE4" w:rsidRDefault="00F42BE4" w:rsidP="00F42BE4">
            <w:pPr>
              <w:pStyle w:val="lsTableHeading"/>
              <w:rPr>
                <w:lang w:val="en-GB"/>
              </w:rPr>
            </w:pPr>
          </w:p>
        </w:tc>
        <w:tc>
          <w:tcPr>
            <w:tcW w:w="1418" w:type="dxa"/>
            <w:tcBorders>
              <w:bottom w:val="single" w:sz="4" w:space="0" w:color="auto"/>
            </w:tcBorders>
          </w:tcPr>
          <w:p w14:paraId="571E1E9D" w14:textId="77777777" w:rsidR="00F42BE4" w:rsidRDefault="00F42BE4" w:rsidP="00F42BE4">
            <w:pPr>
              <w:pStyle w:val="lsTableHeading"/>
              <w:rPr>
                <w:lang w:val="en-GB"/>
              </w:rPr>
            </w:pPr>
          </w:p>
        </w:tc>
        <w:tc>
          <w:tcPr>
            <w:tcW w:w="3260" w:type="dxa"/>
            <w:tcBorders>
              <w:bottom w:val="single" w:sz="4" w:space="0" w:color="auto"/>
            </w:tcBorders>
            <w:hideMark/>
          </w:tcPr>
          <w:p w14:paraId="398943A7" w14:textId="77777777" w:rsidR="00F42BE4" w:rsidRDefault="00F42BE4" w:rsidP="00F42BE4">
            <w:pPr>
              <w:pStyle w:val="lsTable"/>
              <w:rPr>
                <w:color w:val="00000A"/>
              </w:rPr>
            </w:pPr>
            <w:r>
              <w:rPr>
                <w:lang w:val="en-GB"/>
              </w:rPr>
              <w:t>Grammar Errors per 100 Words (GrErr/100)</w:t>
            </w:r>
          </w:p>
        </w:tc>
      </w:tr>
      <w:tr w:rsidR="00F42BE4" w14:paraId="5491D567" w14:textId="77777777" w:rsidTr="00CC6315">
        <w:trPr>
          <w:trHeight w:val="23"/>
        </w:trPr>
        <w:tc>
          <w:tcPr>
            <w:tcW w:w="1416" w:type="dxa"/>
            <w:tcBorders>
              <w:top w:val="single" w:sz="4" w:space="0" w:color="auto"/>
            </w:tcBorders>
            <w:hideMark/>
          </w:tcPr>
          <w:p w14:paraId="173CC974" w14:textId="77777777" w:rsidR="00F42BE4" w:rsidRDefault="00F42BE4" w:rsidP="00F42BE4">
            <w:pPr>
              <w:pStyle w:val="lsTableHeading"/>
            </w:pPr>
            <w:r>
              <w:rPr>
                <w:lang w:val="en-GB"/>
              </w:rPr>
              <w:t>Fluency</w:t>
            </w:r>
          </w:p>
        </w:tc>
        <w:tc>
          <w:tcPr>
            <w:tcW w:w="1418" w:type="dxa"/>
            <w:tcBorders>
              <w:top w:val="single" w:sz="4" w:space="0" w:color="auto"/>
            </w:tcBorders>
          </w:tcPr>
          <w:p w14:paraId="12092542" w14:textId="77777777" w:rsidR="00F42BE4" w:rsidRDefault="00F42BE4" w:rsidP="00F42BE4">
            <w:pPr>
              <w:pStyle w:val="lsTableHeading"/>
              <w:rPr>
                <w:lang w:val="en-GB"/>
              </w:rPr>
            </w:pPr>
          </w:p>
        </w:tc>
        <w:tc>
          <w:tcPr>
            <w:tcW w:w="3260" w:type="dxa"/>
            <w:tcBorders>
              <w:top w:val="single" w:sz="4" w:space="0" w:color="auto"/>
            </w:tcBorders>
            <w:hideMark/>
          </w:tcPr>
          <w:p w14:paraId="03E71EB6" w14:textId="77777777" w:rsidR="00F42BE4" w:rsidRDefault="00F42BE4" w:rsidP="00F42BE4">
            <w:pPr>
              <w:pStyle w:val="lsTable"/>
              <w:rPr>
                <w:color w:val="00000A"/>
              </w:rPr>
            </w:pPr>
            <w:r>
              <w:rPr>
                <w:lang w:val="en-GB"/>
              </w:rPr>
              <w:t>Words per Minute (W/M)</w:t>
            </w:r>
          </w:p>
        </w:tc>
      </w:tr>
      <w:tr w:rsidR="00F42BE4" w14:paraId="55F2777A" w14:textId="77777777" w:rsidTr="00F42BE4">
        <w:trPr>
          <w:trHeight w:val="23"/>
        </w:trPr>
        <w:tc>
          <w:tcPr>
            <w:tcW w:w="1416" w:type="dxa"/>
          </w:tcPr>
          <w:p w14:paraId="79B4AD7A" w14:textId="77777777" w:rsidR="00F42BE4" w:rsidRDefault="00F42BE4" w:rsidP="00F42BE4">
            <w:pPr>
              <w:pStyle w:val="lsTable"/>
              <w:rPr>
                <w:lang w:val="en-GB"/>
              </w:rPr>
            </w:pPr>
          </w:p>
        </w:tc>
        <w:tc>
          <w:tcPr>
            <w:tcW w:w="1418" w:type="dxa"/>
          </w:tcPr>
          <w:p w14:paraId="23701217" w14:textId="77777777" w:rsidR="00F42BE4" w:rsidRDefault="00F42BE4" w:rsidP="00F42BE4">
            <w:pPr>
              <w:pStyle w:val="lsTable"/>
              <w:rPr>
                <w:lang w:val="en-GB"/>
              </w:rPr>
            </w:pPr>
          </w:p>
        </w:tc>
        <w:tc>
          <w:tcPr>
            <w:tcW w:w="3260" w:type="dxa"/>
            <w:hideMark/>
          </w:tcPr>
          <w:p w14:paraId="1D72BE12" w14:textId="77777777" w:rsidR="00F42BE4" w:rsidRDefault="00F42BE4" w:rsidP="00F42BE4">
            <w:pPr>
              <w:pStyle w:val="lsTable"/>
              <w:rPr>
                <w:color w:val="00000A"/>
              </w:rPr>
            </w:pPr>
            <w:r>
              <w:rPr>
                <w:lang w:val="en-GB"/>
              </w:rPr>
              <w:t>Words per Sentence (W/S)</w:t>
            </w:r>
          </w:p>
        </w:tc>
      </w:tr>
    </w:tbl>
    <w:p w14:paraId="0F02A0AD" w14:textId="77777777" w:rsidR="00F42BE4" w:rsidRDefault="00F42BE4" w:rsidP="00F42BE4">
      <w:pPr>
        <w:spacing w:line="360" w:lineRule="auto"/>
        <w:rPr>
          <w:color w:val="00000A"/>
        </w:rPr>
      </w:pPr>
      <w:r>
        <w:rPr>
          <w:rFonts w:cs="Times New Roman"/>
          <w:i/>
          <w:color w:val="000000"/>
          <w:szCs w:val="20"/>
          <w:lang w:val="en-GB"/>
        </w:rPr>
        <w:t>Table 4: Summary of CAF measures applied in this study</w:t>
      </w:r>
    </w:p>
    <w:p w14:paraId="78DFD65C" w14:textId="50E78DCB" w:rsidR="00CC6315" w:rsidRDefault="00CC6315" w:rsidP="00CC6315">
      <w:pPr>
        <w:pStyle w:val="lsSection4"/>
      </w:pPr>
      <w:r>
        <w:t>Holistic ratings</w:t>
      </w:r>
    </w:p>
    <w:p w14:paraId="0149E655" w14:textId="65E1B753" w:rsidR="00CC6315" w:rsidRDefault="00CC6315" w:rsidP="00CC6315">
      <w:pPr>
        <w:rPr>
          <w:lang w:val="en-GB" w:eastAsia="zh-CN"/>
        </w:rPr>
      </w:pPr>
      <w:r>
        <w:rPr>
          <w:lang w:val="en-GB"/>
        </w:rPr>
        <w:t xml:space="preserve">About 55% percent of the scripts (100 in total, 10 per age-group and 50 per programme) was assessed by two evaluators from different backgrounds (Table 5). Rater 1 was a female EFL teacher in Colombia, she is originally from Cincinnati, Ohio (L1-English and L2-Spanish). Rater 2 was a female EFL teacher from Colombia (L1-Spanish and L2-English). </w:t>
      </w:r>
      <w:r>
        <w:rPr>
          <w:color w:val="000000"/>
          <w:lang w:val="en-GB"/>
        </w:rPr>
        <w:t xml:space="preserve">Each evaluator scored all the narratives according to the chosen scale without knowing the authors’ age or programme. </w:t>
      </w:r>
      <w:r w:rsidRPr="00CC6315">
        <w:rPr>
          <w:color w:val="000000"/>
          <w:lang w:val="en-GB"/>
        </w:rPr>
        <w:t>Inter-rater reliability was examined by</w:t>
      </w:r>
      <w:r w:rsidRPr="00CC6315">
        <w:t xml:space="preserve"> calculating the </w:t>
      </w:r>
      <w:r w:rsidRPr="00CC6315">
        <w:rPr>
          <w:color w:val="000000"/>
          <w:lang w:val="en-GB"/>
        </w:rPr>
        <w:t xml:space="preserve">intra-class correlation (ICC) for the two programmes in each criterion of the rubric. Evaluators’ agreement in scoring each immersion programme was moderate to strong on most of the rubric’s criteria, except for Text Organisation. In this case, the ICC obtained for HI+ was 0.33 and for HI it was 0.66. </w:t>
      </w:r>
      <w:r>
        <w:rPr>
          <w:lang w:val="en-GB"/>
        </w:rPr>
        <w:t xml:space="preserve"> </w:t>
      </w:r>
    </w:p>
    <w:tbl>
      <w:tblPr>
        <w:tblW w:w="0" w:type="dxa"/>
        <w:tblLayout w:type="fixed"/>
        <w:tblCellMar>
          <w:left w:w="70" w:type="dxa"/>
          <w:right w:w="70" w:type="dxa"/>
        </w:tblCellMar>
        <w:tblLook w:val="04A0" w:firstRow="1" w:lastRow="0" w:firstColumn="1" w:lastColumn="0" w:noHBand="0" w:noVBand="1"/>
      </w:tblPr>
      <w:tblGrid>
        <w:gridCol w:w="1630"/>
        <w:gridCol w:w="1066"/>
        <w:gridCol w:w="1060"/>
        <w:gridCol w:w="709"/>
        <w:gridCol w:w="913"/>
        <w:gridCol w:w="930"/>
        <w:gridCol w:w="638"/>
      </w:tblGrid>
      <w:tr w:rsidR="00CC6315" w14:paraId="05C78E4C" w14:textId="77777777" w:rsidTr="00CC6315">
        <w:trPr>
          <w:trHeight w:val="20"/>
        </w:trPr>
        <w:tc>
          <w:tcPr>
            <w:tcW w:w="1630" w:type="dxa"/>
            <w:vAlign w:val="center"/>
          </w:tcPr>
          <w:p w14:paraId="0F508F1C" w14:textId="77777777" w:rsidR="00CC6315" w:rsidRDefault="00CC6315" w:rsidP="00CC6315">
            <w:pPr>
              <w:pStyle w:val="lsTable"/>
              <w:rPr>
                <w:lang w:eastAsia="es-CO"/>
              </w:rPr>
            </w:pPr>
          </w:p>
        </w:tc>
        <w:tc>
          <w:tcPr>
            <w:tcW w:w="2126" w:type="dxa"/>
            <w:gridSpan w:val="2"/>
            <w:tcBorders>
              <w:top w:val="nil"/>
              <w:left w:val="nil"/>
              <w:bottom w:val="single" w:sz="4" w:space="0" w:color="00000A"/>
              <w:right w:val="nil"/>
            </w:tcBorders>
            <w:vAlign w:val="center"/>
            <w:hideMark/>
          </w:tcPr>
          <w:p w14:paraId="2547D0E4" w14:textId="23F3C35D" w:rsidR="00CC6315" w:rsidRDefault="00CC6315" w:rsidP="00CC6315">
            <w:pPr>
              <w:pStyle w:val="lsTableHeading"/>
              <w:jc w:val="center"/>
            </w:pPr>
            <w:r>
              <w:rPr>
                <w:lang w:val="es-CO" w:eastAsia="es-CO"/>
              </w:rPr>
              <w:t>HI+</w:t>
            </w:r>
            <w:r>
              <w:rPr>
                <w:lang w:eastAsia="zh-CN"/>
              </w:rPr>
              <w:br/>
            </w:r>
            <w:r>
              <w:rPr>
                <w:lang w:val="es-CO" w:eastAsia="es-CO"/>
              </w:rPr>
              <w:t>(n=50)</w:t>
            </w:r>
          </w:p>
        </w:tc>
        <w:tc>
          <w:tcPr>
            <w:tcW w:w="709" w:type="dxa"/>
            <w:tcBorders>
              <w:top w:val="nil"/>
              <w:left w:val="nil"/>
              <w:bottom w:val="single" w:sz="4" w:space="0" w:color="00000A"/>
              <w:right w:val="nil"/>
            </w:tcBorders>
            <w:vAlign w:val="center"/>
          </w:tcPr>
          <w:p w14:paraId="4F2573FF" w14:textId="77777777" w:rsidR="00CC6315" w:rsidRDefault="00CC6315" w:rsidP="00CC6315">
            <w:pPr>
              <w:pStyle w:val="lsTableHeading"/>
              <w:rPr>
                <w:lang w:val="es-CO" w:eastAsia="es-CO"/>
              </w:rPr>
            </w:pPr>
          </w:p>
        </w:tc>
        <w:tc>
          <w:tcPr>
            <w:tcW w:w="1843" w:type="dxa"/>
            <w:gridSpan w:val="2"/>
            <w:tcBorders>
              <w:top w:val="nil"/>
              <w:left w:val="nil"/>
              <w:bottom w:val="single" w:sz="4" w:space="0" w:color="00000A"/>
              <w:right w:val="nil"/>
            </w:tcBorders>
            <w:vAlign w:val="center"/>
            <w:hideMark/>
          </w:tcPr>
          <w:p w14:paraId="2BC12DCF" w14:textId="17CF7CD0" w:rsidR="00CC6315" w:rsidRDefault="00CC6315" w:rsidP="00CC6315">
            <w:pPr>
              <w:pStyle w:val="lsTableHeading"/>
              <w:jc w:val="center"/>
            </w:pPr>
            <w:r>
              <w:rPr>
                <w:lang w:val="es-CO" w:eastAsia="es-CO"/>
              </w:rPr>
              <w:t>HI</w:t>
            </w:r>
            <w:r>
              <w:rPr>
                <w:color w:val="00000A"/>
                <w:lang w:val="fr-FR" w:eastAsia="zh-CN"/>
              </w:rPr>
              <w:br/>
            </w:r>
            <w:r>
              <w:rPr>
                <w:lang w:val="es-CO" w:eastAsia="es-CO"/>
              </w:rPr>
              <w:t>(n=50)</w:t>
            </w:r>
          </w:p>
        </w:tc>
        <w:tc>
          <w:tcPr>
            <w:tcW w:w="638" w:type="dxa"/>
            <w:vAlign w:val="center"/>
          </w:tcPr>
          <w:p w14:paraId="2D07229C" w14:textId="77777777" w:rsidR="00CC6315" w:rsidRDefault="00CC6315" w:rsidP="00CC6315">
            <w:pPr>
              <w:pStyle w:val="lsTableHeading"/>
              <w:rPr>
                <w:lang w:val="es-CO" w:eastAsia="es-CO"/>
              </w:rPr>
            </w:pPr>
          </w:p>
        </w:tc>
      </w:tr>
      <w:tr w:rsidR="00CC6315" w14:paraId="0E4A4897" w14:textId="77777777" w:rsidTr="00CC6315">
        <w:trPr>
          <w:trHeight w:val="20"/>
        </w:trPr>
        <w:tc>
          <w:tcPr>
            <w:tcW w:w="1630" w:type="dxa"/>
            <w:vAlign w:val="center"/>
          </w:tcPr>
          <w:p w14:paraId="53AAA1FF" w14:textId="77777777" w:rsidR="00CC6315" w:rsidRDefault="00CC6315" w:rsidP="00CC6315">
            <w:pPr>
              <w:pStyle w:val="lsTable"/>
              <w:rPr>
                <w:color w:val="000000"/>
                <w:lang w:val="es-CO" w:eastAsia="es-CO"/>
              </w:rPr>
            </w:pPr>
          </w:p>
        </w:tc>
        <w:tc>
          <w:tcPr>
            <w:tcW w:w="1066" w:type="dxa"/>
            <w:tcBorders>
              <w:top w:val="single" w:sz="4" w:space="0" w:color="00000A"/>
              <w:left w:val="nil"/>
              <w:bottom w:val="single" w:sz="4" w:space="0" w:color="00000A"/>
              <w:right w:val="nil"/>
            </w:tcBorders>
            <w:vAlign w:val="center"/>
            <w:hideMark/>
          </w:tcPr>
          <w:p w14:paraId="541589CE" w14:textId="77777777" w:rsidR="00CC6315" w:rsidRDefault="00CC6315" w:rsidP="00CC6315">
            <w:pPr>
              <w:pStyle w:val="lsTableHeading"/>
              <w:rPr>
                <w:color w:val="00000A"/>
                <w:lang w:val="fr-FR" w:eastAsia="zh-CN"/>
              </w:rPr>
            </w:pPr>
            <w:r>
              <w:rPr>
                <w:lang w:val="es-CO" w:eastAsia="es-CO"/>
              </w:rPr>
              <w:t>Rater 1</w:t>
            </w:r>
          </w:p>
        </w:tc>
        <w:tc>
          <w:tcPr>
            <w:tcW w:w="1060" w:type="dxa"/>
            <w:tcBorders>
              <w:top w:val="single" w:sz="4" w:space="0" w:color="00000A"/>
              <w:left w:val="nil"/>
              <w:bottom w:val="single" w:sz="4" w:space="0" w:color="00000A"/>
              <w:right w:val="nil"/>
            </w:tcBorders>
            <w:vAlign w:val="center"/>
            <w:hideMark/>
          </w:tcPr>
          <w:p w14:paraId="59547954" w14:textId="77777777" w:rsidR="00CC6315" w:rsidRDefault="00CC6315" w:rsidP="00CC6315">
            <w:pPr>
              <w:pStyle w:val="lsTableHeading"/>
            </w:pPr>
            <w:r>
              <w:rPr>
                <w:lang w:val="es-CO" w:eastAsia="es-CO"/>
              </w:rPr>
              <w:t>Rater 2</w:t>
            </w:r>
          </w:p>
        </w:tc>
        <w:tc>
          <w:tcPr>
            <w:tcW w:w="709" w:type="dxa"/>
            <w:tcBorders>
              <w:top w:val="single" w:sz="4" w:space="0" w:color="00000A"/>
              <w:left w:val="nil"/>
              <w:bottom w:val="single" w:sz="4" w:space="0" w:color="00000A"/>
              <w:right w:val="nil"/>
            </w:tcBorders>
            <w:vAlign w:val="center"/>
          </w:tcPr>
          <w:p w14:paraId="18BF6F06" w14:textId="77777777" w:rsidR="00CC6315" w:rsidRDefault="00CC6315" w:rsidP="00CC6315">
            <w:pPr>
              <w:pStyle w:val="lsTableHeading"/>
              <w:rPr>
                <w:lang w:val="es-CO" w:eastAsia="es-CO"/>
              </w:rPr>
            </w:pPr>
          </w:p>
        </w:tc>
        <w:tc>
          <w:tcPr>
            <w:tcW w:w="913" w:type="dxa"/>
            <w:tcBorders>
              <w:top w:val="single" w:sz="4" w:space="0" w:color="00000A"/>
              <w:left w:val="nil"/>
              <w:bottom w:val="single" w:sz="4" w:space="0" w:color="00000A"/>
              <w:right w:val="nil"/>
            </w:tcBorders>
            <w:vAlign w:val="center"/>
            <w:hideMark/>
          </w:tcPr>
          <w:p w14:paraId="0312F50D" w14:textId="77777777" w:rsidR="00CC6315" w:rsidRDefault="00CC6315" w:rsidP="00CC6315">
            <w:pPr>
              <w:pStyle w:val="lsTableHeading"/>
              <w:rPr>
                <w:color w:val="00000A"/>
                <w:lang w:val="fr-FR" w:eastAsia="zh-CN"/>
              </w:rPr>
            </w:pPr>
            <w:r>
              <w:rPr>
                <w:lang w:val="es-CO" w:eastAsia="es-CO"/>
              </w:rPr>
              <w:t>Rater 1</w:t>
            </w:r>
          </w:p>
        </w:tc>
        <w:tc>
          <w:tcPr>
            <w:tcW w:w="930" w:type="dxa"/>
            <w:tcBorders>
              <w:top w:val="single" w:sz="4" w:space="0" w:color="00000A"/>
              <w:left w:val="nil"/>
              <w:bottom w:val="single" w:sz="4" w:space="0" w:color="00000A"/>
              <w:right w:val="nil"/>
            </w:tcBorders>
            <w:vAlign w:val="center"/>
            <w:hideMark/>
          </w:tcPr>
          <w:p w14:paraId="094FAC39" w14:textId="77777777" w:rsidR="00CC6315" w:rsidRDefault="00CC6315" w:rsidP="00CC6315">
            <w:pPr>
              <w:pStyle w:val="lsTableHeading"/>
            </w:pPr>
            <w:r>
              <w:rPr>
                <w:lang w:val="es-CO" w:eastAsia="es-CO"/>
              </w:rPr>
              <w:t>Rater 2</w:t>
            </w:r>
          </w:p>
        </w:tc>
        <w:tc>
          <w:tcPr>
            <w:tcW w:w="638" w:type="dxa"/>
            <w:tcBorders>
              <w:top w:val="single" w:sz="4" w:space="0" w:color="00000A"/>
              <w:left w:val="nil"/>
              <w:bottom w:val="single" w:sz="4" w:space="0" w:color="00000A"/>
              <w:right w:val="nil"/>
            </w:tcBorders>
            <w:vAlign w:val="center"/>
          </w:tcPr>
          <w:p w14:paraId="508EB889" w14:textId="77777777" w:rsidR="00CC6315" w:rsidRDefault="00CC6315" w:rsidP="00CC6315">
            <w:pPr>
              <w:pStyle w:val="lsTableHeading"/>
              <w:rPr>
                <w:lang w:val="es-CO" w:eastAsia="es-CO"/>
              </w:rPr>
            </w:pPr>
          </w:p>
        </w:tc>
      </w:tr>
      <w:tr w:rsidR="00CC6315" w14:paraId="6631141C" w14:textId="77777777" w:rsidTr="00CC6315">
        <w:trPr>
          <w:trHeight w:val="20"/>
        </w:trPr>
        <w:tc>
          <w:tcPr>
            <w:tcW w:w="1630" w:type="dxa"/>
            <w:vAlign w:val="center"/>
          </w:tcPr>
          <w:p w14:paraId="52CF7177" w14:textId="77777777" w:rsidR="00CC6315" w:rsidRDefault="00CC6315" w:rsidP="00CC6315">
            <w:pPr>
              <w:pStyle w:val="lsTable"/>
              <w:rPr>
                <w:color w:val="000000"/>
                <w:lang w:val="es-CO" w:eastAsia="es-CO"/>
              </w:rPr>
            </w:pPr>
          </w:p>
        </w:tc>
        <w:tc>
          <w:tcPr>
            <w:tcW w:w="1066" w:type="dxa"/>
            <w:tcBorders>
              <w:top w:val="single" w:sz="4" w:space="0" w:color="00000A"/>
              <w:left w:val="nil"/>
              <w:bottom w:val="single" w:sz="4" w:space="0" w:color="00000A"/>
              <w:right w:val="nil"/>
            </w:tcBorders>
            <w:vAlign w:val="center"/>
          </w:tcPr>
          <w:p w14:paraId="0010F278" w14:textId="648144E6" w:rsidR="00CC6315" w:rsidRPr="00CC6315" w:rsidRDefault="00CC6315" w:rsidP="00CC6315">
            <w:pPr>
              <w:pStyle w:val="lsTableHeading"/>
              <w:rPr>
                <w:i/>
                <w:color w:val="00000A"/>
                <w:lang w:val="es-CO" w:eastAsia="es-CO"/>
              </w:rPr>
            </w:pPr>
            <w:r>
              <w:rPr>
                <w:lang w:val="es-CO" w:eastAsia="es-CO"/>
              </w:rPr>
              <w:t>Mean</w:t>
            </w:r>
            <w:r>
              <w:rPr>
                <w:i/>
                <w:lang w:val="es-CO" w:eastAsia="es-CO"/>
              </w:rPr>
              <w:t xml:space="preserve"> (SD)</w:t>
            </w:r>
          </w:p>
        </w:tc>
        <w:tc>
          <w:tcPr>
            <w:tcW w:w="1060" w:type="dxa"/>
            <w:tcBorders>
              <w:top w:val="single" w:sz="4" w:space="0" w:color="00000A"/>
              <w:left w:val="nil"/>
              <w:bottom w:val="single" w:sz="4" w:space="0" w:color="00000A"/>
              <w:right w:val="nil"/>
            </w:tcBorders>
            <w:vAlign w:val="center"/>
          </w:tcPr>
          <w:p w14:paraId="22C50697" w14:textId="19F2D81A" w:rsidR="00CC6315" w:rsidRPr="00CC6315" w:rsidRDefault="00CC6315" w:rsidP="00CC6315">
            <w:pPr>
              <w:pStyle w:val="lsTableHeading"/>
              <w:rPr>
                <w:i/>
                <w:lang w:val="es-CO" w:eastAsia="es-CO"/>
              </w:rPr>
            </w:pPr>
            <w:r>
              <w:rPr>
                <w:lang w:val="es-CO" w:eastAsia="es-CO"/>
              </w:rPr>
              <w:t>Mean</w:t>
            </w:r>
            <w:r>
              <w:rPr>
                <w:i/>
                <w:lang w:val="es-CO" w:eastAsia="es-CO"/>
              </w:rPr>
              <w:t xml:space="preserve"> (SD)</w:t>
            </w:r>
          </w:p>
        </w:tc>
        <w:tc>
          <w:tcPr>
            <w:tcW w:w="709" w:type="dxa"/>
            <w:tcBorders>
              <w:top w:val="single" w:sz="4" w:space="0" w:color="00000A"/>
              <w:left w:val="nil"/>
              <w:bottom w:val="single" w:sz="4" w:space="0" w:color="00000A"/>
              <w:right w:val="nil"/>
            </w:tcBorders>
            <w:vAlign w:val="center"/>
            <w:hideMark/>
          </w:tcPr>
          <w:p w14:paraId="7B9AA3E5" w14:textId="77777777" w:rsidR="00CC6315" w:rsidRDefault="00CC6315" w:rsidP="00CC6315">
            <w:pPr>
              <w:pStyle w:val="lsTableHeading"/>
              <w:rPr>
                <w:lang w:val="es-CO" w:eastAsia="es-CO"/>
              </w:rPr>
            </w:pPr>
            <w:r>
              <w:rPr>
                <w:lang w:val="es-CO" w:eastAsia="es-CO"/>
              </w:rPr>
              <w:t>ICCHI+</w:t>
            </w:r>
          </w:p>
        </w:tc>
        <w:tc>
          <w:tcPr>
            <w:tcW w:w="913" w:type="dxa"/>
            <w:tcBorders>
              <w:top w:val="single" w:sz="4" w:space="0" w:color="00000A"/>
              <w:left w:val="nil"/>
              <w:bottom w:val="single" w:sz="4" w:space="0" w:color="00000A"/>
              <w:right w:val="nil"/>
            </w:tcBorders>
            <w:vAlign w:val="center"/>
          </w:tcPr>
          <w:p w14:paraId="5601F1C7" w14:textId="3A29E58B" w:rsidR="00CC6315" w:rsidRPr="00CC6315" w:rsidRDefault="00CC6315" w:rsidP="00CC6315">
            <w:pPr>
              <w:pStyle w:val="lsTableHeading"/>
              <w:rPr>
                <w:i/>
                <w:lang w:val="es-CO" w:eastAsia="es-CO"/>
              </w:rPr>
            </w:pPr>
            <w:r>
              <w:rPr>
                <w:lang w:val="es-CO" w:eastAsia="es-CO"/>
              </w:rPr>
              <w:t>Mean</w:t>
            </w:r>
            <w:r>
              <w:rPr>
                <w:i/>
                <w:lang w:val="es-CO" w:eastAsia="es-CO"/>
              </w:rPr>
              <w:t xml:space="preserve"> (SD)</w:t>
            </w:r>
          </w:p>
        </w:tc>
        <w:tc>
          <w:tcPr>
            <w:tcW w:w="930" w:type="dxa"/>
            <w:tcBorders>
              <w:top w:val="single" w:sz="4" w:space="0" w:color="00000A"/>
              <w:left w:val="nil"/>
              <w:bottom w:val="single" w:sz="4" w:space="0" w:color="00000A"/>
              <w:right w:val="nil"/>
            </w:tcBorders>
            <w:vAlign w:val="center"/>
          </w:tcPr>
          <w:p w14:paraId="1711820F" w14:textId="674598C3" w:rsidR="00CC6315" w:rsidRPr="00CC6315" w:rsidRDefault="00CC6315" w:rsidP="00CC6315">
            <w:pPr>
              <w:pStyle w:val="lsTableHeading"/>
              <w:rPr>
                <w:i/>
                <w:lang w:val="es-CO" w:eastAsia="es-CO"/>
              </w:rPr>
            </w:pPr>
            <w:r>
              <w:rPr>
                <w:lang w:val="es-CO" w:eastAsia="es-CO"/>
              </w:rPr>
              <w:t>Mean</w:t>
            </w:r>
            <w:r>
              <w:rPr>
                <w:i/>
                <w:lang w:val="es-CO" w:eastAsia="es-CO"/>
              </w:rPr>
              <w:t xml:space="preserve"> (SD)</w:t>
            </w:r>
          </w:p>
        </w:tc>
        <w:tc>
          <w:tcPr>
            <w:tcW w:w="638" w:type="dxa"/>
            <w:tcBorders>
              <w:top w:val="single" w:sz="4" w:space="0" w:color="00000A"/>
              <w:left w:val="nil"/>
              <w:bottom w:val="single" w:sz="4" w:space="0" w:color="00000A"/>
              <w:right w:val="nil"/>
            </w:tcBorders>
            <w:vAlign w:val="center"/>
            <w:hideMark/>
          </w:tcPr>
          <w:p w14:paraId="2ED616AF" w14:textId="188A34C8" w:rsidR="00CC6315" w:rsidRDefault="00CC6315" w:rsidP="00CC6315">
            <w:pPr>
              <w:pStyle w:val="lsTableHeading"/>
              <w:rPr>
                <w:lang w:val="es-CO" w:eastAsia="es-CO"/>
              </w:rPr>
            </w:pPr>
            <w:r>
              <w:rPr>
                <w:lang w:val="es-CO" w:eastAsia="es-CO"/>
              </w:rPr>
              <w:t>ICCHI</w:t>
            </w:r>
          </w:p>
        </w:tc>
      </w:tr>
      <w:tr w:rsidR="00CC6315" w14:paraId="3A516ADE" w14:textId="77777777" w:rsidTr="00CC6315">
        <w:trPr>
          <w:trHeight w:val="448"/>
        </w:trPr>
        <w:tc>
          <w:tcPr>
            <w:tcW w:w="1630" w:type="dxa"/>
            <w:vAlign w:val="center"/>
          </w:tcPr>
          <w:p w14:paraId="03DD5C87" w14:textId="77777777" w:rsidR="00CC6315" w:rsidRDefault="00CC6315" w:rsidP="00CC6315">
            <w:pPr>
              <w:pStyle w:val="lsTable"/>
              <w:rPr>
                <w:b/>
                <w:color w:val="00000A"/>
                <w:lang w:val="es-CO" w:eastAsia="es-CO"/>
              </w:rPr>
            </w:pPr>
            <w:r>
              <w:rPr>
                <w:b/>
                <w:lang w:val="es-CO" w:eastAsia="es-CO"/>
              </w:rPr>
              <w:t>Task</w:t>
            </w:r>
            <w:r>
              <w:rPr>
                <w:b/>
                <w:lang w:val="es-CO" w:eastAsia="es-CO"/>
              </w:rPr>
              <w:br/>
              <w:t>Fulfillment</w:t>
            </w:r>
          </w:p>
          <w:p w14:paraId="5E335F2A" w14:textId="77777777" w:rsidR="00CC6315" w:rsidRDefault="00CC6315" w:rsidP="00CC6315">
            <w:pPr>
              <w:pStyle w:val="lsTable"/>
              <w:rPr>
                <w:b/>
                <w:lang w:val="es-CO" w:eastAsia="es-CO"/>
              </w:rPr>
            </w:pPr>
          </w:p>
        </w:tc>
        <w:tc>
          <w:tcPr>
            <w:tcW w:w="1066" w:type="dxa"/>
            <w:tcBorders>
              <w:top w:val="single" w:sz="4" w:space="0" w:color="00000A"/>
              <w:left w:val="nil"/>
              <w:bottom w:val="nil"/>
              <w:right w:val="nil"/>
            </w:tcBorders>
          </w:tcPr>
          <w:p w14:paraId="73D6A9F8" w14:textId="77777777" w:rsidR="00CC6315" w:rsidRDefault="00CC6315" w:rsidP="00CC6315">
            <w:pPr>
              <w:pStyle w:val="lsTable"/>
              <w:rPr>
                <w:lang w:eastAsia="zh-CN"/>
              </w:rPr>
            </w:pPr>
            <w:r>
              <w:t>2.47</w:t>
            </w:r>
          </w:p>
          <w:p w14:paraId="0D437586" w14:textId="77777777" w:rsidR="00CC6315" w:rsidRDefault="00CC6315" w:rsidP="00CC6315">
            <w:pPr>
              <w:pStyle w:val="lsTable"/>
            </w:pPr>
            <w:r>
              <w:t>(0.80)</w:t>
            </w:r>
          </w:p>
          <w:p w14:paraId="700054D7" w14:textId="77777777" w:rsidR="00CC6315" w:rsidRDefault="00CC6315" w:rsidP="00CC6315">
            <w:pPr>
              <w:pStyle w:val="lsTable"/>
            </w:pPr>
          </w:p>
        </w:tc>
        <w:tc>
          <w:tcPr>
            <w:tcW w:w="1060" w:type="dxa"/>
            <w:tcBorders>
              <w:top w:val="single" w:sz="4" w:space="0" w:color="00000A"/>
              <w:left w:val="nil"/>
              <w:bottom w:val="nil"/>
              <w:right w:val="nil"/>
            </w:tcBorders>
          </w:tcPr>
          <w:p w14:paraId="57C3C107" w14:textId="77777777" w:rsidR="00CC6315" w:rsidRDefault="00CC6315" w:rsidP="00CC6315">
            <w:pPr>
              <w:pStyle w:val="lsTable"/>
            </w:pPr>
            <w:r>
              <w:t>3.32</w:t>
            </w:r>
          </w:p>
          <w:p w14:paraId="0BD10C60" w14:textId="77777777" w:rsidR="00CC6315" w:rsidRDefault="00CC6315" w:rsidP="00CC6315">
            <w:pPr>
              <w:pStyle w:val="lsTable"/>
            </w:pPr>
            <w:r>
              <w:t>(0.81)</w:t>
            </w:r>
          </w:p>
          <w:p w14:paraId="6DD488C0" w14:textId="77777777" w:rsidR="00CC6315" w:rsidRDefault="00CC6315" w:rsidP="00CC6315">
            <w:pPr>
              <w:pStyle w:val="lsTable"/>
            </w:pPr>
          </w:p>
        </w:tc>
        <w:tc>
          <w:tcPr>
            <w:tcW w:w="709" w:type="dxa"/>
            <w:tcBorders>
              <w:top w:val="single" w:sz="4" w:space="0" w:color="00000A"/>
              <w:left w:val="nil"/>
              <w:bottom w:val="nil"/>
              <w:right w:val="nil"/>
            </w:tcBorders>
          </w:tcPr>
          <w:p w14:paraId="0D8F31B4" w14:textId="77777777" w:rsidR="00CC6315" w:rsidRDefault="00CC6315" w:rsidP="00CC6315">
            <w:pPr>
              <w:pStyle w:val="lsTable"/>
            </w:pPr>
            <w:r>
              <w:t>0.54</w:t>
            </w:r>
          </w:p>
          <w:p w14:paraId="497274EC" w14:textId="77777777" w:rsidR="00CC6315" w:rsidRDefault="00CC6315" w:rsidP="00CC6315">
            <w:pPr>
              <w:pStyle w:val="lsTable"/>
            </w:pPr>
          </w:p>
          <w:p w14:paraId="46FC53DB" w14:textId="77777777" w:rsidR="00CC6315" w:rsidRDefault="00CC6315" w:rsidP="00CC6315">
            <w:pPr>
              <w:pStyle w:val="lsTable"/>
            </w:pPr>
          </w:p>
        </w:tc>
        <w:tc>
          <w:tcPr>
            <w:tcW w:w="913" w:type="dxa"/>
            <w:tcBorders>
              <w:top w:val="single" w:sz="4" w:space="0" w:color="00000A"/>
              <w:left w:val="nil"/>
              <w:bottom w:val="nil"/>
              <w:right w:val="nil"/>
            </w:tcBorders>
          </w:tcPr>
          <w:p w14:paraId="5929D565" w14:textId="77777777" w:rsidR="00CC6315" w:rsidRDefault="00CC6315" w:rsidP="00CC6315">
            <w:pPr>
              <w:pStyle w:val="lsTable"/>
            </w:pPr>
            <w:r>
              <w:t>2.64</w:t>
            </w:r>
          </w:p>
          <w:p w14:paraId="34EC5F8E" w14:textId="77777777" w:rsidR="00CC6315" w:rsidRDefault="00CC6315" w:rsidP="00CC6315">
            <w:pPr>
              <w:pStyle w:val="lsTable"/>
            </w:pPr>
            <w:r>
              <w:t>(1.14)</w:t>
            </w:r>
          </w:p>
          <w:p w14:paraId="6B1A9896" w14:textId="77777777" w:rsidR="00CC6315" w:rsidRDefault="00CC6315" w:rsidP="00CC6315">
            <w:pPr>
              <w:pStyle w:val="lsTable"/>
            </w:pPr>
          </w:p>
        </w:tc>
        <w:tc>
          <w:tcPr>
            <w:tcW w:w="930" w:type="dxa"/>
            <w:tcBorders>
              <w:top w:val="single" w:sz="4" w:space="0" w:color="00000A"/>
              <w:left w:val="nil"/>
              <w:bottom w:val="nil"/>
              <w:right w:val="nil"/>
            </w:tcBorders>
          </w:tcPr>
          <w:p w14:paraId="765C8FB3" w14:textId="77777777" w:rsidR="00CC6315" w:rsidRDefault="00CC6315" w:rsidP="00CC6315">
            <w:pPr>
              <w:pStyle w:val="lsTable"/>
            </w:pPr>
            <w:r>
              <w:t>3.20</w:t>
            </w:r>
          </w:p>
          <w:p w14:paraId="5801C4BB" w14:textId="77777777" w:rsidR="00CC6315" w:rsidRDefault="00CC6315" w:rsidP="00CC6315">
            <w:pPr>
              <w:pStyle w:val="lsTable"/>
            </w:pPr>
            <w:r>
              <w:t>(0.87)</w:t>
            </w:r>
          </w:p>
          <w:p w14:paraId="56E519C4" w14:textId="77777777" w:rsidR="00CC6315" w:rsidRDefault="00CC6315" w:rsidP="00CC6315">
            <w:pPr>
              <w:pStyle w:val="lsTable"/>
            </w:pPr>
          </w:p>
        </w:tc>
        <w:tc>
          <w:tcPr>
            <w:tcW w:w="638" w:type="dxa"/>
            <w:tcBorders>
              <w:top w:val="single" w:sz="4" w:space="0" w:color="00000A"/>
              <w:left w:val="nil"/>
              <w:bottom w:val="nil"/>
              <w:right w:val="nil"/>
            </w:tcBorders>
          </w:tcPr>
          <w:p w14:paraId="2E1A5A42" w14:textId="77777777" w:rsidR="00CC6315" w:rsidRDefault="00CC6315" w:rsidP="00CC6315">
            <w:pPr>
              <w:pStyle w:val="lsTable"/>
            </w:pPr>
            <w:r>
              <w:t>0.72</w:t>
            </w:r>
          </w:p>
          <w:p w14:paraId="44055897" w14:textId="77777777" w:rsidR="00CC6315" w:rsidRDefault="00CC6315" w:rsidP="00CC6315">
            <w:pPr>
              <w:pStyle w:val="lsTable"/>
            </w:pPr>
          </w:p>
          <w:p w14:paraId="1C245EB1" w14:textId="77777777" w:rsidR="00CC6315" w:rsidRDefault="00CC6315" w:rsidP="00CC6315">
            <w:pPr>
              <w:pStyle w:val="lsTable"/>
            </w:pPr>
          </w:p>
        </w:tc>
      </w:tr>
      <w:tr w:rsidR="00CC6315" w14:paraId="3B98A0BA" w14:textId="77777777" w:rsidTr="00CC6315">
        <w:trPr>
          <w:trHeight w:val="689"/>
        </w:trPr>
        <w:tc>
          <w:tcPr>
            <w:tcW w:w="1630" w:type="dxa"/>
            <w:vAlign w:val="center"/>
          </w:tcPr>
          <w:p w14:paraId="798F8701" w14:textId="77777777" w:rsidR="00CC6315" w:rsidRDefault="00CC6315" w:rsidP="00CC6315">
            <w:pPr>
              <w:pStyle w:val="lsTable"/>
              <w:rPr>
                <w:b/>
                <w:lang w:val="es-CO" w:eastAsia="es-CO"/>
              </w:rPr>
            </w:pPr>
            <w:r>
              <w:rPr>
                <w:b/>
                <w:lang w:val="es-CO" w:eastAsia="es-CO"/>
              </w:rPr>
              <w:t xml:space="preserve">Text </w:t>
            </w:r>
            <w:r>
              <w:rPr>
                <w:b/>
                <w:lang w:val="es-CO" w:eastAsia="es-CO"/>
              </w:rPr>
              <w:br/>
              <w:t>Organisation</w:t>
            </w:r>
          </w:p>
          <w:p w14:paraId="4C9CE2F0" w14:textId="7CC3AB4C" w:rsidR="00CC6315" w:rsidRDefault="00CC6315" w:rsidP="00CC6315">
            <w:pPr>
              <w:pStyle w:val="lsTable"/>
              <w:rPr>
                <w:b/>
                <w:lang w:val="es-CO" w:eastAsia="es-CO"/>
              </w:rPr>
            </w:pPr>
          </w:p>
        </w:tc>
        <w:tc>
          <w:tcPr>
            <w:tcW w:w="1066" w:type="dxa"/>
            <w:hideMark/>
          </w:tcPr>
          <w:p w14:paraId="39BAF07F" w14:textId="77777777" w:rsidR="00CC6315" w:rsidRDefault="00CC6315" w:rsidP="00CC6315">
            <w:pPr>
              <w:pStyle w:val="lsTable"/>
              <w:rPr>
                <w:lang w:eastAsia="zh-CN"/>
              </w:rPr>
            </w:pPr>
            <w:r>
              <w:t>2.00</w:t>
            </w:r>
          </w:p>
          <w:p w14:paraId="53A913C6" w14:textId="77777777" w:rsidR="00CC6315" w:rsidRDefault="00CC6315" w:rsidP="00CC6315">
            <w:pPr>
              <w:pStyle w:val="lsTable"/>
            </w:pPr>
            <w:r>
              <w:t>(0.62)</w:t>
            </w:r>
          </w:p>
        </w:tc>
        <w:tc>
          <w:tcPr>
            <w:tcW w:w="1060" w:type="dxa"/>
            <w:hideMark/>
          </w:tcPr>
          <w:p w14:paraId="18687264" w14:textId="77777777" w:rsidR="00CC6315" w:rsidRDefault="00CC6315" w:rsidP="00CC6315">
            <w:pPr>
              <w:pStyle w:val="lsTable"/>
            </w:pPr>
            <w:r>
              <w:t>2.71</w:t>
            </w:r>
          </w:p>
          <w:p w14:paraId="79F92989" w14:textId="77777777" w:rsidR="00CC6315" w:rsidRDefault="00CC6315" w:rsidP="00CC6315">
            <w:pPr>
              <w:pStyle w:val="lsTable"/>
            </w:pPr>
            <w:r>
              <w:t>(0.69)</w:t>
            </w:r>
          </w:p>
        </w:tc>
        <w:tc>
          <w:tcPr>
            <w:tcW w:w="709" w:type="dxa"/>
          </w:tcPr>
          <w:p w14:paraId="66BB6A59" w14:textId="77777777" w:rsidR="00CC6315" w:rsidRDefault="00CC6315" w:rsidP="00CC6315">
            <w:pPr>
              <w:pStyle w:val="lsTable"/>
            </w:pPr>
            <w:r>
              <w:t>0.33</w:t>
            </w:r>
          </w:p>
          <w:p w14:paraId="3EEBC2A8" w14:textId="77777777" w:rsidR="00CC6315" w:rsidRDefault="00CC6315" w:rsidP="00CC6315">
            <w:pPr>
              <w:pStyle w:val="lsTable"/>
            </w:pPr>
          </w:p>
        </w:tc>
        <w:tc>
          <w:tcPr>
            <w:tcW w:w="913" w:type="dxa"/>
            <w:hideMark/>
          </w:tcPr>
          <w:p w14:paraId="75977734" w14:textId="77777777" w:rsidR="00CC6315" w:rsidRDefault="00CC6315" w:rsidP="00CC6315">
            <w:pPr>
              <w:pStyle w:val="lsTable"/>
            </w:pPr>
            <w:r>
              <w:t>2.24</w:t>
            </w:r>
          </w:p>
          <w:p w14:paraId="4EC4ED5E" w14:textId="77777777" w:rsidR="00CC6315" w:rsidRDefault="00CC6315" w:rsidP="00CC6315">
            <w:pPr>
              <w:pStyle w:val="lsTable"/>
            </w:pPr>
            <w:r>
              <w:t>(1.02)</w:t>
            </w:r>
          </w:p>
        </w:tc>
        <w:tc>
          <w:tcPr>
            <w:tcW w:w="930" w:type="dxa"/>
            <w:hideMark/>
          </w:tcPr>
          <w:p w14:paraId="73D30324" w14:textId="77777777" w:rsidR="00CC6315" w:rsidRDefault="00CC6315" w:rsidP="00CC6315">
            <w:pPr>
              <w:pStyle w:val="lsTable"/>
            </w:pPr>
            <w:r>
              <w:t>2.78</w:t>
            </w:r>
          </w:p>
          <w:p w14:paraId="012C6DAC" w14:textId="77777777" w:rsidR="00CC6315" w:rsidRDefault="00CC6315" w:rsidP="00CC6315">
            <w:pPr>
              <w:pStyle w:val="lsTable"/>
            </w:pPr>
            <w:r>
              <w:t>(0.76)</w:t>
            </w:r>
          </w:p>
        </w:tc>
        <w:tc>
          <w:tcPr>
            <w:tcW w:w="638" w:type="dxa"/>
            <w:hideMark/>
          </w:tcPr>
          <w:p w14:paraId="2078210D" w14:textId="77777777" w:rsidR="00CC6315" w:rsidRDefault="00CC6315" w:rsidP="00CC6315">
            <w:pPr>
              <w:pStyle w:val="lsTable"/>
            </w:pPr>
            <w:r>
              <w:t>0.66</w:t>
            </w:r>
          </w:p>
        </w:tc>
      </w:tr>
      <w:tr w:rsidR="00CC6315" w14:paraId="34191E03" w14:textId="77777777" w:rsidTr="00CC6315">
        <w:trPr>
          <w:trHeight w:val="20"/>
        </w:trPr>
        <w:tc>
          <w:tcPr>
            <w:tcW w:w="1630" w:type="dxa"/>
            <w:vAlign w:val="center"/>
          </w:tcPr>
          <w:p w14:paraId="695ADCF7" w14:textId="77777777" w:rsidR="00CC6315" w:rsidRDefault="00CC6315" w:rsidP="00CC6315">
            <w:pPr>
              <w:pStyle w:val="lsTable"/>
              <w:rPr>
                <w:b/>
              </w:rPr>
            </w:pPr>
            <w:r>
              <w:rPr>
                <w:b/>
                <w:lang w:val="es-CO" w:eastAsia="es-CO"/>
              </w:rPr>
              <w:t>Grammar</w:t>
            </w:r>
          </w:p>
          <w:p w14:paraId="42E1A145" w14:textId="77777777" w:rsidR="00CC6315" w:rsidRDefault="00CC6315" w:rsidP="00CC6315">
            <w:pPr>
              <w:pStyle w:val="lsTable"/>
              <w:rPr>
                <w:b/>
                <w:lang w:val="es-CO" w:eastAsia="es-CO"/>
              </w:rPr>
            </w:pPr>
          </w:p>
          <w:p w14:paraId="5DDBECB6" w14:textId="0C981EC8" w:rsidR="00CC6315" w:rsidRDefault="00CC6315" w:rsidP="00CC6315">
            <w:pPr>
              <w:pStyle w:val="lsTable"/>
              <w:rPr>
                <w:b/>
                <w:lang w:val="es-CO" w:eastAsia="es-CO"/>
              </w:rPr>
            </w:pPr>
          </w:p>
        </w:tc>
        <w:tc>
          <w:tcPr>
            <w:tcW w:w="1066" w:type="dxa"/>
            <w:hideMark/>
          </w:tcPr>
          <w:p w14:paraId="5914DB0E" w14:textId="77777777" w:rsidR="00CC6315" w:rsidRDefault="00CC6315" w:rsidP="00CC6315">
            <w:pPr>
              <w:pStyle w:val="lsTable"/>
              <w:rPr>
                <w:lang w:eastAsia="zh-CN"/>
              </w:rPr>
            </w:pPr>
            <w:r>
              <w:t>2.57</w:t>
            </w:r>
          </w:p>
          <w:p w14:paraId="03AFDC03" w14:textId="77777777" w:rsidR="00CC6315" w:rsidRDefault="00CC6315" w:rsidP="00CC6315">
            <w:pPr>
              <w:pStyle w:val="lsTable"/>
            </w:pPr>
            <w:r>
              <w:t>(0.69)</w:t>
            </w:r>
          </w:p>
          <w:p w14:paraId="1024993B" w14:textId="123B3012" w:rsidR="00CC6315" w:rsidRDefault="00CC6315" w:rsidP="00CC6315">
            <w:pPr>
              <w:pStyle w:val="lsTable"/>
            </w:pPr>
          </w:p>
        </w:tc>
        <w:tc>
          <w:tcPr>
            <w:tcW w:w="1060" w:type="dxa"/>
            <w:hideMark/>
          </w:tcPr>
          <w:p w14:paraId="67172A8C" w14:textId="77777777" w:rsidR="00CC6315" w:rsidRDefault="00CC6315" w:rsidP="00CC6315">
            <w:pPr>
              <w:pStyle w:val="lsTable"/>
            </w:pPr>
            <w:r>
              <w:t>2.66</w:t>
            </w:r>
          </w:p>
          <w:p w14:paraId="7EC82CF3" w14:textId="77777777" w:rsidR="00CC6315" w:rsidRDefault="00CC6315" w:rsidP="00CC6315">
            <w:pPr>
              <w:pStyle w:val="lsTable"/>
            </w:pPr>
            <w:r>
              <w:t>(0.75)</w:t>
            </w:r>
          </w:p>
        </w:tc>
        <w:tc>
          <w:tcPr>
            <w:tcW w:w="709" w:type="dxa"/>
          </w:tcPr>
          <w:p w14:paraId="60715C4A" w14:textId="77777777" w:rsidR="00CC6315" w:rsidRDefault="00CC6315" w:rsidP="00CC6315">
            <w:pPr>
              <w:pStyle w:val="lsTable"/>
            </w:pPr>
            <w:r>
              <w:t>0.58</w:t>
            </w:r>
          </w:p>
          <w:p w14:paraId="77EE6004" w14:textId="77777777" w:rsidR="00CC6315" w:rsidRDefault="00CC6315" w:rsidP="00CC6315">
            <w:pPr>
              <w:pStyle w:val="lsTable"/>
            </w:pPr>
          </w:p>
        </w:tc>
        <w:tc>
          <w:tcPr>
            <w:tcW w:w="913" w:type="dxa"/>
            <w:hideMark/>
          </w:tcPr>
          <w:p w14:paraId="0EE67131" w14:textId="77777777" w:rsidR="00CC6315" w:rsidRDefault="00CC6315" w:rsidP="00CC6315">
            <w:pPr>
              <w:pStyle w:val="lsTable"/>
            </w:pPr>
            <w:r>
              <w:t>2.62</w:t>
            </w:r>
          </w:p>
          <w:p w14:paraId="39912278" w14:textId="77777777" w:rsidR="00CC6315" w:rsidRDefault="00CC6315" w:rsidP="00CC6315">
            <w:pPr>
              <w:pStyle w:val="lsTable"/>
            </w:pPr>
            <w:r>
              <w:t>(0.86)</w:t>
            </w:r>
          </w:p>
        </w:tc>
        <w:tc>
          <w:tcPr>
            <w:tcW w:w="930" w:type="dxa"/>
            <w:hideMark/>
          </w:tcPr>
          <w:p w14:paraId="0FE41BE1" w14:textId="77777777" w:rsidR="00CC6315" w:rsidRDefault="00CC6315" w:rsidP="00CC6315">
            <w:pPr>
              <w:pStyle w:val="lsTable"/>
            </w:pPr>
            <w:r>
              <w:t>2.64</w:t>
            </w:r>
          </w:p>
          <w:p w14:paraId="3D0E48C0" w14:textId="77777777" w:rsidR="00CC6315" w:rsidRDefault="00CC6315" w:rsidP="00CC6315">
            <w:pPr>
              <w:pStyle w:val="lsTable"/>
            </w:pPr>
            <w:r>
              <w:t>(0.77)</w:t>
            </w:r>
          </w:p>
        </w:tc>
        <w:tc>
          <w:tcPr>
            <w:tcW w:w="638" w:type="dxa"/>
          </w:tcPr>
          <w:p w14:paraId="6809C890" w14:textId="77777777" w:rsidR="00CC6315" w:rsidRDefault="00CC6315" w:rsidP="00CC6315">
            <w:pPr>
              <w:pStyle w:val="lsTable"/>
            </w:pPr>
            <w:r>
              <w:t>0.78</w:t>
            </w:r>
          </w:p>
          <w:p w14:paraId="5A601BD8" w14:textId="77777777" w:rsidR="00CC6315" w:rsidRDefault="00CC6315" w:rsidP="00CC6315">
            <w:pPr>
              <w:pStyle w:val="lsTable"/>
            </w:pPr>
          </w:p>
        </w:tc>
      </w:tr>
      <w:tr w:rsidR="00CC6315" w14:paraId="77324B25" w14:textId="77777777" w:rsidTr="00CC6315">
        <w:trPr>
          <w:trHeight w:val="20"/>
        </w:trPr>
        <w:tc>
          <w:tcPr>
            <w:tcW w:w="1630" w:type="dxa"/>
            <w:vAlign w:val="center"/>
          </w:tcPr>
          <w:p w14:paraId="42A12C2F" w14:textId="77777777" w:rsidR="00CC6315" w:rsidRDefault="00CC6315" w:rsidP="00CC6315">
            <w:pPr>
              <w:pStyle w:val="lsTable"/>
              <w:rPr>
                <w:b/>
              </w:rPr>
            </w:pPr>
            <w:r>
              <w:rPr>
                <w:b/>
                <w:lang w:val="es-CO" w:eastAsia="es-CO"/>
              </w:rPr>
              <w:t>Vocabulary</w:t>
            </w:r>
          </w:p>
          <w:p w14:paraId="3C723AFE" w14:textId="77777777" w:rsidR="00CC6315" w:rsidRDefault="00CC6315" w:rsidP="00CC6315">
            <w:pPr>
              <w:pStyle w:val="lsTable"/>
              <w:rPr>
                <w:b/>
                <w:lang w:val="es-CO" w:eastAsia="es-CO"/>
              </w:rPr>
            </w:pPr>
          </w:p>
          <w:p w14:paraId="3C28F1C6" w14:textId="02FCEF3A" w:rsidR="00CC6315" w:rsidRDefault="00CC6315" w:rsidP="00CC6315">
            <w:pPr>
              <w:pStyle w:val="lsTable"/>
              <w:rPr>
                <w:b/>
                <w:lang w:val="es-CO" w:eastAsia="es-CO"/>
              </w:rPr>
            </w:pPr>
          </w:p>
        </w:tc>
        <w:tc>
          <w:tcPr>
            <w:tcW w:w="1066" w:type="dxa"/>
            <w:hideMark/>
          </w:tcPr>
          <w:p w14:paraId="09D00596" w14:textId="77777777" w:rsidR="00CC6315" w:rsidRDefault="00CC6315" w:rsidP="00CC6315">
            <w:pPr>
              <w:pStyle w:val="lsTable"/>
              <w:rPr>
                <w:lang w:eastAsia="zh-CN"/>
              </w:rPr>
            </w:pPr>
            <w:r>
              <w:t>2.48</w:t>
            </w:r>
          </w:p>
          <w:p w14:paraId="16C0F17C" w14:textId="77777777" w:rsidR="00CC6315" w:rsidRDefault="00CC6315" w:rsidP="00CC6315">
            <w:pPr>
              <w:pStyle w:val="lsTable"/>
            </w:pPr>
            <w:r>
              <w:t>(0.73)</w:t>
            </w:r>
          </w:p>
          <w:p w14:paraId="0C72F801" w14:textId="64F499E6" w:rsidR="00CC6315" w:rsidRDefault="00CC6315" w:rsidP="00CC6315">
            <w:pPr>
              <w:pStyle w:val="lsTable"/>
            </w:pPr>
          </w:p>
        </w:tc>
        <w:tc>
          <w:tcPr>
            <w:tcW w:w="1060" w:type="dxa"/>
            <w:hideMark/>
          </w:tcPr>
          <w:p w14:paraId="31A0EDCB" w14:textId="77777777" w:rsidR="00CC6315" w:rsidRDefault="00CC6315" w:rsidP="00CC6315">
            <w:pPr>
              <w:pStyle w:val="lsTable"/>
            </w:pPr>
            <w:r>
              <w:t>2.58</w:t>
            </w:r>
          </w:p>
          <w:p w14:paraId="05CF5DC4" w14:textId="77777777" w:rsidR="00CC6315" w:rsidRDefault="00CC6315" w:rsidP="00CC6315">
            <w:pPr>
              <w:pStyle w:val="lsTable"/>
            </w:pPr>
            <w:r>
              <w:t>(0.76)</w:t>
            </w:r>
          </w:p>
        </w:tc>
        <w:tc>
          <w:tcPr>
            <w:tcW w:w="709" w:type="dxa"/>
          </w:tcPr>
          <w:p w14:paraId="7F4CD395" w14:textId="77777777" w:rsidR="00CC6315" w:rsidRDefault="00CC6315" w:rsidP="00CC6315">
            <w:pPr>
              <w:pStyle w:val="lsTable"/>
            </w:pPr>
            <w:r>
              <w:t>0.66</w:t>
            </w:r>
          </w:p>
          <w:p w14:paraId="415E01DA" w14:textId="77777777" w:rsidR="00CC6315" w:rsidRDefault="00CC6315" w:rsidP="00CC6315">
            <w:pPr>
              <w:pStyle w:val="lsTable"/>
            </w:pPr>
          </w:p>
        </w:tc>
        <w:tc>
          <w:tcPr>
            <w:tcW w:w="913" w:type="dxa"/>
            <w:hideMark/>
          </w:tcPr>
          <w:p w14:paraId="4E79D273" w14:textId="77777777" w:rsidR="00CC6315" w:rsidRDefault="00CC6315" w:rsidP="00CC6315">
            <w:pPr>
              <w:pStyle w:val="lsTable"/>
            </w:pPr>
            <w:r>
              <w:t>2.53</w:t>
            </w:r>
          </w:p>
          <w:p w14:paraId="328B5FD8" w14:textId="77777777" w:rsidR="00CC6315" w:rsidRDefault="00CC6315" w:rsidP="00CC6315">
            <w:pPr>
              <w:pStyle w:val="lsTable"/>
            </w:pPr>
            <w:r>
              <w:t>(0.92)</w:t>
            </w:r>
          </w:p>
        </w:tc>
        <w:tc>
          <w:tcPr>
            <w:tcW w:w="930" w:type="dxa"/>
            <w:hideMark/>
          </w:tcPr>
          <w:p w14:paraId="27E8A1AF" w14:textId="77777777" w:rsidR="00CC6315" w:rsidRDefault="00CC6315" w:rsidP="00CC6315">
            <w:pPr>
              <w:pStyle w:val="lsTable"/>
            </w:pPr>
            <w:r>
              <w:t>2.47</w:t>
            </w:r>
          </w:p>
          <w:p w14:paraId="228F839A" w14:textId="77777777" w:rsidR="00CC6315" w:rsidRDefault="00CC6315" w:rsidP="00CC6315">
            <w:pPr>
              <w:pStyle w:val="lsTable"/>
            </w:pPr>
            <w:r>
              <w:t>(0.79)</w:t>
            </w:r>
          </w:p>
        </w:tc>
        <w:tc>
          <w:tcPr>
            <w:tcW w:w="638" w:type="dxa"/>
          </w:tcPr>
          <w:p w14:paraId="76B87A4B" w14:textId="77777777" w:rsidR="00CC6315" w:rsidRDefault="00CC6315" w:rsidP="00CC6315">
            <w:pPr>
              <w:pStyle w:val="lsTable"/>
            </w:pPr>
            <w:r>
              <w:t>0.68</w:t>
            </w:r>
          </w:p>
          <w:p w14:paraId="1E3876CD" w14:textId="77777777" w:rsidR="00CC6315" w:rsidRDefault="00CC6315" w:rsidP="00CC6315">
            <w:pPr>
              <w:pStyle w:val="lsTable"/>
            </w:pPr>
          </w:p>
        </w:tc>
      </w:tr>
      <w:tr w:rsidR="00CC6315" w14:paraId="20469114" w14:textId="77777777" w:rsidTr="00CC6315">
        <w:trPr>
          <w:trHeight w:val="758"/>
        </w:trPr>
        <w:tc>
          <w:tcPr>
            <w:tcW w:w="1630" w:type="dxa"/>
          </w:tcPr>
          <w:p w14:paraId="5F79BEE1" w14:textId="77777777" w:rsidR="00CC6315" w:rsidRDefault="00CC6315" w:rsidP="00CC6315">
            <w:pPr>
              <w:pStyle w:val="lsTable"/>
              <w:rPr>
                <w:b/>
                <w:lang w:val="es-CO" w:eastAsia="es-CO"/>
              </w:rPr>
            </w:pPr>
            <w:r>
              <w:rPr>
                <w:b/>
                <w:lang w:val="es-CO" w:eastAsia="es-CO"/>
              </w:rPr>
              <w:t>Total Score</w:t>
            </w:r>
          </w:p>
          <w:p w14:paraId="00024856" w14:textId="0DF405F1" w:rsidR="00CC6315" w:rsidRDefault="00CC6315" w:rsidP="00CC6315">
            <w:pPr>
              <w:pStyle w:val="lsTable"/>
              <w:rPr>
                <w:b/>
              </w:rPr>
            </w:pPr>
          </w:p>
        </w:tc>
        <w:tc>
          <w:tcPr>
            <w:tcW w:w="1066" w:type="dxa"/>
          </w:tcPr>
          <w:p w14:paraId="729DBCC4" w14:textId="77777777" w:rsidR="00CC6315" w:rsidRDefault="00CC6315" w:rsidP="00CC6315">
            <w:pPr>
              <w:pStyle w:val="lsTable"/>
            </w:pPr>
            <w:r>
              <w:t>9.52</w:t>
            </w:r>
          </w:p>
          <w:p w14:paraId="799E701E" w14:textId="1212F87A" w:rsidR="00CC6315" w:rsidRDefault="00CC6315" w:rsidP="00CC6315">
            <w:pPr>
              <w:pStyle w:val="lsTable"/>
            </w:pPr>
            <w:r>
              <w:t>(2.32)</w:t>
            </w:r>
          </w:p>
        </w:tc>
        <w:tc>
          <w:tcPr>
            <w:tcW w:w="1060" w:type="dxa"/>
          </w:tcPr>
          <w:p w14:paraId="4E4037DE" w14:textId="77777777" w:rsidR="00CC6315" w:rsidRDefault="00CC6315" w:rsidP="00CC6315">
            <w:pPr>
              <w:pStyle w:val="lsTable"/>
            </w:pPr>
            <w:r>
              <w:t>11.27</w:t>
            </w:r>
          </w:p>
          <w:p w14:paraId="35941F7F" w14:textId="49D63D55" w:rsidR="00CC6315" w:rsidRDefault="00CC6315" w:rsidP="00CC6315">
            <w:pPr>
              <w:pStyle w:val="lsTable"/>
            </w:pPr>
            <w:r>
              <w:t>(2.76)</w:t>
            </w:r>
          </w:p>
        </w:tc>
        <w:tc>
          <w:tcPr>
            <w:tcW w:w="709" w:type="dxa"/>
          </w:tcPr>
          <w:p w14:paraId="0E891ED6" w14:textId="77777777" w:rsidR="00CC6315" w:rsidRDefault="00CC6315" w:rsidP="00CC6315">
            <w:pPr>
              <w:pStyle w:val="lsTable"/>
            </w:pPr>
            <w:r>
              <w:t>0.60</w:t>
            </w:r>
          </w:p>
          <w:p w14:paraId="3D70A719" w14:textId="77777777" w:rsidR="00CC6315" w:rsidRDefault="00CC6315" w:rsidP="00CC6315">
            <w:pPr>
              <w:pStyle w:val="lsTable"/>
            </w:pPr>
          </w:p>
        </w:tc>
        <w:tc>
          <w:tcPr>
            <w:tcW w:w="913" w:type="dxa"/>
          </w:tcPr>
          <w:p w14:paraId="25C73C21" w14:textId="77777777" w:rsidR="00CC6315" w:rsidRDefault="00CC6315" w:rsidP="00CC6315">
            <w:pPr>
              <w:pStyle w:val="lsTable"/>
            </w:pPr>
            <w:r>
              <w:t>10.01</w:t>
            </w:r>
          </w:p>
          <w:p w14:paraId="18E7188B" w14:textId="65EE5369" w:rsidR="00CC6315" w:rsidRDefault="00CC6315" w:rsidP="00CC6315">
            <w:pPr>
              <w:pStyle w:val="lsTable"/>
            </w:pPr>
            <w:r>
              <w:t>(3.44)</w:t>
            </w:r>
          </w:p>
        </w:tc>
        <w:tc>
          <w:tcPr>
            <w:tcW w:w="930" w:type="dxa"/>
          </w:tcPr>
          <w:p w14:paraId="74A55A1E" w14:textId="77777777" w:rsidR="00CC6315" w:rsidRDefault="00CC6315" w:rsidP="00CC6315">
            <w:pPr>
              <w:pStyle w:val="lsTable"/>
            </w:pPr>
            <w:r>
              <w:t>10.97</w:t>
            </w:r>
          </w:p>
          <w:p w14:paraId="5993F84B" w14:textId="201AE78B" w:rsidR="00CC6315" w:rsidRDefault="00CC6315" w:rsidP="00CC6315">
            <w:pPr>
              <w:pStyle w:val="lsTable"/>
            </w:pPr>
            <w:r>
              <w:t>(2.91)</w:t>
            </w:r>
          </w:p>
        </w:tc>
        <w:tc>
          <w:tcPr>
            <w:tcW w:w="638" w:type="dxa"/>
          </w:tcPr>
          <w:p w14:paraId="1CA93A1A" w14:textId="77777777" w:rsidR="00CC6315" w:rsidRDefault="00CC6315" w:rsidP="00CC6315">
            <w:pPr>
              <w:pStyle w:val="lsTable"/>
            </w:pPr>
            <w:r>
              <w:t>0.81</w:t>
            </w:r>
          </w:p>
          <w:p w14:paraId="2326BDA8" w14:textId="77777777" w:rsidR="00CC6315" w:rsidRDefault="00CC6315" w:rsidP="00CC6315">
            <w:pPr>
              <w:pStyle w:val="lsTable"/>
            </w:pPr>
          </w:p>
        </w:tc>
      </w:tr>
    </w:tbl>
    <w:p w14:paraId="3CA462A4" w14:textId="5DE582AD" w:rsidR="00CC6315" w:rsidRDefault="00CC6315" w:rsidP="00CC6315">
      <w:r>
        <w:rPr>
          <w:i/>
          <w:color w:val="000000"/>
          <w:szCs w:val="20"/>
          <w:lang w:val="en-GB"/>
        </w:rPr>
        <w:t>Table 5: Holistic ratings and Intra-class correlation for both evaluators and programmes</w:t>
      </w:r>
    </w:p>
    <w:p w14:paraId="19E1ACFD" w14:textId="0F034D56" w:rsidR="00CC6315" w:rsidRDefault="00CC6315" w:rsidP="00CC6315">
      <w:pPr>
        <w:pStyle w:val="lsSection1"/>
      </w:pPr>
      <w:r>
        <w:t>Results</w:t>
      </w:r>
    </w:p>
    <w:p w14:paraId="099102DE" w14:textId="2326ED48" w:rsidR="00CC6315" w:rsidRDefault="00CC6315" w:rsidP="00CC6315">
      <w:pPr>
        <w:pStyle w:val="lsSection2"/>
      </w:pPr>
      <w:r>
        <w:t>CAF measures</w:t>
      </w:r>
    </w:p>
    <w:p w14:paraId="4AB06C9F" w14:textId="77777777" w:rsidR="00CC6315" w:rsidRDefault="00CC6315" w:rsidP="00CC6315">
      <w:pPr>
        <w:rPr>
          <w:lang w:eastAsia="zh-CN"/>
        </w:rPr>
      </w:pPr>
      <w:r>
        <w:rPr>
          <w:lang w:val="en-GB"/>
        </w:rPr>
        <w:t xml:space="preserve">The outcomes of CAF analysis for both programmes are shown in Table 6. Three measures are used for syntactic complexity: independent and dependent clauses per sentence, and the Coordinated Clause Ratio (IndepCS, DepCS and CoordCR). In terms of all these measures, the HI+ group has lower figures than the HI group, which appears to produce slightly more coordinations and subordinations throughout its scripts. Lexical complexity, as measured by D and the Guiraud index, proves to be similar in both groups, with relatively low values of D (between 42 and 43). As regards accuracy, the Errors per 100 words (Err/100) measure shows similar results for both programmes. Regarding grammar errors per 100 words (GrErrr/100), HI+ students produce an average of 9.09 errors per 100 words and the HI students produce 11.72.  Lastly, fluency measured through the number of words per sentence (WS)  appears  higher in the HI group, </w:t>
      </w:r>
      <w:r>
        <w:rPr>
          <w:lang w:val="en-GB"/>
        </w:rPr>
        <w:lastRenderedPageBreak/>
        <w:t xml:space="preserve">while it his slightly higher in the HI+ group when measured in terms of words per minute (WM) (in a 20-minute task). </w:t>
      </w:r>
    </w:p>
    <w:p w14:paraId="6D43EA1F" w14:textId="77777777" w:rsidR="00CC6315" w:rsidRDefault="00CC6315" w:rsidP="00CC6315"/>
    <w:tbl>
      <w:tblPr>
        <w:tblW w:w="0" w:type="auto"/>
        <w:tblLayout w:type="fixed"/>
        <w:tblCellMar>
          <w:left w:w="70" w:type="dxa"/>
          <w:right w:w="70" w:type="dxa"/>
        </w:tblCellMar>
        <w:tblLook w:val="04A0" w:firstRow="1" w:lastRow="0" w:firstColumn="1" w:lastColumn="0" w:noHBand="0" w:noVBand="1"/>
      </w:tblPr>
      <w:tblGrid>
        <w:gridCol w:w="1247"/>
        <w:gridCol w:w="1434"/>
        <w:gridCol w:w="703"/>
        <w:gridCol w:w="818"/>
        <w:gridCol w:w="680"/>
        <w:gridCol w:w="704"/>
        <w:gridCol w:w="822"/>
        <w:gridCol w:w="683"/>
        <w:gridCol w:w="878"/>
        <w:gridCol w:w="680"/>
      </w:tblGrid>
      <w:tr w:rsidR="00CC6315" w14:paraId="01E94C3A" w14:textId="77777777" w:rsidTr="00CC6315">
        <w:trPr>
          <w:trHeight w:val="315"/>
        </w:trPr>
        <w:tc>
          <w:tcPr>
            <w:tcW w:w="1247" w:type="dxa"/>
            <w:vAlign w:val="center"/>
          </w:tcPr>
          <w:p w14:paraId="096A736E" w14:textId="77777777" w:rsidR="00CC6315" w:rsidRDefault="00CC6315" w:rsidP="00CC6315">
            <w:pPr>
              <w:pStyle w:val="lsTableHeading"/>
              <w:jc w:val="center"/>
              <w:rPr>
                <w:lang w:eastAsia="zh-CN"/>
              </w:rPr>
            </w:pPr>
          </w:p>
        </w:tc>
        <w:tc>
          <w:tcPr>
            <w:tcW w:w="1434" w:type="dxa"/>
            <w:vAlign w:val="center"/>
          </w:tcPr>
          <w:p w14:paraId="53DAF204" w14:textId="77777777" w:rsidR="00CC6315" w:rsidRDefault="00CC6315" w:rsidP="00CC6315">
            <w:pPr>
              <w:pStyle w:val="lsTableHeading"/>
              <w:jc w:val="center"/>
            </w:pPr>
          </w:p>
        </w:tc>
        <w:tc>
          <w:tcPr>
            <w:tcW w:w="703" w:type="dxa"/>
            <w:tcBorders>
              <w:top w:val="nil"/>
              <w:left w:val="nil"/>
              <w:bottom w:val="single" w:sz="4" w:space="0" w:color="000080"/>
              <w:right w:val="nil"/>
            </w:tcBorders>
            <w:vAlign w:val="center"/>
            <w:hideMark/>
          </w:tcPr>
          <w:p w14:paraId="11835FFE" w14:textId="77777777" w:rsidR="00CC6315" w:rsidRDefault="00CC6315" w:rsidP="00CC6315">
            <w:pPr>
              <w:pStyle w:val="lsTableHeading"/>
              <w:jc w:val="center"/>
            </w:pPr>
            <w:r>
              <w:t>HI+</w:t>
            </w:r>
          </w:p>
        </w:tc>
        <w:tc>
          <w:tcPr>
            <w:tcW w:w="818" w:type="dxa"/>
            <w:tcBorders>
              <w:top w:val="nil"/>
              <w:left w:val="nil"/>
              <w:bottom w:val="single" w:sz="4" w:space="0" w:color="000080"/>
              <w:right w:val="nil"/>
            </w:tcBorders>
            <w:vAlign w:val="center"/>
          </w:tcPr>
          <w:p w14:paraId="78065342" w14:textId="77777777" w:rsidR="00CC6315" w:rsidRDefault="00CC6315" w:rsidP="00CC6315">
            <w:pPr>
              <w:pStyle w:val="lsTableHeading"/>
              <w:jc w:val="center"/>
            </w:pPr>
          </w:p>
        </w:tc>
        <w:tc>
          <w:tcPr>
            <w:tcW w:w="680" w:type="dxa"/>
            <w:tcBorders>
              <w:top w:val="nil"/>
              <w:left w:val="nil"/>
              <w:bottom w:val="single" w:sz="4" w:space="0" w:color="000080"/>
              <w:right w:val="nil"/>
            </w:tcBorders>
            <w:vAlign w:val="center"/>
          </w:tcPr>
          <w:p w14:paraId="25B50FD4" w14:textId="77777777" w:rsidR="00CC6315" w:rsidRDefault="00CC6315" w:rsidP="00CC6315">
            <w:pPr>
              <w:pStyle w:val="lsTableHeading"/>
              <w:jc w:val="center"/>
            </w:pPr>
          </w:p>
        </w:tc>
        <w:tc>
          <w:tcPr>
            <w:tcW w:w="704" w:type="dxa"/>
            <w:tcBorders>
              <w:top w:val="nil"/>
              <w:left w:val="nil"/>
              <w:bottom w:val="single" w:sz="4" w:space="0" w:color="000080"/>
              <w:right w:val="nil"/>
            </w:tcBorders>
            <w:vAlign w:val="center"/>
          </w:tcPr>
          <w:p w14:paraId="2E2CED71" w14:textId="77777777" w:rsidR="00CC6315" w:rsidRDefault="00CC6315" w:rsidP="00CC6315">
            <w:pPr>
              <w:pStyle w:val="lsTableHeading"/>
              <w:jc w:val="center"/>
            </w:pPr>
          </w:p>
        </w:tc>
        <w:tc>
          <w:tcPr>
            <w:tcW w:w="822" w:type="dxa"/>
            <w:tcBorders>
              <w:top w:val="nil"/>
              <w:left w:val="nil"/>
              <w:bottom w:val="single" w:sz="4" w:space="0" w:color="000080"/>
              <w:right w:val="nil"/>
            </w:tcBorders>
            <w:vAlign w:val="center"/>
            <w:hideMark/>
          </w:tcPr>
          <w:p w14:paraId="0C9DCF16" w14:textId="77777777" w:rsidR="00CC6315" w:rsidRDefault="00CC6315" w:rsidP="00CC6315">
            <w:pPr>
              <w:pStyle w:val="lsTableHeading"/>
              <w:jc w:val="center"/>
            </w:pPr>
            <w:r>
              <w:t>HI</w:t>
            </w:r>
          </w:p>
        </w:tc>
        <w:tc>
          <w:tcPr>
            <w:tcW w:w="683" w:type="dxa"/>
            <w:tcBorders>
              <w:top w:val="nil"/>
              <w:left w:val="nil"/>
              <w:bottom w:val="single" w:sz="4" w:space="0" w:color="000080"/>
              <w:right w:val="nil"/>
            </w:tcBorders>
            <w:vAlign w:val="center"/>
          </w:tcPr>
          <w:p w14:paraId="1D1E39F7" w14:textId="77777777" w:rsidR="00CC6315" w:rsidRDefault="00CC6315" w:rsidP="00CC6315">
            <w:pPr>
              <w:pStyle w:val="lsTableHeading"/>
              <w:jc w:val="center"/>
            </w:pPr>
          </w:p>
        </w:tc>
        <w:tc>
          <w:tcPr>
            <w:tcW w:w="878" w:type="dxa"/>
            <w:tcBorders>
              <w:top w:val="nil"/>
              <w:left w:val="nil"/>
              <w:bottom w:val="single" w:sz="4" w:space="0" w:color="000080"/>
              <w:right w:val="nil"/>
            </w:tcBorders>
            <w:vAlign w:val="center"/>
          </w:tcPr>
          <w:p w14:paraId="2BA26A56" w14:textId="77777777" w:rsidR="00CC6315" w:rsidRDefault="00CC6315" w:rsidP="00CC6315">
            <w:pPr>
              <w:pStyle w:val="lsTableHeading"/>
              <w:jc w:val="center"/>
            </w:pPr>
          </w:p>
        </w:tc>
        <w:tc>
          <w:tcPr>
            <w:tcW w:w="680" w:type="dxa"/>
            <w:tcBorders>
              <w:top w:val="nil"/>
              <w:left w:val="nil"/>
              <w:bottom w:val="single" w:sz="4" w:space="0" w:color="000080"/>
              <w:right w:val="nil"/>
            </w:tcBorders>
            <w:vAlign w:val="center"/>
          </w:tcPr>
          <w:p w14:paraId="10D62229" w14:textId="77777777" w:rsidR="00CC6315" w:rsidRDefault="00CC6315" w:rsidP="00CC6315">
            <w:pPr>
              <w:pStyle w:val="lsTableHeading"/>
              <w:jc w:val="center"/>
            </w:pPr>
          </w:p>
        </w:tc>
      </w:tr>
      <w:tr w:rsidR="00CC6315" w14:paraId="672B034B" w14:textId="77777777" w:rsidTr="00CC6315">
        <w:trPr>
          <w:trHeight w:val="510"/>
        </w:trPr>
        <w:tc>
          <w:tcPr>
            <w:tcW w:w="1247" w:type="dxa"/>
            <w:tcBorders>
              <w:top w:val="single" w:sz="4" w:space="0" w:color="000080"/>
              <w:left w:val="nil"/>
              <w:bottom w:val="single" w:sz="4" w:space="0" w:color="000080"/>
              <w:right w:val="nil"/>
            </w:tcBorders>
            <w:vAlign w:val="center"/>
            <w:hideMark/>
          </w:tcPr>
          <w:p w14:paraId="6E1DEB90" w14:textId="77777777" w:rsidR="00CC6315" w:rsidRDefault="00CC6315" w:rsidP="00CC6315">
            <w:pPr>
              <w:pStyle w:val="lsTableHeading"/>
              <w:jc w:val="center"/>
            </w:pPr>
            <w:r>
              <w:t>Domain</w:t>
            </w:r>
          </w:p>
        </w:tc>
        <w:tc>
          <w:tcPr>
            <w:tcW w:w="1434" w:type="dxa"/>
            <w:tcBorders>
              <w:top w:val="single" w:sz="4" w:space="0" w:color="000080"/>
              <w:left w:val="nil"/>
              <w:bottom w:val="single" w:sz="4" w:space="0" w:color="000080"/>
              <w:right w:val="nil"/>
            </w:tcBorders>
            <w:vAlign w:val="center"/>
            <w:hideMark/>
          </w:tcPr>
          <w:p w14:paraId="0CE2F0C0" w14:textId="77777777" w:rsidR="00CC6315" w:rsidRDefault="00CC6315" w:rsidP="00CC6315">
            <w:pPr>
              <w:pStyle w:val="lsTableHeading"/>
              <w:jc w:val="center"/>
            </w:pPr>
            <w:r>
              <w:t>Measure</w:t>
            </w:r>
          </w:p>
        </w:tc>
        <w:tc>
          <w:tcPr>
            <w:tcW w:w="703" w:type="dxa"/>
            <w:tcBorders>
              <w:top w:val="single" w:sz="4" w:space="0" w:color="000080"/>
              <w:left w:val="nil"/>
              <w:bottom w:val="single" w:sz="4" w:space="0" w:color="000080"/>
              <w:right w:val="nil"/>
            </w:tcBorders>
            <w:vAlign w:val="center"/>
            <w:hideMark/>
          </w:tcPr>
          <w:p w14:paraId="793A9C7C" w14:textId="77777777" w:rsidR="00CC6315" w:rsidRDefault="00CC6315" w:rsidP="00CC6315">
            <w:pPr>
              <w:pStyle w:val="lsTableHeading"/>
              <w:jc w:val="center"/>
            </w:pPr>
            <w:r>
              <w:t>mean</w:t>
            </w:r>
          </w:p>
        </w:tc>
        <w:tc>
          <w:tcPr>
            <w:tcW w:w="818" w:type="dxa"/>
            <w:tcBorders>
              <w:top w:val="single" w:sz="4" w:space="0" w:color="000080"/>
              <w:left w:val="nil"/>
              <w:bottom w:val="single" w:sz="4" w:space="0" w:color="000080"/>
              <w:right w:val="nil"/>
            </w:tcBorders>
            <w:vAlign w:val="center"/>
            <w:hideMark/>
          </w:tcPr>
          <w:p w14:paraId="58923DBA" w14:textId="77777777" w:rsidR="00CC6315" w:rsidRDefault="00CC6315" w:rsidP="00CC6315">
            <w:pPr>
              <w:pStyle w:val="lsTableHeading"/>
              <w:jc w:val="center"/>
            </w:pPr>
            <w:r>
              <w:rPr>
                <w:i/>
              </w:rPr>
              <w:t>sd</w:t>
            </w:r>
          </w:p>
        </w:tc>
        <w:tc>
          <w:tcPr>
            <w:tcW w:w="680" w:type="dxa"/>
            <w:tcBorders>
              <w:top w:val="single" w:sz="4" w:space="0" w:color="000080"/>
              <w:left w:val="nil"/>
              <w:bottom w:val="single" w:sz="4" w:space="0" w:color="000080"/>
              <w:right w:val="nil"/>
            </w:tcBorders>
            <w:vAlign w:val="center"/>
            <w:hideMark/>
          </w:tcPr>
          <w:p w14:paraId="7D56EBFF" w14:textId="77777777" w:rsidR="00CC6315" w:rsidRDefault="00CC6315" w:rsidP="00CC6315">
            <w:pPr>
              <w:pStyle w:val="lsTableHeading"/>
              <w:jc w:val="center"/>
            </w:pPr>
            <w:r>
              <w:t>Min.</w:t>
            </w:r>
          </w:p>
        </w:tc>
        <w:tc>
          <w:tcPr>
            <w:tcW w:w="704" w:type="dxa"/>
            <w:tcBorders>
              <w:top w:val="single" w:sz="4" w:space="0" w:color="000080"/>
              <w:left w:val="nil"/>
              <w:bottom w:val="single" w:sz="4" w:space="0" w:color="000080"/>
              <w:right w:val="nil"/>
            </w:tcBorders>
            <w:vAlign w:val="center"/>
            <w:hideMark/>
          </w:tcPr>
          <w:p w14:paraId="0AA89744" w14:textId="77777777" w:rsidR="00CC6315" w:rsidRDefault="00CC6315" w:rsidP="00CC6315">
            <w:pPr>
              <w:pStyle w:val="lsTableHeading"/>
              <w:jc w:val="center"/>
            </w:pPr>
            <w:r>
              <w:t>Max.</w:t>
            </w:r>
          </w:p>
        </w:tc>
        <w:tc>
          <w:tcPr>
            <w:tcW w:w="822" w:type="dxa"/>
            <w:tcBorders>
              <w:top w:val="single" w:sz="4" w:space="0" w:color="000080"/>
              <w:left w:val="nil"/>
              <w:bottom w:val="single" w:sz="4" w:space="0" w:color="000080"/>
              <w:right w:val="nil"/>
            </w:tcBorders>
            <w:vAlign w:val="center"/>
            <w:hideMark/>
          </w:tcPr>
          <w:p w14:paraId="00BFC879" w14:textId="77777777" w:rsidR="00CC6315" w:rsidRDefault="00CC6315" w:rsidP="00CC6315">
            <w:pPr>
              <w:pStyle w:val="lsTableHeading"/>
              <w:jc w:val="center"/>
            </w:pPr>
            <w:r>
              <w:t>mean</w:t>
            </w:r>
          </w:p>
        </w:tc>
        <w:tc>
          <w:tcPr>
            <w:tcW w:w="683" w:type="dxa"/>
            <w:tcBorders>
              <w:top w:val="single" w:sz="4" w:space="0" w:color="000080"/>
              <w:left w:val="nil"/>
              <w:bottom w:val="single" w:sz="4" w:space="0" w:color="000080"/>
              <w:right w:val="nil"/>
            </w:tcBorders>
            <w:vAlign w:val="center"/>
            <w:hideMark/>
          </w:tcPr>
          <w:p w14:paraId="587A8958" w14:textId="77777777" w:rsidR="00CC6315" w:rsidRDefault="00CC6315" w:rsidP="00CC6315">
            <w:pPr>
              <w:pStyle w:val="lsTableHeading"/>
              <w:jc w:val="center"/>
            </w:pPr>
            <w:r>
              <w:rPr>
                <w:i/>
              </w:rPr>
              <w:t>sd</w:t>
            </w:r>
          </w:p>
        </w:tc>
        <w:tc>
          <w:tcPr>
            <w:tcW w:w="878" w:type="dxa"/>
            <w:tcBorders>
              <w:top w:val="single" w:sz="4" w:space="0" w:color="000080"/>
              <w:left w:val="nil"/>
              <w:bottom w:val="single" w:sz="4" w:space="0" w:color="000080"/>
              <w:right w:val="nil"/>
            </w:tcBorders>
            <w:vAlign w:val="center"/>
            <w:hideMark/>
          </w:tcPr>
          <w:p w14:paraId="6FF3E86F" w14:textId="77777777" w:rsidR="00CC6315" w:rsidRDefault="00CC6315" w:rsidP="00CC6315">
            <w:pPr>
              <w:pStyle w:val="lsTableHeading"/>
              <w:jc w:val="center"/>
            </w:pPr>
            <w:r>
              <w:t>Min.</w:t>
            </w:r>
          </w:p>
        </w:tc>
        <w:tc>
          <w:tcPr>
            <w:tcW w:w="680" w:type="dxa"/>
            <w:tcBorders>
              <w:top w:val="single" w:sz="4" w:space="0" w:color="000080"/>
              <w:left w:val="nil"/>
              <w:bottom w:val="single" w:sz="4" w:space="0" w:color="000080"/>
              <w:right w:val="nil"/>
            </w:tcBorders>
            <w:vAlign w:val="center"/>
            <w:hideMark/>
          </w:tcPr>
          <w:p w14:paraId="7B28CC1A" w14:textId="77777777" w:rsidR="00CC6315" w:rsidRDefault="00CC6315" w:rsidP="00CC6315">
            <w:pPr>
              <w:pStyle w:val="lsTableHeading"/>
              <w:jc w:val="center"/>
            </w:pPr>
            <w:r>
              <w:t>Max.</w:t>
            </w:r>
          </w:p>
        </w:tc>
      </w:tr>
      <w:tr w:rsidR="00CC6315" w14:paraId="31EDAC1D" w14:textId="77777777" w:rsidTr="00CC6315">
        <w:trPr>
          <w:trHeight w:val="495"/>
        </w:trPr>
        <w:tc>
          <w:tcPr>
            <w:tcW w:w="1247" w:type="dxa"/>
            <w:tcBorders>
              <w:top w:val="single" w:sz="4" w:space="0" w:color="000080"/>
              <w:left w:val="nil"/>
              <w:bottom w:val="nil"/>
              <w:right w:val="nil"/>
            </w:tcBorders>
            <w:vAlign w:val="center"/>
            <w:hideMark/>
          </w:tcPr>
          <w:p w14:paraId="782A4C34" w14:textId="77777777" w:rsidR="00CC6315" w:rsidRDefault="00CC6315" w:rsidP="00CC6315">
            <w:pPr>
              <w:pStyle w:val="lsTableHeading"/>
            </w:pPr>
            <w:r>
              <w:rPr>
                <w:lang w:val="en-GB" w:eastAsia="es-CO" w:bidi="ar-SA"/>
              </w:rPr>
              <w:t>Syntactic Complexiy</w:t>
            </w:r>
          </w:p>
        </w:tc>
        <w:tc>
          <w:tcPr>
            <w:tcW w:w="1434" w:type="dxa"/>
            <w:tcBorders>
              <w:top w:val="single" w:sz="4" w:space="0" w:color="000080"/>
              <w:left w:val="nil"/>
              <w:bottom w:val="nil"/>
              <w:right w:val="nil"/>
            </w:tcBorders>
            <w:vAlign w:val="center"/>
            <w:hideMark/>
          </w:tcPr>
          <w:p w14:paraId="09BA5FAE" w14:textId="77777777" w:rsidR="00CC6315" w:rsidRDefault="00CC6315" w:rsidP="00CC6315">
            <w:pPr>
              <w:pStyle w:val="lsTable"/>
            </w:pPr>
            <w:r>
              <w:t>IndepCS</w:t>
            </w:r>
          </w:p>
        </w:tc>
        <w:tc>
          <w:tcPr>
            <w:tcW w:w="703" w:type="dxa"/>
            <w:tcBorders>
              <w:top w:val="single" w:sz="4" w:space="0" w:color="000080"/>
              <w:left w:val="nil"/>
              <w:bottom w:val="nil"/>
              <w:right w:val="nil"/>
            </w:tcBorders>
            <w:vAlign w:val="center"/>
            <w:hideMark/>
          </w:tcPr>
          <w:p w14:paraId="4DF54231" w14:textId="77777777" w:rsidR="00CC6315" w:rsidRDefault="00CC6315" w:rsidP="00CC6315">
            <w:pPr>
              <w:pStyle w:val="lsTable"/>
            </w:pPr>
            <w:r>
              <w:rPr>
                <w:rFonts w:eastAsia="Times New Roman"/>
                <w:color w:val="000000"/>
                <w:lang w:val="es-CO" w:eastAsia="es-CO" w:bidi="ar-SA"/>
              </w:rPr>
              <w:t>2.68</w:t>
            </w:r>
          </w:p>
        </w:tc>
        <w:tc>
          <w:tcPr>
            <w:tcW w:w="818" w:type="dxa"/>
            <w:tcBorders>
              <w:top w:val="single" w:sz="4" w:space="0" w:color="000080"/>
              <w:left w:val="nil"/>
              <w:bottom w:val="nil"/>
              <w:right w:val="nil"/>
            </w:tcBorders>
            <w:vAlign w:val="center"/>
            <w:hideMark/>
          </w:tcPr>
          <w:p w14:paraId="54F9438A" w14:textId="77777777" w:rsidR="00CC6315" w:rsidRDefault="00CC6315" w:rsidP="00CC6315">
            <w:pPr>
              <w:pStyle w:val="lsTable"/>
            </w:pPr>
            <w:r>
              <w:rPr>
                <w:rFonts w:eastAsia="Times New Roman"/>
                <w:color w:val="000000"/>
                <w:lang w:val="es-CO" w:eastAsia="es-CO" w:bidi="ar-SA"/>
              </w:rPr>
              <w:t>0.76</w:t>
            </w:r>
          </w:p>
        </w:tc>
        <w:tc>
          <w:tcPr>
            <w:tcW w:w="680" w:type="dxa"/>
            <w:tcBorders>
              <w:top w:val="single" w:sz="4" w:space="0" w:color="000080"/>
              <w:left w:val="nil"/>
              <w:bottom w:val="nil"/>
              <w:right w:val="nil"/>
            </w:tcBorders>
            <w:vAlign w:val="center"/>
            <w:hideMark/>
          </w:tcPr>
          <w:p w14:paraId="79A0FAFE" w14:textId="77777777" w:rsidR="00CC6315" w:rsidRDefault="00CC6315" w:rsidP="00CC6315">
            <w:pPr>
              <w:pStyle w:val="lsTable"/>
            </w:pPr>
            <w:r>
              <w:rPr>
                <w:rFonts w:eastAsia="Times New Roman"/>
                <w:color w:val="000000"/>
                <w:lang w:val="en-GB" w:eastAsia="es-CO" w:bidi="ar-SA"/>
              </w:rPr>
              <w:t>1.2</w:t>
            </w:r>
          </w:p>
        </w:tc>
        <w:tc>
          <w:tcPr>
            <w:tcW w:w="704" w:type="dxa"/>
            <w:tcBorders>
              <w:top w:val="single" w:sz="4" w:space="0" w:color="000080"/>
              <w:left w:val="nil"/>
              <w:bottom w:val="nil"/>
              <w:right w:val="nil"/>
            </w:tcBorders>
            <w:vAlign w:val="center"/>
            <w:hideMark/>
          </w:tcPr>
          <w:p w14:paraId="2FC9D7C3" w14:textId="77777777" w:rsidR="00CC6315" w:rsidRDefault="00CC6315" w:rsidP="00CC6315">
            <w:pPr>
              <w:pStyle w:val="lsTable"/>
            </w:pPr>
            <w:r>
              <w:rPr>
                <w:rFonts w:eastAsia="Times New Roman"/>
                <w:color w:val="000000"/>
                <w:lang w:val="en-GB" w:eastAsia="es-CO" w:bidi="ar-SA"/>
              </w:rPr>
              <w:t>7</w:t>
            </w:r>
          </w:p>
        </w:tc>
        <w:tc>
          <w:tcPr>
            <w:tcW w:w="822" w:type="dxa"/>
            <w:tcBorders>
              <w:top w:val="single" w:sz="4" w:space="0" w:color="000080"/>
              <w:left w:val="nil"/>
              <w:bottom w:val="nil"/>
              <w:right w:val="nil"/>
            </w:tcBorders>
            <w:vAlign w:val="center"/>
            <w:hideMark/>
          </w:tcPr>
          <w:p w14:paraId="6D67267C" w14:textId="77777777" w:rsidR="00CC6315" w:rsidRDefault="00CC6315" w:rsidP="00CC6315">
            <w:pPr>
              <w:pStyle w:val="lsTable"/>
            </w:pPr>
            <w:r>
              <w:rPr>
                <w:rFonts w:eastAsia="Times New Roman"/>
                <w:color w:val="000000"/>
                <w:lang w:val="es-CO" w:eastAsia="es-CO" w:bidi="ar-SA"/>
              </w:rPr>
              <w:t>3.26</w:t>
            </w:r>
          </w:p>
        </w:tc>
        <w:tc>
          <w:tcPr>
            <w:tcW w:w="683" w:type="dxa"/>
            <w:tcBorders>
              <w:top w:val="single" w:sz="4" w:space="0" w:color="000080"/>
              <w:left w:val="nil"/>
              <w:bottom w:val="nil"/>
              <w:right w:val="nil"/>
            </w:tcBorders>
            <w:vAlign w:val="center"/>
            <w:hideMark/>
          </w:tcPr>
          <w:p w14:paraId="293C4A4D" w14:textId="77777777" w:rsidR="00CC6315" w:rsidRDefault="00CC6315" w:rsidP="00CC6315">
            <w:pPr>
              <w:pStyle w:val="lsTable"/>
            </w:pPr>
            <w:r>
              <w:rPr>
                <w:rFonts w:eastAsia="Times New Roman"/>
                <w:color w:val="000000"/>
                <w:lang w:val="es-CO" w:eastAsia="es-CO" w:bidi="ar-SA"/>
              </w:rPr>
              <w:t>1.03</w:t>
            </w:r>
          </w:p>
        </w:tc>
        <w:tc>
          <w:tcPr>
            <w:tcW w:w="878" w:type="dxa"/>
            <w:tcBorders>
              <w:top w:val="single" w:sz="4" w:space="0" w:color="000080"/>
              <w:left w:val="nil"/>
              <w:bottom w:val="nil"/>
              <w:right w:val="nil"/>
            </w:tcBorders>
            <w:vAlign w:val="center"/>
            <w:hideMark/>
          </w:tcPr>
          <w:p w14:paraId="08FB2B24" w14:textId="77777777" w:rsidR="00CC6315" w:rsidRDefault="00CC6315" w:rsidP="00CC6315">
            <w:pPr>
              <w:pStyle w:val="lsTable"/>
            </w:pPr>
            <w:r>
              <w:rPr>
                <w:rFonts w:eastAsia="Times New Roman"/>
                <w:color w:val="000000"/>
                <w:lang w:val="en-GB" w:eastAsia="es-CO" w:bidi="ar-SA"/>
              </w:rPr>
              <w:t>1.86</w:t>
            </w:r>
          </w:p>
        </w:tc>
        <w:tc>
          <w:tcPr>
            <w:tcW w:w="680" w:type="dxa"/>
            <w:tcBorders>
              <w:top w:val="single" w:sz="4" w:space="0" w:color="000080"/>
              <w:left w:val="nil"/>
              <w:bottom w:val="nil"/>
              <w:right w:val="nil"/>
            </w:tcBorders>
            <w:vAlign w:val="center"/>
            <w:hideMark/>
          </w:tcPr>
          <w:p w14:paraId="26B2BC47" w14:textId="77777777" w:rsidR="00CC6315" w:rsidRDefault="00CC6315" w:rsidP="00CC6315">
            <w:pPr>
              <w:pStyle w:val="lsTable"/>
            </w:pPr>
            <w:r>
              <w:rPr>
                <w:rFonts w:eastAsia="Times New Roman"/>
                <w:color w:val="000000"/>
                <w:lang w:val="en-GB" w:eastAsia="es-CO" w:bidi="ar-SA"/>
              </w:rPr>
              <w:t>7</w:t>
            </w:r>
          </w:p>
        </w:tc>
      </w:tr>
      <w:tr w:rsidR="00CC6315" w14:paraId="6E9867FA" w14:textId="77777777" w:rsidTr="00CC6315">
        <w:trPr>
          <w:trHeight w:val="300"/>
        </w:trPr>
        <w:tc>
          <w:tcPr>
            <w:tcW w:w="1247" w:type="dxa"/>
            <w:vAlign w:val="center"/>
          </w:tcPr>
          <w:p w14:paraId="05F0907B" w14:textId="77777777" w:rsidR="00CC6315" w:rsidRDefault="00CC6315" w:rsidP="00CC6315">
            <w:pPr>
              <w:pStyle w:val="lsTableHeading"/>
              <w:rPr>
                <w:rFonts w:eastAsia="Times New Roman"/>
                <w:color w:val="000000"/>
                <w:lang w:val="es-CO" w:eastAsia="es-CO" w:bidi="ar-SA"/>
              </w:rPr>
            </w:pPr>
          </w:p>
        </w:tc>
        <w:tc>
          <w:tcPr>
            <w:tcW w:w="1434" w:type="dxa"/>
            <w:vAlign w:val="center"/>
            <w:hideMark/>
          </w:tcPr>
          <w:p w14:paraId="78E37E25" w14:textId="77777777" w:rsidR="00CC6315" w:rsidRDefault="00CC6315" w:rsidP="00CC6315">
            <w:pPr>
              <w:pStyle w:val="lsTable"/>
              <w:rPr>
                <w:rFonts w:eastAsia="Times New Roman"/>
                <w:color w:val="00000A"/>
                <w:lang w:val="es-CO" w:eastAsia="zh-CN" w:bidi="ar-SA"/>
              </w:rPr>
            </w:pPr>
            <w:r>
              <w:t>CoordCR</w:t>
            </w:r>
          </w:p>
        </w:tc>
        <w:tc>
          <w:tcPr>
            <w:tcW w:w="703" w:type="dxa"/>
            <w:vAlign w:val="center"/>
            <w:hideMark/>
          </w:tcPr>
          <w:p w14:paraId="4A6B4BE0" w14:textId="77777777" w:rsidR="00CC6315" w:rsidRDefault="00CC6315" w:rsidP="00CC6315">
            <w:pPr>
              <w:pStyle w:val="lsTable"/>
            </w:pPr>
            <w:r>
              <w:rPr>
                <w:rFonts w:eastAsia="Times New Roman"/>
                <w:color w:val="000000"/>
                <w:lang w:val="es-CO" w:eastAsia="es-CO" w:bidi="ar-SA"/>
              </w:rPr>
              <w:t>0.59</w:t>
            </w:r>
          </w:p>
        </w:tc>
        <w:tc>
          <w:tcPr>
            <w:tcW w:w="818" w:type="dxa"/>
            <w:vAlign w:val="center"/>
            <w:hideMark/>
          </w:tcPr>
          <w:p w14:paraId="114AA2B9" w14:textId="77777777" w:rsidR="00CC6315" w:rsidRDefault="00CC6315" w:rsidP="00CC6315">
            <w:pPr>
              <w:pStyle w:val="lsTable"/>
            </w:pPr>
            <w:r>
              <w:rPr>
                <w:rFonts w:eastAsia="Times New Roman"/>
                <w:color w:val="000000"/>
                <w:lang w:val="es-CO" w:eastAsia="es-CO" w:bidi="ar-SA"/>
              </w:rPr>
              <w:t>0.37</w:t>
            </w:r>
          </w:p>
        </w:tc>
        <w:tc>
          <w:tcPr>
            <w:tcW w:w="680" w:type="dxa"/>
            <w:vAlign w:val="center"/>
            <w:hideMark/>
          </w:tcPr>
          <w:p w14:paraId="77515E95" w14:textId="77777777" w:rsidR="00CC6315" w:rsidRDefault="00CC6315" w:rsidP="00CC6315">
            <w:pPr>
              <w:pStyle w:val="lsTable"/>
            </w:pPr>
            <w:r>
              <w:rPr>
                <w:rFonts w:eastAsia="Times New Roman"/>
                <w:color w:val="000000"/>
                <w:lang w:val="en-GB" w:eastAsia="es-CO" w:bidi="ar-SA"/>
              </w:rPr>
              <w:t>0</w:t>
            </w:r>
          </w:p>
        </w:tc>
        <w:tc>
          <w:tcPr>
            <w:tcW w:w="704" w:type="dxa"/>
            <w:vAlign w:val="center"/>
            <w:hideMark/>
          </w:tcPr>
          <w:p w14:paraId="07A66FFF" w14:textId="77777777" w:rsidR="00CC6315" w:rsidRDefault="00CC6315" w:rsidP="00CC6315">
            <w:pPr>
              <w:pStyle w:val="lsTable"/>
            </w:pPr>
            <w:r>
              <w:rPr>
                <w:rFonts w:eastAsia="Times New Roman"/>
                <w:color w:val="000000"/>
                <w:lang w:val="en-GB" w:eastAsia="es-CO" w:bidi="ar-SA"/>
              </w:rPr>
              <w:t>10</w:t>
            </w:r>
          </w:p>
        </w:tc>
        <w:tc>
          <w:tcPr>
            <w:tcW w:w="822" w:type="dxa"/>
            <w:vAlign w:val="center"/>
            <w:hideMark/>
          </w:tcPr>
          <w:p w14:paraId="1723327A" w14:textId="77777777" w:rsidR="00CC6315" w:rsidRDefault="00CC6315" w:rsidP="00CC6315">
            <w:pPr>
              <w:pStyle w:val="lsTable"/>
            </w:pPr>
            <w:r>
              <w:rPr>
                <w:rFonts w:eastAsia="Times New Roman"/>
                <w:color w:val="000000"/>
                <w:lang w:val="es-CO" w:eastAsia="es-CO" w:bidi="ar-SA"/>
              </w:rPr>
              <w:t>0.68</w:t>
            </w:r>
          </w:p>
        </w:tc>
        <w:tc>
          <w:tcPr>
            <w:tcW w:w="683" w:type="dxa"/>
            <w:vAlign w:val="center"/>
            <w:hideMark/>
          </w:tcPr>
          <w:p w14:paraId="3C542592" w14:textId="77777777" w:rsidR="00CC6315" w:rsidRDefault="00CC6315" w:rsidP="00CC6315">
            <w:pPr>
              <w:pStyle w:val="lsTable"/>
            </w:pPr>
            <w:r>
              <w:rPr>
                <w:rFonts w:eastAsia="Times New Roman"/>
                <w:color w:val="000000"/>
                <w:lang w:val="es-CO" w:eastAsia="es-CO" w:bidi="ar-SA"/>
              </w:rPr>
              <w:t>0.53</w:t>
            </w:r>
          </w:p>
        </w:tc>
        <w:tc>
          <w:tcPr>
            <w:tcW w:w="878" w:type="dxa"/>
            <w:vAlign w:val="center"/>
            <w:hideMark/>
          </w:tcPr>
          <w:p w14:paraId="0332352C" w14:textId="77777777" w:rsidR="00CC6315" w:rsidRDefault="00CC6315" w:rsidP="00CC6315">
            <w:pPr>
              <w:pStyle w:val="lsTable"/>
            </w:pPr>
            <w:r>
              <w:rPr>
                <w:rFonts w:eastAsia="Times New Roman"/>
                <w:color w:val="000000"/>
                <w:lang w:val="en-GB" w:eastAsia="es-CO" w:bidi="ar-SA"/>
              </w:rPr>
              <w:t>1</w:t>
            </w:r>
          </w:p>
        </w:tc>
        <w:tc>
          <w:tcPr>
            <w:tcW w:w="680" w:type="dxa"/>
            <w:vAlign w:val="center"/>
            <w:hideMark/>
          </w:tcPr>
          <w:p w14:paraId="382E9860" w14:textId="77777777" w:rsidR="00CC6315" w:rsidRDefault="00CC6315" w:rsidP="00CC6315">
            <w:pPr>
              <w:pStyle w:val="lsTable"/>
            </w:pPr>
            <w:r>
              <w:rPr>
                <w:rFonts w:eastAsia="Times New Roman"/>
                <w:color w:val="000000"/>
                <w:lang w:val="en-GB" w:eastAsia="es-CO" w:bidi="ar-SA"/>
              </w:rPr>
              <w:t>10</w:t>
            </w:r>
          </w:p>
        </w:tc>
      </w:tr>
      <w:tr w:rsidR="00CC6315" w14:paraId="4FCDF095" w14:textId="77777777" w:rsidTr="00CC6315">
        <w:trPr>
          <w:trHeight w:val="300"/>
        </w:trPr>
        <w:tc>
          <w:tcPr>
            <w:tcW w:w="1247" w:type="dxa"/>
            <w:vAlign w:val="center"/>
          </w:tcPr>
          <w:p w14:paraId="67D9CF23" w14:textId="77777777" w:rsidR="00CC6315" w:rsidRDefault="00CC6315" w:rsidP="00CC6315">
            <w:pPr>
              <w:pStyle w:val="lsTableHeading"/>
              <w:rPr>
                <w:rFonts w:eastAsia="Times New Roman"/>
                <w:color w:val="000000"/>
                <w:lang w:val="es-CO" w:eastAsia="es-CO" w:bidi="ar-SA"/>
              </w:rPr>
            </w:pPr>
          </w:p>
        </w:tc>
        <w:tc>
          <w:tcPr>
            <w:tcW w:w="1434" w:type="dxa"/>
            <w:vAlign w:val="center"/>
            <w:hideMark/>
          </w:tcPr>
          <w:p w14:paraId="29EC7285" w14:textId="77777777" w:rsidR="00CC6315" w:rsidRDefault="00CC6315" w:rsidP="00CC6315">
            <w:pPr>
              <w:pStyle w:val="lsTable"/>
              <w:rPr>
                <w:rFonts w:eastAsia="Times New Roman"/>
                <w:color w:val="00000A"/>
                <w:lang w:val="es-CO" w:eastAsia="zh-CN" w:bidi="ar-SA"/>
              </w:rPr>
            </w:pPr>
            <w:r>
              <w:t>DepCS</w:t>
            </w:r>
          </w:p>
        </w:tc>
        <w:tc>
          <w:tcPr>
            <w:tcW w:w="703" w:type="dxa"/>
            <w:vAlign w:val="bottom"/>
            <w:hideMark/>
          </w:tcPr>
          <w:p w14:paraId="6EF21501" w14:textId="77777777" w:rsidR="00CC6315" w:rsidRDefault="00CC6315" w:rsidP="00CC6315">
            <w:pPr>
              <w:pStyle w:val="lsTable"/>
            </w:pPr>
            <w:r>
              <w:rPr>
                <w:color w:val="000000"/>
              </w:rPr>
              <w:t>0.56</w:t>
            </w:r>
          </w:p>
        </w:tc>
        <w:tc>
          <w:tcPr>
            <w:tcW w:w="818" w:type="dxa"/>
            <w:vAlign w:val="bottom"/>
            <w:hideMark/>
          </w:tcPr>
          <w:p w14:paraId="581CCC82" w14:textId="77777777" w:rsidR="00CC6315" w:rsidRDefault="00CC6315" w:rsidP="00CC6315">
            <w:pPr>
              <w:pStyle w:val="lsTable"/>
            </w:pPr>
            <w:r>
              <w:rPr>
                <w:color w:val="000000"/>
              </w:rPr>
              <w:t>0.31</w:t>
            </w:r>
          </w:p>
        </w:tc>
        <w:tc>
          <w:tcPr>
            <w:tcW w:w="680" w:type="dxa"/>
            <w:vAlign w:val="center"/>
            <w:hideMark/>
          </w:tcPr>
          <w:p w14:paraId="63DE8EE3" w14:textId="77777777" w:rsidR="00CC6315" w:rsidRDefault="00CC6315" w:rsidP="00CC6315">
            <w:pPr>
              <w:pStyle w:val="lsTable"/>
            </w:pPr>
            <w:r>
              <w:rPr>
                <w:color w:val="000000"/>
              </w:rPr>
              <w:t>0</w:t>
            </w:r>
          </w:p>
        </w:tc>
        <w:tc>
          <w:tcPr>
            <w:tcW w:w="704" w:type="dxa"/>
            <w:vAlign w:val="center"/>
            <w:hideMark/>
          </w:tcPr>
          <w:p w14:paraId="6C1C7760" w14:textId="77777777" w:rsidR="00CC6315" w:rsidRDefault="00CC6315" w:rsidP="00CC6315">
            <w:pPr>
              <w:pStyle w:val="lsTable"/>
            </w:pPr>
            <w:r>
              <w:rPr>
                <w:color w:val="000000"/>
              </w:rPr>
              <w:t>1.5</w:t>
            </w:r>
          </w:p>
        </w:tc>
        <w:tc>
          <w:tcPr>
            <w:tcW w:w="822" w:type="dxa"/>
            <w:vAlign w:val="center"/>
            <w:hideMark/>
          </w:tcPr>
          <w:p w14:paraId="1B1C80B5" w14:textId="77777777" w:rsidR="00CC6315" w:rsidRDefault="00CC6315" w:rsidP="00CC6315">
            <w:pPr>
              <w:pStyle w:val="lsTable"/>
            </w:pPr>
            <w:r>
              <w:rPr>
                <w:color w:val="000000"/>
              </w:rPr>
              <w:t>0.75</w:t>
            </w:r>
          </w:p>
        </w:tc>
        <w:tc>
          <w:tcPr>
            <w:tcW w:w="683" w:type="dxa"/>
            <w:vAlign w:val="center"/>
            <w:hideMark/>
          </w:tcPr>
          <w:p w14:paraId="2F8269B6" w14:textId="77777777" w:rsidR="00CC6315" w:rsidRDefault="00CC6315" w:rsidP="00CC6315">
            <w:pPr>
              <w:pStyle w:val="lsTable"/>
            </w:pPr>
            <w:r>
              <w:rPr>
                <w:color w:val="000000"/>
              </w:rPr>
              <w:t>0.44</w:t>
            </w:r>
          </w:p>
        </w:tc>
        <w:tc>
          <w:tcPr>
            <w:tcW w:w="878" w:type="dxa"/>
            <w:vAlign w:val="center"/>
            <w:hideMark/>
          </w:tcPr>
          <w:p w14:paraId="391E294F" w14:textId="77777777" w:rsidR="00CC6315" w:rsidRDefault="00CC6315" w:rsidP="00CC6315">
            <w:pPr>
              <w:pStyle w:val="lsTable"/>
            </w:pPr>
            <w:r>
              <w:rPr>
                <w:color w:val="000000"/>
              </w:rPr>
              <w:t>0.15</w:t>
            </w:r>
          </w:p>
        </w:tc>
        <w:tc>
          <w:tcPr>
            <w:tcW w:w="680" w:type="dxa"/>
            <w:vAlign w:val="center"/>
            <w:hideMark/>
          </w:tcPr>
          <w:p w14:paraId="55238C65" w14:textId="77777777" w:rsidR="00CC6315" w:rsidRDefault="00CC6315" w:rsidP="00CC6315">
            <w:pPr>
              <w:pStyle w:val="lsTable"/>
            </w:pPr>
            <w:r>
              <w:rPr>
                <w:color w:val="000000"/>
              </w:rPr>
              <w:t>2.25</w:t>
            </w:r>
          </w:p>
        </w:tc>
      </w:tr>
      <w:tr w:rsidR="00CC6315" w14:paraId="6D379AC5" w14:textId="77777777" w:rsidTr="00CC6315">
        <w:trPr>
          <w:trHeight w:val="480"/>
        </w:trPr>
        <w:tc>
          <w:tcPr>
            <w:tcW w:w="1247" w:type="dxa"/>
            <w:vAlign w:val="center"/>
            <w:hideMark/>
          </w:tcPr>
          <w:p w14:paraId="2A936191" w14:textId="77777777" w:rsidR="00CC6315" w:rsidRDefault="00CC6315" w:rsidP="00CC6315">
            <w:pPr>
              <w:pStyle w:val="lsTableHeading"/>
            </w:pPr>
            <w:r>
              <w:rPr>
                <w:lang w:val="en-GB" w:eastAsia="es-CO" w:bidi="ar-SA"/>
              </w:rPr>
              <w:t>Lexical Complexiy</w:t>
            </w:r>
          </w:p>
        </w:tc>
        <w:tc>
          <w:tcPr>
            <w:tcW w:w="1434" w:type="dxa"/>
            <w:vAlign w:val="center"/>
            <w:hideMark/>
          </w:tcPr>
          <w:p w14:paraId="7312BE8E" w14:textId="77777777" w:rsidR="00CC6315" w:rsidRDefault="00CC6315" w:rsidP="00CC6315">
            <w:pPr>
              <w:pStyle w:val="lsTable"/>
            </w:pPr>
            <w:r>
              <w:t>Guiraud</w:t>
            </w:r>
          </w:p>
        </w:tc>
        <w:tc>
          <w:tcPr>
            <w:tcW w:w="703" w:type="dxa"/>
            <w:vAlign w:val="center"/>
            <w:hideMark/>
          </w:tcPr>
          <w:p w14:paraId="31254758" w14:textId="77777777" w:rsidR="00CC6315" w:rsidRDefault="00CC6315" w:rsidP="00CC6315">
            <w:pPr>
              <w:pStyle w:val="lsTable"/>
            </w:pPr>
            <w:r>
              <w:rPr>
                <w:color w:val="000000"/>
              </w:rPr>
              <w:t>1.52</w:t>
            </w:r>
          </w:p>
        </w:tc>
        <w:tc>
          <w:tcPr>
            <w:tcW w:w="818" w:type="dxa"/>
            <w:vAlign w:val="center"/>
            <w:hideMark/>
          </w:tcPr>
          <w:p w14:paraId="7E2EDB40" w14:textId="77777777" w:rsidR="00CC6315" w:rsidRDefault="00CC6315" w:rsidP="00CC6315">
            <w:pPr>
              <w:pStyle w:val="lsTable"/>
            </w:pPr>
            <w:r>
              <w:rPr>
                <w:color w:val="000000"/>
              </w:rPr>
              <w:t>0.27</w:t>
            </w:r>
          </w:p>
        </w:tc>
        <w:tc>
          <w:tcPr>
            <w:tcW w:w="680" w:type="dxa"/>
            <w:vAlign w:val="center"/>
            <w:hideMark/>
          </w:tcPr>
          <w:p w14:paraId="669E0FBF" w14:textId="77777777" w:rsidR="00CC6315" w:rsidRDefault="00CC6315" w:rsidP="00CC6315">
            <w:pPr>
              <w:pStyle w:val="lsTable"/>
            </w:pPr>
            <w:r>
              <w:rPr>
                <w:color w:val="000000"/>
              </w:rPr>
              <w:t>0.76</w:t>
            </w:r>
          </w:p>
        </w:tc>
        <w:tc>
          <w:tcPr>
            <w:tcW w:w="704" w:type="dxa"/>
            <w:vAlign w:val="center"/>
            <w:hideMark/>
          </w:tcPr>
          <w:p w14:paraId="58CF08FF" w14:textId="77777777" w:rsidR="00CC6315" w:rsidRDefault="00CC6315" w:rsidP="00CC6315">
            <w:pPr>
              <w:pStyle w:val="lsTable"/>
            </w:pPr>
            <w:r>
              <w:rPr>
                <w:color w:val="000000"/>
              </w:rPr>
              <w:t>2.35</w:t>
            </w:r>
          </w:p>
        </w:tc>
        <w:tc>
          <w:tcPr>
            <w:tcW w:w="822" w:type="dxa"/>
            <w:vAlign w:val="center"/>
            <w:hideMark/>
          </w:tcPr>
          <w:p w14:paraId="19990D15" w14:textId="77777777" w:rsidR="00CC6315" w:rsidRDefault="00CC6315" w:rsidP="00CC6315">
            <w:pPr>
              <w:pStyle w:val="lsTable"/>
            </w:pPr>
            <w:r>
              <w:rPr>
                <w:color w:val="000000"/>
              </w:rPr>
              <w:t>1.46</w:t>
            </w:r>
          </w:p>
        </w:tc>
        <w:tc>
          <w:tcPr>
            <w:tcW w:w="683" w:type="dxa"/>
            <w:vAlign w:val="center"/>
            <w:hideMark/>
          </w:tcPr>
          <w:p w14:paraId="1F97AE6E" w14:textId="77777777" w:rsidR="00CC6315" w:rsidRDefault="00CC6315" w:rsidP="00CC6315">
            <w:pPr>
              <w:pStyle w:val="lsTable"/>
            </w:pPr>
            <w:r>
              <w:rPr>
                <w:color w:val="000000"/>
              </w:rPr>
              <w:t>0.19</w:t>
            </w:r>
          </w:p>
        </w:tc>
        <w:tc>
          <w:tcPr>
            <w:tcW w:w="878" w:type="dxa"/>
            <w:vAlign w:val="center"/>
            <w:hideMark/>
          </w:tcPr>
          <w:p w14:paraId="190B7699" w14:textId="77777777" w:rsidR="00CC6315" w:rsidRDefault="00CC6315" w:rsidP="00CC6315">
            <w:pPr>
              <w:pStyle w:val="lsTable"/>
            </w:pPr>
            <w:r>
              <w:rPr>
                <w:color w:val="000000"/>
              </w:rPr>
              <w:t>1.06</w:t>
            </w:r>
          </w:p>
        </w:tc>
        <w:tc>
          <w:tcPr>
            <w:tcW w:w="680" w:type="dxa"/>
            <w:vAlign w:val="center"/>
            <w:hideMark/>
          </w:tcPr>
          <w:p w14:paraId="67D18DBE" w14:textId="77777777" w:rsidR="00CC6315" w:rsidRDefault="00CC6315" w:rsidP="00CC6315">
            <w:pPr>
              <w:pStyle w:val="lsTable"/>
            </w:pPr>
            <w:r>
              <w:rPr>
                <w:color w:val="000000"/>
              </w:rPr>
              <w:t>1.8</w:t>
            </w:r>
          </w:p>
        </w:tc>
      </w:tr>
      <w:tr w:rsidR="00CC6315" w14:paraId="10E763E8" w14:textId="77777777" w:rsidTr="00CC6315">
        <w:trPr>
          <w:trHeight w:val="480"/>
        </w:trPr>
        <w:tc>
          <w:tcPr>
            <w:tcW w:w="1247" w:type="dxa"/>
            <w:vAlign w:val="center"/>
          </w:tcPr>
          <w:p w14:paraId="0939753A" w14:textId="77777777" w:rsidR="00CC6315" w:rsidRDefault="00CC6315" w:rsidP="00CC6315">
            <w:pPr>
              <w:pStyle w:val="lsTableHeading"/>
              <w:rPr>
                <w:rFonts w:eastAsia="Times New Roman"/>
                <w:color w:val="000000"/>
                <w:lang w:val="en-GB" w:eastAsia="es-CO" w:bidi="ar-SA"/>
              </w:rPr>
            </w:pPr>
          </w:p>
        </w:tc>
        <w:tc>
          <w:tcPr>
            <w:tcW w:w="1434" w:type="dxa"/>
            <w:vAlign w:val="center"/>
            <w:hideMark/>
          </w:tcPr>
          <w:p w14:paraId="7C52D6B5" w14:textId="77777777" w:rsidR="00CC6315" w:rsidRDefault="00CC6315" w:rsidP="00CC6315">
            <w:pPr>
              <w:pStyle w:val="lsTable"/>
              <w:rPr>
                <w:rFonts w:eastAsia="Times New Roman"/>
                <w:color w:val="00000A"/>
                <w:lang w:val="es-CO" w:eastAsia="zh-CN" w:bidi="ar-SA"/>
              </w:rPr>
            </w:pPr>
            <w:r>
              <w:t>D</w:t>
            </w:r>
          </w:p>
        </w:tc>
        <w:tc>
          <w:tcPr>
            <w:tcW w:w="703" w:type="dxa"/>
            <w:vAlign w:val="center"/>
            <w:hideMark/>
          </w:tcPr>
          <w:p w14:paraId="1103D724" w14:textId="77777777" w:rsidR="00CC6315" w:rsidRDefault="00CC6315" w:rsidP="00CC6315">
            <w:pPr>
              <w:pStyle w:val="lsTable"/>
            </w:pPr>
            <w:r>
              <w:rPr>
                <w:rFonts w:eastAsia="Times New Roman"/>
                <w:color w:val="000000"/>
                <w:lang w:val="es-CO" w:eastAsia="es-CO" w:bidi="ar-SA"/>
              </w:rPr>
              <w:t>42.69</w:t>
            </w:r>
          </w:p>
        </w:tc>
        <w:tc>
          <w:tcPr>
            <w:tcW w:w="818" w:type="dxa"/>
            <w:vAlign w:val="center"/>
            <w:hideMark/>
          </w:tcPr>
          <w:p w14:paraId="5B613D71" w14:textId="77777777" w:rsidR="00CC6315" w:rsidRDefault="00CC6315" w:rsidP="00CC6315">
            <w:pPr>
              <w:pStyle w:val="lsTable"/>
            </w:pPr>
            <w:r>
              <w:rPr>
                <w:rFonts w:eastAsia="Times New Roman"/>
                <w:color w:val="000000"/>
                <w:lang w:val="es-CO" w:eastAsia="es-CO" w:bidi="ar-SA"/>
              </w:rPr>
              <w:t>13.21</w:t>
            </w:r>
          </w:p>
        </w:tc>
        <w:tc>
          <w:tcPr>
            <w:tcW w:w="680" w:type="dxa"/>
            <w:vAlign w:val="center"/>
            <w:hideMark/>
          </w:tcPr>
          <w:p w14:paraId="3C7F0F30" w14:textId="77777777" w:rsidR="00CC6315" w:rsidRDefault="00CC6315" w:rsidP="00CC6315">
            <w:pPr>
              <w:pStyle w:val="lsTable"/>
            </w:pPr>
            <w:r>
              <w:rPr>
                <w:rFonts w:eastAsia="Times New Roman"/>
                <w:color w:val="000000"/>
                <w:lang w:val="en-GB" w:eastAsia="es-CO" w:bidi="ar-SA"/>
              </w:rPr>
              <w:t>19.33</w:t>
            </w:r>
          </w:p>
        </w:tc>
        <w:tc>
          <w:tcPr>
            <w:tcW w:w="704" w:type="dxa"/>
            <w:vAlign w:val="center"/>
            <w:hideMark/>
          </w:tcPr>
          <w:p w14:paraId="717676EE" w14:textId="77777777" w:rsidR="00CC6315" w:rsidRDefault="00CC6315" w:rsidP="00CC6315">
            <w:pPr>
              <w:pStyle w:val="lsTable"/>
            </w:pPr>
            <w:r>
              <w:rPr>
                <w:rFonts w:eastAsia="Times New Roman"/>
                <w:color w:val="000000"/>
                <w:lang w:val="en-GB" w:eastAsia="es-CO" w:bidi="ar-SA"/>
              </w:rPr>
              <w:t>98.21</w:t>
            </w:r>
          </w:p>
        </w:tc>
        <w:tc>
          <w:tcPr>
            <w:tcW w:w="822" w:type="dxa"/>
            <w:vAlign w:val="center"/>
            <w:hideMark/>
          </w:tcPr>
          <w:p w14:paraId="68BD8823" w14:textId="77777777" w:rsidR="00CC6315" w:rsidRDefault="00CC6315" w:rsidP="00CC6315">
            <w:pPr>
              <w:pStyle w:val="lsTable"/>
            </w:pPr>
            <w:r>
              <w:rPr>
                <w:rFonts w:eastAsia="Times New Roman"/>
                <w:color w:val="000000"/>
                <w:lang w:val="es-CO" w:eastAsia="es-CO" w:bidi="ar-SA"/>
              </w:rPr>
              <w:t>41.78</w:t>
            </w:r>
          </w:p>
        </w:tc>
        <w:tc>
          <w:tcPr>
            <w:tcW w:w="683" w:type="dxa"/>
            <w:vAlign w:val="center"/>
            <w:hideMark/>
          </w:tcPr>
          <w:p w14:paraId="4A1C9456" w14:textId="77777777" w:rsidR="00CC6315" w:rsidRDefault="00CC6315" w:rsidP="00CC6315">
            <w:pPr>
              <w:pStyle w:val="lsTable"/>
            </w:pPr>
            <w:r>
              <w:rPr>
                <w:rFonts w:eastAsia="Times New Roman"/>
                <w:color w:val="000000"/>
                <w:lang w:val="es-CO" w:eastAsia="es-CO" w:bidi="ar-SA"/>
              </w:rPr>
              <w:t>8.65</w:t>
            </w:r>
          </w:p>
        </w:tc>
        <w:tc>
          <w:tcPr>
            <w:tcW w:w="878" w:type="dxa"/>
            <w:vAlign w:val="center"/>
            <w:hideMark/>
          </w:tcPr>
          <w:p w14:paraId="4573771E" w14:textId="77777777" w:rsidR="00CC6315" w:rsidRDefault="00CC6315" w:rsidP="00CC6315">
            <w:pPr>
              <w:pStyle w:val="lsTable"/>
            </w:pPr>
            <w:r>
              <w:rPr>
                <w:rFonts w:eastAsia="Times New Roman"/>
                <w:color w:val="000000"/>
                <w:lang w:val="en-GB" w:eastAsia="es-CO" w:bidi="ar-SA"/>
              </w:rPr>
              <w:t>26.08</w:t>
            </w:r>
          </w:p>
        </w:tc>
        <w:tc>
          <w:tcPr>
            <w:tcW w:w="680" w:type="dxa"/>
            <w:vAlign w:val="center"/>
            <w:hideMark/>
          </w:tcPr>
          <w:p w14:paraId="79AD857F" w14:textId="77777777" w:rsidR="00CC6315" w:rsidRDefault="00CC6315" w:rsidP="00CC6315">
            <w:pPr>
              <w:pStyle w:val="lsTable"/>
            </w:pPr>
            <w:r>
              <w:rPr>
                <w:rFonts w:eastAsia="Times New Roman"/>
                <w:color w:val="000000"/>
                <w:lang w:val="en-GB" w:eastAsia="es-CO" w:bidi="ar-SA"/>
              </w:rPr>
              <w:t>72.42</w:t>
            </w:r>
          </w:p>
        </w:tc>
      </w:tr>
      <w:tr w:rsidR="00CC6315" w14:paraId="650DE950" w14:textId="77777777" w:rsidTr="00CC6315">
        <w:trPr>
          <w:trHeight w:val="300"/>
        </w:trPr>
        <w:tc>
          <w:tcPr>
            <w:tcW w:w="1247" w:type="dxa"/>
            <w:vAlign w:val="center"/>
            <w:hideMark/>
          </w:tcPr>
          <w:p w14:paraId="17F07E0C" w14:textId="402366B2" w:rsidR="00CC6315" w:rsidRDefault="00CC6315" w:rsidP="00CC6315">
            <w:pPr>
              <w:pStyle w:val="lsTableHeading"/>
            </w:pPr>
            <w:r>
              <w:rPr>
                <w:lang w:val="en-GB" w:eastAsia="es-CO" w:bidi="ar-SA"/>
              </w:rPr>
              <w:t>Accuracy</w:t>
            </w:r>
          </w:p>
        </w:tc>
        <w:tc>
          <w:tcPr>
            <w:tcW w:w="1434" w:type="dxa"/>
            <w:vAlign w:val="center"/>
            <w:hideMark/>
          </w:tcPr>
          <w:p w14:paraId="00203FC5" w14:textId="77777777" w:rsidR="00CC6315" w:rsidRDefault="00CC6315" w:rsidP="00CC6315">
            <w:pPr>
              <w:pStyle w:val="lsTable"/>
            </w:pPr>
            <w:r>
              <w:t>TotalErr</w:t>
            </w:r>
          </w:p>
        </w:tc>
        <w:tc>
          <w:tcPr>
            <w:tcW w:w="703" w:type="dxa"/>
            <w:vAlign w:val="center"/>
            <w:hideMark/>
          </w:tcPr>
          <w:p w14:paraId="703B1EE3" w14:textId="77777777" w:rsidR="00CC6315" w:rsidRDefault="00CC6315" w:rsidP="00CC6315">
            <w:pPr>
              <w:pStyle w:val="lsTable"/>
            </w:pPr>
            <w:r>
              <w:rPr>
                <w:rFonts w:eastAsia="Times New Roman"/>
                <w:color w:val="000000"/>
                <w:lang w:val="es-CO" w:eastAsia="es-CO" w:bidi="ar-SA"/>
              </w:rPr>
              <w:t>15.85</w:t>
            </w:r>
          </w:p>
        </w:tc>
        <w:tc>
          <w:tcPr>
            <w:tcW w:w="818" w:type="dxa"/>
            <w:vAlign w:val="center"/>
            <w:hideMark/>
          </w:tcPr>
          <w:p w14:paraId="271CDEC2" w14:textId="77777777" w:rsidR="00CC6315" w:rsidRDefault="00CC6315" w:rsidP="00CC6315">
            <w:pPr>
              <w:pStyle w:val="lsTable"/>
            </w:pPr>
            <w:r>
              <w:rPr>
                <w:rFonts w:eastAsia="Times New Roman"/>
                <w:color w:val="000000"/>
                <w:lang w:val="es-CO" w:eastAsia="es-CO" w:bidi="ar-SA"/>
              </w:rPr>
              <w:t>8.16</w:t>
            </w:r>
          </w:p>
        </w:tc>
        <w:tc>
          <w:tcPr>
            <w:tcW w:w="680" w:type="dxa"/>
            <w:vAlign w:val="center"/>
            <w:hideMark/>
          </w:tcPr>
          <w:p w14:paraId="199A76BF" w14:textId="77777777" w:rsidR="00CC6315" w:rsidRDefault="00CC6315" w:rsidP="00CC6315">
            <w:pPr>
              <w:pStyle w:val="lsTable"/>
            </w:pPr>
            <w:r>
              <w:rPr>
                <w:rFonts w:eastAsia="Times New Roman"/>
                <w:color w:val="000000"/>
                <w:lang w:val="en-GB" w:eastAsia="es-CO" w:bidi="ar-SA"/>
              </w:rPr>
              <w:t>0</w:t>
            </w:r>
          </w:p>
        </w:tc>
        <w:tc>
          <w:tcPr>
            <w:tcW w:w="704" w:type="dxa"/>
            <w:vAlign w:val="center"/>
            <w:hideMark/>
          </w:tcPr>
          <w:p w14:paraId="55CA2EB0" w14:textId="77777777" w:rsidR="00CC6315" w:rsidRDefault="00CC6315" w:rsidP="00CC6315">
            <w:pPr>
              <w:pStyle w:val="lsTable"/>
            </w:pPr>
            <w:r>
              <w:rPr>
                <w:rFonts w:eastAsia="Times New Roman"/>
                <w:color w:val="000000"/>
                <w:lang w:val="en-GB" w:eastAsia="es-CO" w:bidi="ar-SA"/>
              </w:rPr>
              <w:t>33.33</w:t>
            </w:r>
          </w:p>
        </w:tc>
        <w:tc>
          <w:tcPr>
            <w:tcW w:w="822" w:type="dxa"/>
            <w:vAlign w:val="center"/>
            <w:hideMark/>
          </w:tcPr>
          <w:p w14:paraId="486E03B5" w14:textId="77777777" w:rsidR="00CC6315" w:rsidRDefault="00CC6315" w:rsidP="00CC6315">
            <w:pPr>
              <w:pStyle w:val="lsTable"/>
            </w:pPr>
            <w:r>
              <w:rPr>
                <w:rFonts w:eastAsia="Times New Roman"/>
                <w:color w:val="000000"/>
                <w:lang w:val="es-CO" w:eastAsia="es-CO" w:bidi="ar-SA"/>
              </w:rPr>
              <w:t>17.05</w:t>
            </w:r>
          </w:p>
        </w:tc>
        <w:tc>
          <w:tcPr>
            <w:tcW w:w="683" w:type="dxa"/>
            <w:vAlign w:val="center"/>
            <w:hideMark/>
          </w:tcPr>
          <w:p w14:paraId="3F911491" w14:textId="77777777" w:rsidR="00CC6315" w:rsidRDefault="00CC6315" w:rsidP="00CC6315">
            <w:pPr>
              <w:pStyle w:val="lsTable"/>
            </w:pPr>
            <w:r>
              <w:rPr>
                <w:rFonts w:eastAsia="Times New Roman"/>
                <w:color w:val="000000"/>
                <w:lang w:val="es-CO" w:eastAsia="es-CO" w:bidi="ar-SA"/>
              </w:rPr>
              <w:t>7.39</w:t>
            </w:r>
          </w:p>
        </w:tc>
        <w:tc>
          <w:tcPr>
            <w:tcW w:w="878" w:type="dxa"/>
            <w:vAlign w:val="center"/>
            <w:hideMark/>
          </w:tcPr>
          <w:p w14:paraId="3BCEC209" w14:textId="77777777" w:rsidR="00CC6315" w:rsidRDefault="00CC6315" w:rsidP="00CC6315">
            <w:pPr>
              <w:pStyle w:val="lsTable"/>
            </w:pPr>
            <w:r>
              <w:rPr>
                <w:rFonts w:eastAsia="Times New Roman"/>
                <w:color w:val="000000"/>
                <w:lang w:val="en-GB" w:eastAsia="es-CO" w:bidi="ar-SA"/>
              </w:rPr>
              <w:t>0</w:t>
            </w:r>
          </w:p>
        </w:tc>
        <w:tc>
          <w:tcPr>
            <w:tcW w:w="680" w:type="dxa"/>
            <w:vAlign w:val="center"/>
            <w:hideMark/>
          </w:tcPr>
          <w:p w14:paraId="05F6B86D" w14:textId="77777777" w:rsidR="00CC6315" w:rsidRDefault="00CC6315" w:rsidP="00CC6315">
            <w:pPr>
              <w:pStyle w:val="lsTable"/>
            </w:pPr>
            <w:r>
              <w:rPr>
                <w:rFonts w:eastAsia="Times New Roman"/>
                <w:color w:val="000000"/>
                <w:lang w:val="en-GB" w:eastAsia="es-CO" w:bidi="ar-SA"/>
              </w:rPr>
              <w:t>30</w:t>
            </w:r>
          </w:p>
        </w:tc>
      </w:tr>
      <w:tr w:rsidR="00CC6315" w14:paraId="5870526F" w14:textId="77777777" w:rsidTr="00CC6315">
        <w:trPr>
          <w:trHeight w:val="300"/>
        </w:trPr>
        <w:tc>
          <w:tcPr>
            <w:tcW w:w="1247" w:type="dxa"/>
            <w:vAlign w:val="center"/>
          </w:tcPr>
          <w:p w14:paraId="61BC9959" w14:textId="77777777" w:rsidR="00CC6315" w:rsidRDefault="00CC6315" w:rsidP="00CC6315">
            <w:pPr>
              <w:pStyle w:val="lsTableHeading"/>
              <w:rPr>
                <w:rFonts w:eastAsia="Times New Roman"/>
                <w:color w:val="000000"/>
                <w:lang w:val="es-CO" w:eastAsia="es-CO" w:bidi="ar-SA"/>
              </w:rPr>
            </w:pPr>
          </w:p>
        </w:tc>
        <w:tc>
          <w:tcPr>
            <w:tcW w:w="1434" w:type="dxa"/>
            <w:vAlign w:val="center"/>
            <w:hideMark/>
          </w:tcPr>
          <w:p w14:paraId="1B53CBC4" w14:textId="77777777" w:rsidR="00CC6315" w:rsidRDefault="00CC6315" w:rsidP="00CC6315">
            <w:pPr>
              <w:pStyle w:val="lsTable"/>
              <w:rPr>
                <w:rFonts w:eastAsia="Times New Roman"/>
                <w:color w:val="00000A"/>
                <w:lang w:val="es-CO" w:eastAsia="zh-CN" w:bidi="ar-SA"/>
              </w:rPr>
            </w:pPr>
            <w:r>
              <w:t>GRErrors100</w:t>
            </w:r>
          </w:p>
        </w:tc>
        <w:tc>
          <w:tcPr>
            <w:tcW w:w="703" w:type="dxa"/>
            <w:vAlign w:val="center"/>
            <w:hideMark/>
          </w:tcPr>
          <w:p w14:paraId="78BCEF46" w14:textId="77777777" w:rsidR="00CC6315" w:rsidRDefault="00CC6315" w:rsidP="00CC6315">
            <w:pPr>
              <w:pStyle w:val="lsTable"/>
            </w:pPr>
            <w:r>
              <w:rPr>
                <w:rFonts w:eastAsia="Times New Roman"/>
                <w:color w:val="000000"/>
                <w:lang w:val="es-CO" w:eastAsia="es-CO" w:bidi="ar-SA"/>
              </w:rPr>
              <w:t>9.09</w:t>
            </w:r>
          </w:p>
        </w:tc>
        <w:tc>
          <w:tcPr>
            <w:tcW w:w="818" w:type="dxa"/>
            <w:vAlign w:val="center"/>
            <w:hideMark/>
          </w:tcPr>
          <w:p w14:paraId="03343ECE" w14:textId="77777777" w:rsidR="00CC6315" w:rsidRDefault="00CC6315" w:rsidP="00CC6315">
            <w:pPr>
              <w:pStyle w:val="lsTable"/>
            </w:pPr>
            <w:r>
              <w:rPr>
                <w:rFonts w:eastAsia="Times New Roman"/>
                <w:color w:val="000000"/>
                <w:lang w:val="es-CO" w:eastAsia="es-CO" w:bidi="ar-SA"/>
              </w:rPr>
              <w:t>5.48</w:t>
            </w:r>
          </w:p>
        </w:tc>
        <w:tc>
          <w:tcPr>
            <w:tcW w:w="680" w:type="dxa"/>
            <w:vAlign w:val="center"/>
            <w:hideMark/>
          </w:tcPr>
          <w:p w14:paraId="065A0762" w14:textId="77777777" w:rsidR="00CC6315" w:rsidRDefault="00CC6315" w:rsidP="00CC6315">
            <w:pPr>
              <w:pStyle w:val="lsTable"/>
            </w:pPr>
            <w:r>
              <w:rPr>
                <w:rFonts w:eastAsia="Times New Roman"/>
                <w:color w:val="000000"/>
                <w:lang w:val="en-GB" w:eastAsia="es-CO" w:bidi="ar-SA"/>
              </w:rPr>
              <w:t>0</w:t>
            </w:r>
          </w:p>
        </w:tc>
        <w:tc>
          <w:tcPr>
            <w:tcW w:w="704" w:type="dxa"/>
            <w:vAlign w:val="center"/>
            <w:hideMark/>
          </w:tcPr>
          <w:p w14:paraId="46D9E3F7" w14:textId="77777777" w:rsidR="00CC6315" w:rsidRDefault="00CC6315" w:rsidP="00CC6315">
            <w:pPr>
              <w:pStyle w:val="lsTable"/>
            </w:pPr>
            <w:r>
              <w:rPr>
                <w:rFonts w:eastAsia="Times New Roman"/>
                <w:color w:val="000000"/>
                <w:lang w:val="en-GB" w:eastAsia="es-CO" w:bidi="ar-SA"/>
              </w:rPr>
              <w:t>20.83</w:t>
            </w:r>
          </w:p>
        </w:tc>
        <w:tc>
          <w:tcPr>
            <w:tcW w:w="822" w:type="dxa"/>
            <w:vAlign w:val="center"/>
            <w:hideMark/>
          </w:tcPr>
          <w:p w14:paraId="300B4F64" w14:textId="77777777" w:rsidR="00CC6315" w:rsidRDefault="00CC6315" w:rsidP="00CC6315">
            <w:pPr>
              <w:pStyle w:val="lsTable"/>
            </w:pPr>
            <w:r>
              <w:rPr>
                <w:rFonts w:eastAsia="Times New Roman"/>
                <w:color w:val="000000"/>
                <w:lang w:val="es-CO" w:eastAsia="es-CO" w:bidi="ar-SA"/>
              </w:rPr>
              <w:t>11.72</w:t>
            </w:r>
          </w:p>
        </w:tc>
        <w:tc>
          <w:tcPr>
            <w:tcW w:w="683" w:type="dxa"/>
            <w:vAlign w:val="center"/>
            <w:hideMark/>
          </w:tcPr>
          <w:p w14:paraId="3CF1839F" w14:textId="77777777" w:rsidR="00CC6315" w:rsidRDefault="00CC6315" w:rsidP="00CC6315">
            <w:pPr>
              <w:pStyle w:val="lsTable"/>
            </w:pPr>
            <w:r>
              <w:rPr>
                <w:rFonts w:eastAsia="Times New Roman"/>
                <w:color w:val="000000"/>
                <w:lang w:val="es-CO" w:eastAsia="es-CO" w:bidi="ar-SA"/>
              </w:rPr>
              <w:t>6.80</w:t>
            </w:r>
          </w:p>
        </w:tc>
        <w:tc>
          <w:tcPr>
            <w:tcW w:w="878" w:type="dxa"/>
            <w:vAlign w:val="center"/>
            <w:hideMark/>
          </w:tcPr>
          <w:p w14:paraId="185351DE" w14:textId="77777777" w:rsidR="00CC6315" w:rsidRDefault="00CC6315" w:rsidP="00CC6315">
            <w:pPr>
              <w:pStyle w:val="lsTable"/>
            </w:pPr>
            <w:r>
              <w:rPr>
                <w:rFonts w:eastAsia="Times New Roman"/>
                <w:color w:val="000000"/>
                <w:lang w:val="en-GB" w:eastAsia="es-CO" w:bidi="ar-SA"/>
              </w:rPr>
              <w:t>0</w:t>
            </w:r>
          </w:p>
        </w:tc>
        <w:tc>
          <w:tcPr>
            <w:tcW w:w="680" w:type="dxa"/>
            <w:vAlign w:val="center"/>
            <w:hideMark/>
          </w:tcPr>
          <w:p w14:paraId="4F7862BA" w14:textId="77777777" w:rsidR="00CC6315" w:rsidRDefault="00CC6315" w:rsidP="00CC6315">
            <w:pPr>
              <w:pStyle w:val="lsTable"/>
            </w:pPr>
            <w:r>
              <w:rPr>
                <w:rFonts w:eastAsia="Times New Roman"/>
                <w:color w:val="000000"/>
                <w:lang w:val="en-GB" w:eastAsia="es-CO" w:bidi="ar-SA"/>
              </w:rPr>
              <w:t>26.78</w:t>
            </w:r>
          </w:p>
        </w:tc>
      </w:tr>
      <w:tr w:rsidR="00CC6315" w14:paraId="12FF8F30" w14:textId="77777777" w:rsidTr="00CC6315">
        <w:trPr>
          <w:trHeight w:val="315"/>
        </w:trPr>
        <w:tc>
          <w:tcPr>
            <w:tcW w:w="1247" w:type="dxa"/>
            <w:vAlign w:val="center"/>
            <w:hideMark/>
          </w:tcPr>
          <w:p w14:paraId="6817567F" w14:textId="77777777" w:rsidR="00CC6315" w:rsidRDefault="00CC6315" w:rsidP="00CC6315">
            <w:pPr>
              <w:pStyle w:val="lsTableHeading"/>
            </w:pPr>
            <w:r>
              <w:rPr>
                <w:lang w:val="en-GB" w:eastAsia="es-CO" w:bidi="ar-SA"/>
              </w:rPr>
              <w:t>Fluency</w:t>
            </w:r>
          </w:p>
        </w:tc>
        <w:tc>
          <w:tcPr>
            <w:tcW w:w="1434" w:type="dxa"/>
            <w:vAlign w:val="center"/>
            <w:hideMark/>
          </w:tcPr>
          <w:p w14:paraId="625E2EBC" w14:textId="77777777" w:rsidR="00CC6315" w:rsidRDefault="00CC6315" w:rsidP="00CC6315">
            <w:pPr>
              <w:pStyle w:val="lsTable"/>
            </w:pPr>
            <w:r>
              <w:t>WS</w:t>
            </w:r>
          </w:p>
        </w:tc>
        <w:tc>
          <w:tcPr>
            <w:tcW w:w="703" w:type="dxa"/>
            <w:vAlign w:val="center"/>
            <w:hideMark/>
          </w:tcPr>
          <w:p w14:paraId="5233D204" w14:textId="77777777" w:rsidR="00CC6315" w:rsidRDefault="00CC6315" w:rsidP="00CC6315">
            <w:pPr>
              <w:pStyle w:val="lsTable"/>
            </w:pPr>
            <w:r>
              <w:rPr>
                <w:rFonts w:eastAsia="Times New Roman"/>
                <w:color w:val="000000"/>
                <w:lang w:val="es-CO" w:eastAsia="es-CO" w:bidi="ar-SA"/>
              </w:rPr>
              <w:t>6.20</w:t>
            </w:r>
          </w:p>
        </w:tc>
        <w:tc>
          <w:tcPr>
            <w:tcW w:w="818" w:type="dxa"/>
            <w:vAlign w:val="center"/>
            <w:hideMark/>
          </w:tcPr>
          <w:p w14:paraId="290CB6A0" w14:textId="77777777" w:rsidR="00CC6315" w:rsidRDefault="00CC6315" w:rsidP="00CC6315">
            <w:pPr>
              <w:pStyle w:val="lsTable"/>
            </w:pPr>
            <w:r>
              <w:rPr>
                <w:rFonts w:eastAsia="Times New Roman"/>
                <w:color w:val="000000"/>
                <w:lang w:val="es-CO" w:eastAsia="es-CO" w:bidi="ar-SA"/>
              </w:rPr>
              <w:t>1.81</w:t>
            </w:r>
          </w:p>
        </w:tc>
        <w:tc>
          <w:tcPr>
            <w:tcW w:w="680" w:type="dxa"/>
            <w:vAlign w:val="center"/>
            <w:hideMark/>
          </w:tcPr>
          <w:p w14:paraId="67C6E36D" w14:textId="77777777" w:rsidR="00CC6315" w:rsidRDefault="00CC6315" w:rsidP="00CC6315">
            <w:pPr>
              <w:pStyle w:val="lsTable"/>
            </w:pPr>
            <w:r>
              <w:rPr>
                <w:rFonts w:eastAsia="Times New Roman"/>
                <w:color w:val="000000"/>
                <w:lang w:val="en-GB" w:eastAsia="es-CO" w:bidi="ar-SA"/>
              </w:rPr>
              <w:t>3.286</w:t>
            </w:r>
          </w:p>
        </w:tc>
        <w:tc>
          <w:tcPr>
            <w:tcW w:w="704" w:type="dxa"/>
            <w:vAlign w:val="center"/>
            <w:hideMark/>
          </w:tcPr>
          <w:p w14:paraId="540FBB7E" w14:textId="77777777" w:rsidR="00CC6315" w:rsidRDefault="00CC6315" w:rsidP="00CC6315">
            <w:pPr>
              <w:pStyle w:val="lsTable"/>
            </w:pPr>
            <w:r>
              <w:rPr>
                <w:rFonts w:eastAsia="Times New Roman"/>
                <w:color w:val="000000"/>
                <w:lang w:val="en-GB" w:eastAsia="es-CO" w:bidi="ar-SA"/>
              </w:rPr>
              <w:t>16</w:t>
            </w:r>
          </w:p>
        </w:tc>
        <w:tc>
          <w:tcPr>
            <w:tcW w:w="822" w:type="dxa"/>
            <w:vAlign w:val="center"/>
            <w:hideMark/>
          </w:tcPr>
          <w:p w14:paraId="7A98A404" w14:textId="77777777" w:rsidR="00CC6315" w:rsidRDefault="00CC6315" w:rsidP="00CC6315">
            <w:pPr>
              <w:pStyle w:val="lsTable"/>
            </w:pPr>
            <w:r>
              <w:rPr>
                <w:rFonts w:eastAsia="Times New Roman"/>
                <w:color w:val="000000"/>
                <w:lang w:val="es-CO" w:eastAsia="es-CO" w:bidi="ar-SA"/>
              </w:rPr>
              <w:t>7.25</w:t>
            </w:r>
          </w:p>
        </w:tc>
        <w:tc>
          <w:tcPr>
            <w:tcW w:w="683" w:type="dxa"/>
            <w:vAlign w:val="center"/>
            <w:hideMark/>
          </w:tcPr>
          <w:p w14:paraId="4CD92616" w14:textId="77777777" w:rsidR="00CC6315" w:rsidRDefault="00CC6315" w:rsidP="00CC6315">
            <w:pPr>
              <w:pStyle w:val="lsTable"/>
            </w:pPr>
            <w:r>
              <w:rPr>
                <w:rFonts w:eastAsia="Times New Roman"/>
                <w:color w:val="000000"/>
                <w:lang w:val="es-CO" w:eastAsia="es-CO" w:bidi="ar-SA"/>
              </w:rPr>
              <w:t>2.37</w:t>
            </w:r>
          </w:p>
        </w:tc>
        <w:tc>
          <w:tcPr>
            <w:tcW w:w="878" w:type="dxa"/>
            <w:vAlign w:val="center"/>
            <w:hideMark/>
          </w:tcPr>
          <w:p w14:paraId="419704EA" w14:textId="77777777" w:rsidR="00CC6315" w:rsidRDefault="00CC6315" w:rsidP="00CC6315">
            <w:pPr>
              <w:pStyle w:val="lsTable"/>
            </w:pPr>
            <w:r>
              <w:rPr>
                <w:rFonts w:eastAsia="Times New Roman"/>
                <w:color w:val="000000"/>
                <w:lang w:val="es-CO" w:eastAsia="es-CO" w:bidi="ar-SA"/>
              </w:rPr>
              <w:t>4</w:t>
            </w:r>
          </w:p>
        </w:tc>
        <w:tc>
          <w:tcPr>
            <w:tcW w:w="680" w:type="dxa"/>
            <w:vAlign w:val="center"/>
            <w:hideMark/>
          </w:tcPr>
          <w:p w14:paraId="59A46690" w14:textId="77777777" w:rsidR="00CC6315" w:rsidRDefault="00CC6315" w:rsidP="00CC6315">
            <w:pPr>
              <w:pStyle w:val="lsTable"/>
            </w:pPr>
            <w:r>
              <w:rPr>
                <w:rFonts w:eastAsia="Times New Roman"/>
                <w:color w:val="000000"/>
                <w:lang w:val="es-CO" w:eastAsia="es-CO" w:bidi="ar-SA"/>
              </w:rPr>
              <w:t>15</w:t>
            </w:r>
          </w:p>
        </w:tc>
      </w:tr>
      <w:tr w:rsidR="00CC6315" w14:paraId="562D4E5F" w14:textId="77777777" w:rsidTr="00CC6315">
        <w:trPr>
          <w:trHeight w:val="510"/>
        </w:trPr>
        <w:tc>
          <w:tcPr>
            <w:tcW w:w="1247" w:type="dxa"/>
            <w:vAlign w:val="center"/>
          </w:tcPr>
          <w:p w14:paraId="7124D4FD" w14:textId="77777777" w:rsidR="00CC6315" w:rsidRDefault="00CC6315" w:rsidP="00CC6315">
            <w:pPr>
              <w:pStyle w:val="lsTableHeading"/>
              <w:rPr>
                <w:color w:val="000000"/>
                <w:lang w:eastAsia="es-CO"/>
              </w:rPr>
            </w:pPr>
          </w:p>
        </w:tc>
        <w:tc>
          <w:tcPr>
            <w:tcW w:w="1434" w:type="dxa"/>
            <w:vAlign w:val="center"/>
            <w:hideMark/>
          </w:tcPr>
          <w:p w14:paraId="2D0BE2BA" w14:textId="77777777" w:rsidR="00CC6315" w:rsidRDefault="00CC6315" w:rsidP="00CC6315">
            <w:pPr>
              <w:pStyle w:val="lsTable"/>
              <w:rPr>
                <w:rFonts w:ascii="Calibri" w:hAnsi="Calibri"/>
                <w:color w:val="00000A"/>
                <w:lang w:eastAsia="zh-CN"/>
              </w:rPr>
            </w:pPr>
            <w:r>
              <w:t>WM</w:t>
            </w:r>
          </w:p>
        </w:tc>
        <w:tc>
          <w:tcPr>
            <w:tcW w:w="703" w:type="dxa"/>
            <w:vAlign w:val="center"/>
            <w:hideMark/>
          </w:tcPr>
          <w:p w14:paraId="3C05B3F1" w14:textId="77777777" w:rsidR="00CC6315" w:rsidRDefault="00CC6315" w:rsidP="00CC6315">
            <w:pPr>
              <w:pStyle w:val="lsTable"/>
            </w:pPr>
            <w:r>
              <w:rPr>
                <w:rFonts w:eastAsia="Times New Roman"/>
                <w:color w:val="000000"/>
                <w:lang w:val="es-CO" w:eastAsia="es-CO" w:bidi="ar-SA"/>
              </w:rPr>
              <w:t>2.24</w:t>
            </w:r>
          </w:p>
        </w:tc>
        <w:tc>
          <w:tcPr>
            <w:tcW w:w="818" w:type="dxa"/>
            <w:vAlign w:val="center"/>
            <w:hideMark/>
          </w:tcPr>
          <w:p w14:paraId="41D4EB22" w14:textId="77777777" w:rsidR="00CC6315" w:rsidRDefault="00CC6315" w:rsidP="00CC6315">
            <w:pPr>
              <w:pStyle w:val="lsTable"/>
            </w:pPr>
            <w:r>
              <w:rPr>
                <w:rFonts w:eastAsia="Times New Roman"/>
                <w:color w:val="000000"/>
                <w:lang w:val="es-CO" w:eastAsia="es-CO" w:bidi="ar-SA"/>
              </w:rPr>
              <w:t>0.81</w:t>
            </w:r>
          </w:p>
        </w:tc>
        <w:tc>
          <w:tcPr>
            <w:tcW w:w="680" w:type="dxa"/>
            <w:vAlign w:val="center"/>
            <w:hideMark/>
          </w:tcPr>
          <w:p w14:paraId="204D553D" w14:textId="77777777" w:rsidR="00CC6315" w:rsidRDefault="00CC6315" w:rsidP="00CC6315">
            <w:pPr>
              <w:pStyle w:val="lsTable"/>
            </w:pPr>
            <w:r>
              <w:rPr>
                <w:rFonts w:eastAsia="Times New Roman"/>
                <w:color w:val="000000"/>
                <w:lang w:val="en-GB" w:eastAsia="es-CO" w:bidi="ar-SA"/>
              </w:rPr>
              <w:t>0.47</w:t>
            </w:r>
          </w:p>
        </w:tc>
        <w:tc>
          <w:tcPr>
            <w:tcW w:w="704" w:type="dxa"/>
            <w:vAlign w:val="center"/>
            <w:hideMark/>
          </w:tcPr>
          <w:p w14:paraId="51CBCF7D" w14:textId="77777777" w:rsidR="00CC6315" w:rsidRDefault="00CC6315" w:rsidP="00CC6315">
            <w:pPr>
              <w:pStyle w:val="lsTable"/>
            </w:pPr>
            <w:r>
              <w:rPr>
                <w:rFonts w:eastAsia="Times New Roman"/>
                <w:color w:val="000000"/>
                <w:lang w:val="en-GB" w:eastAsia="es-CO" w:bidi="ar-SA"/>
              </w:rPr>
              <w:t>4.07</w:t>
            </w:r>
          </w:p>
        </w:tc>
        <w:tc>
          <w:tcPr>
            <w:tcW w:w="822" w:type="dxa"/>
            <w:vAlign w:val="center"/>
            <w:hideMark/>
          </w:tcPr>
          <w:p w14:paraId="12E3CF72" w14:textId="77777777" w:rsidR="00CC6315" w:rsidRDefault="00CC6315" w:rsidP="00CC6315">
            <w:pPr>
              <w:pStyle w:val="lsTable"/>
            </w:pPr>
            <w:r>
              <w:rPr>
                <w:rFonts w:eastAsia="Times New Roman"/>
                <w:color w:val="000000"/>
                <w:lang w:val="es-CO" w:eastAsia="es-CO" w:bidi="ar-SA"/>
              </w:rPr>
              <w:t>2.07</w:t>
            </w:r>
          </w:p>
        </w:tc>
        <w:tc>
          <w:tcPr>
            <w:tcW w:w="683" w:type="dxa"/>
            <w:vAlign w:val="center"/>
            <w:hideMark/>
          </w:tcPr>
          <w:p w14:paraId="489A0482" w14:textId="77777777" w:rsidR="00CC6315" w:rsidRDefault="00CC6315" w:rsidP="00CC6315">
            <w:pPr>
              <w:pStyle w:val="lsTable"/>
            </w:pPr>
            <w:r>
              <w:rPr>
                <w:rFonts w:eastAsia="Times New Roman"/>
                <w:color w:val="000000"/>
                <w:lang w:val="es-CO" w:eastAsia="es-CO" w:bidi="ar-SA"/>
              </w:rPr>
              <w:t>0.73</w:t>
            </w:r>
          </w:p>
        </w:tc>
        <w:tc>
          <w:tcPr>
            <w:tcW w:w="878" w:type="dxa"/>
            <w:vAlign w:val="center"/>
            <w:hideMark/>
          </w:tcPr>
          <w:p w14:paraId="57ABBCA0" w14:textId="77777777" w:rsidR="00CC6315" w:rsidRDefault="00CC6315" w:rsidP="00CC6315">
            <w:pPr>
              <w:pStyle w:val="lsTable"/>
            </w:pPr>
            <w:r>
              <w:rPr>
                <w:rFonts w:eastAsia="Times New Roman"/>
                <w:color w:val="000000"/>
                <w:lang w:val="en-GB" w:eastAsia="es-CO" w:bidi="ar-SA"/>
              </w:rPr>
              <w:t>0</w:t>
            </w:r>
          </w:p>
        </w:tc>
        <w:tc>
          <w:tcPr>
            <w:tcW w:w="680" w:type="dxa"/>
            <w:vAlign w:val="center"/>
            <w:hideMark/>
          </w:tcPr>
          <w:p w14:paraId="72703850" w14:textId="77777777" w:rsidR="00CC6315" w:rsidRDefault="00CC6315" w:rsidP="00CC6315">
            <w:pPr>
              <w:pStyle w:val="lsTable"/>
            </w:pPr>
            <w:r>
              <w:rPr>
                <w:rFonts w:eastAsia="Times New Roman"/>
                <w:color w:val="000000"/>
                <w:lang w:val="en-GB" w:eastAsia="es-CO" w:bidi="ar-SA"/>
              </w:rPr>
              <w:t>0.41</w:t>
            </w:r>
          </w:p>
        </w:tc>
      </w:tr>
    </w:tbl>
    <w:p w14:paraId="60082CE5" w14:textId="06D7AA24" w:rsidR="00CC6315" w:rsidRPr="00CC6315" w:rsidRDefault="00CC6315" w:rsidP="00CC6315">
      <w:pPr>
        <w:rPr>
          <w:i/>
        </w:rPr>
      </w:pPr>
      <w:r w:rsidRPr="00CC6315">
        <w:rPr>
          <w:i/>
          <w:lang w:val="en-GB"/>
        </w:rPr>
        <w:t>Table 6: Descriptive statistics for all CAF measures for programmes HI+ and HI</w:t>
      </w:r>
    </w:p>
    <w:p w14:paraId="34AF48E6" w14:textId="77777777" w:rsidR="00CC6315" w:rsidRDefault="00CC6315" w:rsidP="00CC6315">
      <w:pPr>
        <w:rPr>
          <w:color w:val="00000A"/>
        </w:rPr>
      </w:pPr>
      <w:r>
        <w:rPr>
          <w:color w:val="000000"/>
          <w:lang w:val="en-GB"/>
        </w:rPr>
        <w:t>Welch’s t-tests were conducted to assess the statistical significance of between-group differences</w:t>
      </w:r>
      <w:r>
        <w:rPr>
          <w:lang w:val="en-GB" w:eastAsia="es-CO" w:bidi="ar-SA"/>
        </w:rPr>
        <w:t xml:space="preserve">.  Table 7 reports on the results of these tests as well as the effect sizes through Cohen’s </w:t>
      </w:r>
      <w:r>
        <w:rPr>
          <w:i/>
          <w:lang w:val="en-GB" w:eastAsia="es-CO" w:bidi="ar-SA"/>
        </w:rPr>
        <w:t>d</w:t>
      </w:r>
      <w:r>
        <w:rPr>
          <w:lang w:val="en-GB" w:eastAsia="es-CO" w:bidi="ar-SA"/>
        </w:rPr>
        <w:t>, which were small to medium, according to Plonsky &amp; Oswald’s suggested criteria (2014: 889)</w:t>
      </w:r>
      <w:r>
        <w:rPr>
          <w:i/>
          <w:lang w:val="en-GB" w:eastAsia="es-CO" w:bidi="ar-SA"/>
        </w:rPr>
        <w:t>.</w:t>
      </w:r>
      <w:r>
        <w:rPr>
          <w:lang w:val="en-GB" w:eastAsia="es-CO" w:bidi="ar-SA"/>
        </w:rPr>
        <w:t xml:space="preserve"> In terms of Complexity, HI+ and HI prove to be significantly different as far as the production of independent clauses (IndepCS) (t=</w:t>
      </w:r>
      <w:r>
        <w:rPr>
          <w:rFonts w:eastAsia="Times New Roman"/>
          <w:color w:val="000000"/>
          <w:lang w:eastAsia="es-CO"/>
        </w:rPr>
        <w:t>3.700</w:t>
      </w:r>
      <w:r>
        <w:rPr>
          <w:rFonts w:eastAsia="Times New Roman"/>
          <w:bCs/>
          <w:color w:val="000000"/>
          <w:lang w:eastAsia="es-CO" w:bidi="ar-SA"/>
        </w:rPr>
        <w:t xml:space="preserve">, </w:t>
      </w:r>
      <w:r>
        <w:rPr>
          <w:lang w:val="en-GB" w:eastAsia="es-CO" w:bidi="ar-SA"/>
        </w:rPr>
        <w:t xml:space="preserve">p &lt; .001), </w:t>
      </w:r>
      <w:r>
        <w:rPr>
          <w:rFonts w:eastAsia="Times New Roman"/>
          <w:bCs/>
          <w:color w:val="000000"/>
          <w:lang w:eastAsia="es-CO" w:bidi="ar-SA"/>
        </w:rPr>
        <w:t xml:space="preserve">with the HI + group  producing fewer independent clauses than HI. </w:t>
      </w:r>
      <w:r>
        <w:rPr>
          <w:lang w:val="en-GB" w:eastAsia="es-CO" w:bidi="ar-SA"/>
        </w:rPr>
        <w:t xml:space="preserve"> Likewise, groups appeared to be significantly different concerning subordination (DepCS), where HI+ pupils appears again to write fewer dependent clauses than HI (t = </w:t>
      </w:r>
      <w:r>
        <w:rPr>
          <w:rFonts w:eastAsia="Times New Roman"/>
          <w:color w:val="000000"/>
          <w:lang w:eastAsia="es-CO"/>
        </w:rPr>
        <w:t>2.868</w:t>
      </w:r>
      <w:r>
        <w:rPr>
          <w:rFonts w:eastAsia="Times New Roman"/>
          <w:bCs/>
          <w:color w:val="000000"/>
          <w:lang w:eastAsia="es-CO" w:bidi="ar-SA"/>
        </w:rPr>
        <w:t xml:space="preserve"> </w:t>
      </w:r>
      <w:r>
        <w:rPr>
          <w:lang w:val="en-GB" w:eastAsia="es-CO" w:bidi="ar-SA"/>
        </w:rPr>
        <w:t xml:space="preserve">p &lt; .05). Regarding both measures of lexical complexity (D and Guiraud index) no statistical differences were found. </w:t>
      </w:r>
    </w:p>
    <w:p w14:paraId="438C751F" w14:textId="77777777" w:rsidR="00CC6315" w:rsidRDefault="00CC6315" w:rsidP="00CC6315">
      <w:r>
        <w:rPr>
          <w:rFonts w:eastAsia="Times New Roman"/>
          <w:lang w:val="en-GB" w:eastAsia="es-CO" w:bidi="ar-SA"/>
        </w:rPr>
        <w:t xml:space="preserve">Concerning accuracy, the calculation of grammar errors per 100 words </w:t>
      </w:r>
      <w:r>
        <w:rPr>
          <w:rFonts w:eastAsia="Times New Roman"/>
          <w:lang w:val="en-GB" w:eastAsia="es-CO" w:bidi="ar-SA"/>
        </w:rPr>
        <w:lastRenderedPageBreak/>
        <w:t>(GrErr/100) yields significant differences between groups. The HI+ subjects seem to produce significantly fewer errors than their HI counterparts (</w:t>
      </w:r>
      <w:r>
        <w:rPr>
          <w:lang w:val="en-GB" w:eastAsia="es-CO" w:bidi="ar-SA"/>
        </w:rPr>
        <w:t xml:space="preserve">t = </w:t>
      </w:r>
      <w:r>
        <w:rPr>
          <w:rFonts w:eastAsia="Times New Roman"/>
          <w:color w:val="000000"/>
          <w:lang w:eastAsia="es-CO"/>
        </w:rPr>
        <w:t>2.494</w:t>
      </w:r>
      <w:r>
        <w:rPr>
          <w:rFonts w:eastAsia="Times New Roman"/>
          <w:bCs/>
          <w:color w:val="000000"/>
          <w:lang w:eastAsia="es-CO" w:bidi="ar-SA"/>
        </w:rPr>
        <w:t xml:space="preserve">, </w:t>
      </w:r>
      <w:r>
        <w:rPr>
          <w:lang w:val="en-GB" w:eastAsia="es-CO" w:bidi="ar-SA"/>
        </w:rPr>
        <w:t>p &lt; .05).</w:t>
      </w:r>
      <w:r>
        <w:rPr>
          <w:rFonts w:eastAsia="Times New Roman"/>
          <w:lang w:val="en-GB" w:eastAsia="es-CO" w:bidi="ar-SA"/>
        </w:rPr>
        <w:t xml:space="preserve"> </w:t>
      </w:r>
    </w:p>
    <w:p w14:paraId="7E7610BB" w14:textId="77777777" w:rsidR="00CC6315" w:rsidRDefault="00CC6315" w:rsidP="00CC6315">
      <w:r>
        <w:rPr>
          <w:rFonts w:eastAsia="Times New Roman"/>
          <w:lang w:val="en-GB" w:eastAsia="es-CO" w:bidi="ar-SA"/>
        </w:rPr>
        <w:t>Finally, as per fluency, HI and HI+ learners significantly differ in terms of the words produced per sentence (WS), where the HI+ programme used around one word less per sentence when compared to HI (</w:t>
      </w:r>
      <w:r>
        <w:rPr>
          <w:lang w:val="en-GB" w:eastAsia="es-CO" w:bidi="ar-SA"/>
        </w:rPr>
        <w:t xml:space="preserve">t = </w:t>
      </w:r>
      <w:r>
        <w:rPr>
          <w:rFonts w:eastAsia="Times New Roman"/>
          <w:color w:val="000000"/>
          <w:lang w:eastAsia="es-CO"/>
        </w:rPr>
        <w:t>2.887</w:t>
      </w:r>
      <w:r>
        <w:rPr>
          <w:rFonts w:eastAsia="Times New Roman"/>
          <w:bCs/>
          <w:color w:val="000000"/>
          <w:lang w:eastAsia="es-CO" w:bidi="ar-SA"/>
        </w:rPr>
        <w:t xml:space="preserve">,  </w:t>
      </w:r>
      <w:r>
        <w:rPr>
          <w:lang w:val="en-GB" w:eastAsia="es-CO" w:bidi="ar-SA"/>
        </w:rPr>
        <w:t>p &lt; .05)</w:t>
      </w:r>
      <w:r>
        <w:rPr>
          <w:rFonts w:eastAsia="Times New Roman"/>
          <w:color w:val="000000"/>
          <w:lang w:val="en-GB" w:eastAsia="es-CO" w:bidi="ar-SA"/>
        </w:rPr>
        <w:t>.  No significant differences were found as regards words per minute.</w:t>
      </w:r>
    </w:p>
    <w:p w14:paraId="7503A703" w14:textId="104BD20B" w:rsidR="00CC6315" w:rsidRPr="00CC6315" w:rsidRDefault="00CC6315" w:rsidP="00CC6315">
      <w:r>
        <w:rPr>
          <w:color w:val="000000"/>
          <w:lang w:val="en-GB" w:eastAsia="es-CO" w:bidi="ar-SA"/>
        </w:rPr>
        <w:t xml:space="preserve">These results could be summarized by noting that HI+ learners produce fewer independent and dependent clauses, fewer words per sentence, but fewer grammar errors per 100 words than HI. That is, they are less complex and fluent, but more accurate. These findings could imply a trade-off effect. In terms of lexical complexity, both groups appear to perform similarly.  </w:t>
      </w:r>
    </w:p>
    <w:tbl>
      <w:tblPr>
        <w:tblW w:w="0" w:type="auto"/>
        <w:tblLayout w:type="fixed"/>
        <w:tblCellMar>
          <w:left w:w="70" w:type="dxa"/>
          <w:right w:w="70" w:type="dxa"/>
        </w:tblCellMar>
        <w:tblLook w:val="04A0" w:firstRow="1" w:lastRow="0" w:firstColumn="1" w:lastColumn="0" w:noHBand="0" w:noVBand="1"/>
      </w:tblPr>
      <w:tblGrid>
        <w:gridCol w:w="1247"/>
        <w:gridCol w:w="1380"/>
        <w:gridCol w:w="1174"/>
        <w:gridCol w:w="1137"/>
        <w:gridCol w:w="1138"/>
        <w:gridCol w:w="1124"/>
      </w:tblGrid>
      <w:tr w:rsidR="00CC6315" w14:paraId="050872B1" w14:textId="77777777" w:rsidTr="00CC6315">
        <w:trPr>
          <w:trHeight w:val="510"/>
        </w:trPr>
        <w:tc>
          <w:tcPr>
            <w:tcW w:w="1247" w:type="dxa"/>
            <w:tcBorders>
              <w:top w:val="nil"/>
              <w:left w:val="nil"/>
              <w:bottom w:val="single" w:sz="4" w:space="0" w:color="00000A"/>
              <w:right w:val="nil"/>
            </w:tcBorders>
            <w:vAlign w:val="center"/>
            <w:hideMark/>
          </w:tcPr>
          <w:p w14:paraId="4FEAFF86" w14:textId="0CBBC81E" w:rsidR="00CC6315" w:rsidRDefault="00CC6315" w:rsidP="00CC6315">
            <w:pPr>
              <w:pStyle w:val="lsTableHeading"/>
              <w:jc w:val="center"/>
              <w:rPr>
                <w:lang w:eastAsia="zh-CN"/>
              </w:rPr>
            </w:pPr>
            <w:r>
              <w:rPr>
                <w:lang w:val="en-GB" w:eastAsia="es-CO" w:bidi="ar-SA"/>
              </w:rPr>
              <w:t>Domain</w:t>
            </w:r>
          </w:p>
        </w:tc>
        <w:tc>
          <w:tcPr>
            <w:tcW w:w="1380" w:type="dxa"/>
            <w:tcBorders>
              <w:top w:val="nil"/>
              <w:left w:val="nil"/>
              <w:bottom w:val="single" w:sz="4" w:space="0" w:color="00000A"/>
              <w:right w:val="nil"/>
            </w:tcBorders>
            <w:vAlign w:val="center"/>
            <w:hideMark/>
          </w:tcPr>
          <w:p w14:paraId="0559A335" w14:textId="77777777" w:rsidR="00CC6315" w:rsidRDefault="00CC6315" w:rsidP="00CC6315">
            <w:pPr>
              <w:pStyle w:val="lsTableHeading"/>
              <w:jc w:val="center"/>
            </w:pPr>
            <w:r>
              <w:rPr>
                <w:lang w:val="en-GB" w:eastAsia="es-CO" w:bidi="ar-SA"/>
              </w:rPr>
              <w:t>Measure</w:t>
            </w:r>
          </w:p>
        </w:tc>
        <w:tc>
          <w:tcPr>
            <w:tcW w:w="1174" w:type="dxa"/>
            <w:tcBorders>
              <w:top w:val="nil"/>
              <w:left w:val="nil"/>
              <w:bottom w:val="single" w:sz="4" w:space="0" w:color="00000A"/>
              <w:right w:val="nil"/>
            </w:tcBorders>
            <w:vAlign w:val="center"/>
            <w:hideMark/>
          </w:tcPr>
          <w:p w14:paraId="7DBB9D7E" w14:textId="13826726" w:rsidR="00CC6315" w:rsidRDefault="00CC6315" w:rsidP="00CC6315">
            <w:pPr>
              <w:pStyle w:val="lsTableHeading"/>
              <w:jc w:val="center"/>
            </w:pPr>
            <w:r>
              <w:rPr>
                <w:lang w:val="es-CO" w:eastAsia="es-CO" w:bidi="ar-SA"/>
              </w:rPr>
              <w:t>Statistical value</w:t>
            </w:r>
            <w:r>
              <w:br/>
            </w:r>
            <w:r>
              <w:rPr>
                <w:lang w:val="es-CO" w:eastAsia="es-CO" w:bidi="ar-SA"/>
              </w:rPr>
              <w:t>(/t)</w:t>
            </w:r>
          </w:p>
        </w:tc>
        <w:tc>
          <w:tcPr>
            <w:tcW w:w="1137" w:type="dxa"/>
            <w:tcBorders>
              <w:top w:val="nil"/>
              <w:left w:val="nil"/>
              <w:bottom w:val="single" w:sz="4" w:space="0" w:color="00000A"/>
              <w:right w:val="nil"/>
            </w:tcBorders>
            <w:vAlign w:val="center"/>
            <w:hideMark/>
          </w:tcPr>
          <w:p w14:paraId="2195EB0E" w14:textId="77777777" w:rsidR="00CC6315" w:rsidRDefault="00CC6315" w:rsidP="00CC6315">
            <w:pPr>
              <w:pStyle w:val="lsTableHeading"/>
              <w:jc w:val="center"/>
            </w:pPr>
            <w:r>
              <w:rPr>
                <w:i/>
                <w:iCs/>
                <w:lang w:val="es-CO" w:eastAsia="es-CO" w:bidi="ar-SA"/>
              </w:rPr>
              <w:t>p</w:t>
            </w:r>
          </w:p>
        </w:tc>
        <w:tc>
          <w:tcPr>
            <w:tcW w:w="1138" w:type="dxa"/>
            <w:tcBorders>
              <w:top w:val="nil"/>
              <w:left w:val="nil"/>
              <w:bottom w:val="single" w:sz="4" w:space="0" w:color="00000A"/>
              <w:right w:val="nil"/>
            </w:tcBorders>
            <w:vAlign w:val="center"/>
            <w:hideMark/>
          </w:tcPr>
          <w:p w14:paraId="0F672A5E" w14:textId="77777777" w:rsidR="00CC6315" w:rsidRDefault="00CC6315" w:rsidP="00CC6315">
            <w:pPr>
              <w:pStyle w:val="lsTableHeading"/>
              <w:jc w:val="center"/>
            </w:pPr>
            <w:r>
              <w:rPr>
                <w:iCs/>
                <w:lang w:val="es-CO" w:eastAsia="es-CO" w:bidi="ar-SA"/>
              </w:rPr>
              <w:t>95% CI</w:t>
            </w:r>
          </w:p>
        </w:tc>
        <w:tc>
          <w:tcPr>
            <w:tcW w:w="1124" w:type="dxa"/>
            <w:tcBorders>
              <w:top w:val="nil"/>
              <w:left w:val="nil"/>
              <w:bottom w:val="single" w:sz="4" w:space="0" w:color="00000A"/>
              <w:right w:val="nil"/>
            </w:tcBorders>
            <w:vAlign w:val="center"/>
            <w:hideMark/>
          </w:tcPr>
          <w:p w14:paraId="03D1070F" w14:textId="77777777" w:rsidR="00CC6315" w:rsidRDefault="00CC6315" w:rsidP="00CC6315">
            <w:pPr>
              <w:pStyle w:val="lsTableHeading"/>
              <w:jc w:val="center"/>
            </w:pPr>
            <w:r>
              <w:rPr>
                <w:i/>
                <w:iCs/>
                <w:lang w:val="es-CO" w:eastAsia="es-CO" w:bidi="ar-SA"/>
              </w:rPr>
              <w:t>d</w:t>
            </w:r>
          </w:p>
        </w:tc>
      </w:tr>
      <w:tr w:rsidR="00CC6315" w14:paraId="769848CC" w14:textId="77777777" w:rsidTr="00CC6315">
        <w:trPr>
          <w:trHeight w:val="495"/>
        </w:trPr>
        <w:tc>
          <w:tcPr>
            <w:tcW w:w="1247" w:type="dxa"/>
            <w:tcBorders>
              <w:top w:val="single" w:sz="4" w:space="0" w:color="00000A"/>
              <w:left w:val="nil"/>
              <w:right w:val="nil"/>
            </w:tcBorders>
            <w:vAlign w:val="center"/>
            <w:hideMark/>
          </w:tcPr>
          <w:p w14:paraId="3024922B" w14:textId="77777777" w:rsidR="00CC6315" w:rsidRDefault="00CC6315" w:rsidP="00CC6315">
            <w:pPr>
              <w:pStyle w:val="lsTableHeading"/>
            </w:pPr>
            <w:r>
              <w:rPr>
                <w:lang w:val="en-GB"/>
              </w:rPr>
              <w:t>Syntactic Complexiy</w:t>
            </w:r>
          </w:p>
        </w:tc>
        <w:tc>
          <w:tcPr>
            <w:tcW w:w="1380" w:type="dxa"/>
            <w:tcBorders>
              <w:top w:val="single" w:sz="4" w:space="0" w:color="00000A"/>
              <w:left w:val="nil"/>
              <w:right w:val="nil"/>
            </w:tcBorders>
            <w:vAlign w:val="center"/>
            <w:hideMark/>
          </w:tcPr>
          <w:p w14:paraId="0608595C" w14:textId="77777777" w:rsidR="00CC6315" w:rsidRDefault="00CC6315" w:rsidP="00CC6315">
            <w:pPr>
              <w:pStyle w:val="lsTable"/>
            </w:pPr>
            <w:r>
              <w:rPr>
                <w:lang w:val="en-GB"/>
              </w:rPr>
              <w:t>IndepCS</w:t>
            </w:r>
          </w:p>
        </w:tc>
        <w:tc>
          <w:tcPr>
            <w:tcW w:w="1174" w:type="dxa"/>
            <w:tcBorders>
              <w:top w:val="single" w:sz="4" w:space="0" w:color="00000A"/>
              <w:left w:val="nil"/>
              <w:right w:val="nil"/>
            </w:tcBorders>
            <w:vAlign w:val="center"/>
            <w:hideMark/>
          </w:tcPr>
          <w:p w14:paraId="0958DAD1" w14:textId="77777777" w:rsidR="00CC6315" w:rsidRDefault="00CC6315" w:rsidP="00CC6315">
            <w:pPr>
              <w:pStyle w:val="lsTable"/>
            </w:pPr>
            <w:r>
              <w:rPr>
                <w:rFonts w:eastAsia="Times New Roman"/>
                <w:lang w:eastAsia="es-CO"/>
              </w:rPr>
              <w:t>3.700</w:t>
            </w:r>
          </w:p>
        </w:tc>
        <w:tc>
          <w:tcPr>
            <w:tcW w:w="1137" w:type="dxa"/>
            <w:tcBorders>
              <w:top w:val="single" w:sz="4" w:space="0" w:color="00000A"/>
              <w:left w:val="nil"/>
              <w:right w:val="nil"/>
            </w:tcBorders>
            <w:vAlign w:val="center"/>
            <w:hideMark/>
          </w:tcPr>
          <w:p w14:paraId="30CF46D7" w14:textId="77777777" w:rsidR="00CC6315" w:rsidRDefault="00CC6315" w:rsidP="00CC6315">
            <w:pPr>
              <w:pStyle w:val="lsTable"/>
            </w:pPr>
            <w:r>
              <w:rPr>
                <w:lang w:val="en-GB" w:eastAsia="es-CO" w:bidi="ar-SA"/>
              </w:rPr>
              <w:t>p &lt; .001</w:t>
            </w:r>
          </w:p>
        </w:tc>
        <w:tc>
          <w:tcPr>
            <w:tcW w:w="1138" w:type="dxa"/>
            <w:tcBorders>
              <w:top w:val="single" w:sz="4" w:space="0" w:color="00000A"/>
              <w:left w:val="nil"/>
              <w:right w:val="nil"/>
            </w:tcBorders>
            <w:vAlign w:val="center"/>
            <w:hideMark/>
          </w:tcPr>
          <w:p w14:paraId="1ADD6174" w14:textId="77777777" w:rsidR="00CC6315" w:rsidRDefault="00CC6315" w:rsidP="00CC6315">
            <w:pPr>
              <w:pStyle w:val="lsTable"/>
            </w:pPr>
            <w:r>
              <w:rPr>
                <w:rFonts w:eastAsia="Times New Roman"/>
                <w:lang w:eastAsia="es-CO"/>
              </w:rPr>
              <w:t>0.267</w:t>
            </w:r>
          </w:p>
          <w:p w14:paraId="39F04D39" w14:textId="77777777" w:rsidR="00CC6315" w:rsidRDefault="00CC6315" w:rsidP="00CC6315">
            <w:pPr>
              <w:pStyle w:val="lsTable"/>
            </w:pPr>
            <w:r>
              <w:rPr>
                <w:rFonts w:eastAsia="Times New Roman"/>
                <w:lang w:eastAsia="es-CO"/>
              </w:rPr>
              <w:t>0.890</w:t>
            </w:r>
          </w:p>
        </w:tc>
        <w:tc>
          <w:tcPr>
            <w:tcW w:w="1124" w:type="dxa"/>
            <w:tcBorders>
              <w:top w:val="single" w:sz="4" w:space="0" w:color="00000A"/>
              <w:left w:val="nil"/>
              <w:right w:val="nil"/>
            </w:tcBorders>
            <w:vAlign w:val="center"/>
            <w:hideMark/>
          </w:tcPr>
          <w:p w14:paraId="52CF5262" w14:textId="77777777" w:rsidR="00CC6315" w:rsidRDefault="00CC6315" w:rsidP="00CC6315">
            <w:pPr>
              <w:pStyle w:val="lsTable"/>
            </w:pPr>
            <w:r>
              <w:t>0.60</w:t>
            </w:r>
          </w:p>
        </w:tc>
      </w:tr>
      <w:tr w:rsidR="00CC6315" w14:paraId="38001F33" w14:textId="77777777" w:rsidTr="00CC6315">
        <w:trPr>
          <w:trHeight w:val="300"/>
        </w:trPr>
        <w:tc>
          <w:tcPr>
            <w:tcW w:w="1247" w:type="dxa"/>
            <w:tcBorders>
              <w:left w:val="nil"/>
              <w:right w:val="nil"/>
            </w:tcBorders>
            <w:vAlign w:val="center"/>
          </w:tcPr>
          <w:p w14:paraId="4B2DBA16" w14:textId="77777777" w:rsidR="00CC6315" w:rsidRDefault="00CC6315" w:rsidP="00CC6315">
            <w:pPr>
              <w:pStyle w:val="lsTableHeading"/>
              <w:rPr>
                <w:lang w:eastAsia="es-CO"/>
              </w:rPr>
            </w:pPr>
          </w:p>
        </w:tc>
        <w:tc>
          <w:tcPr>
            <w:tcW w:w="1380" w:type="dxa"/>
            <w:tcBorders>
              <w:left w:val="nil"/>
              <w:right w:val="nil"/>
            </w:tcBorders>
            <w:vAlign w:val="center"/>
            <w:hideMark/>
          </w:tcPr>
          <w:p w14:paraId="3448C120" w14:textId="77777777" w:rsidR="00CC6315" w:rsidRDefault="00CC6315" w:rsidP="00CC6315">
            <w:pPr>
              <w:pStyle w:val="lsTable"/>
              <w:rPr>
                <w:rFonts w:ascii="Calibri" w:hAnsi="Calibri"/>
                <w:color w:val="00000A"/>
                <w:lang w:eastAsia="zh-CN"/>
              </w:rPr>
            </w:pPr>
            <w:r>
              <w:rPr>
                <w:lang w:val="en-GB"/>
              </w:rPr>
              <w:t>CoordCR</w:t>
            </w:r>
          </w:p>
        </w:tc>
        <w:tc>
          <w:tcPr>
            <w:tcW w:w="1174" w:type="dxa"/>
            <w:tcBorders>
              <w:left w:val="nil"/>
              <w:right w:val="nil"/>
            </w:tcBorders>
            <w:vAlign w:val="center"/>
            <w:hideMark/>
          </w:tcPr>
          <w:p w14:paraId="6625A803" w14:textId="77777777" w:rsidR="00CC6315" w:rsidRDefault="00CC6315" w:rsidP="00CC6315">
            <w:pPr>
              <w:pStyle w:val="lsTable"/>
            </w:pPr>
            <w:r>
              <w:rPr>
                <w:rFonts w:eastAsia="Times New Roman"/>
                <w:lang w:eastAsia="es-CO"/>
              </w:rPr>
              <w:t>1.119</w:t>
            </w:r>
          </w:p>
        </w:tc>
        <w:tc>
          <w:tcPr>
            <w:tcW w:w="1137" w:type="dxa"/>
            <w:tcBorders>
              <w:left w:val="nil"/>
              <w:right w:val="nil"/>
            </w:tcBorders>
            <w:vAlign w:val="center"/>
            <w:hideMark/>
          </w:tcPr>
          <w:p w14:paraId="4DAB6E8E" w14:textId="77777777" w:rsidR="00CC6315" w:rsidRDefault="00CC6315" w:rsidP="00CC6315">
            <w:pPr>
              <w:pStyle w:val="lsTable"/>
            </w:pPr>
            <w:r>
              <w:rPr>
                <w:rFonts w:eastAsia="Times New Roman"/>
                <w:lang w:val="es-CO" w:eastAsia="es-CO" w:bidi="ar-SA"/>
              </w:rPr>
              <w:t>0.26</w:t>
            </w:r>
          </w:p>
        </w:tc>
        <w:tc>
          <w:tcPr>
            <w:tcW w:w="1138" w:type="dxa"/>
            <w:tcBorders>
              <w:left w:val="nil"/>
              <w:right w:val="nil"/>
            </w:tcBorders>
            <w:vAlign w:val="center"/>
          </w:tcPr>
          <w:p w14:paraId="44BD13E7" w14:textId="77777777" w:rsidR="00CC6315" w:rsidRDefault="00CC6315" w:rsidP="00CC6315">
            <w:pPr>
              <w:pStyle w:val="lsTable"/>
            </w:pPr>
            <w:r>
              <w:rPr>
                <w:rFonts w:eastAsia="Times New Roman"/>
                <w:lang w:eastAsia="es-CO"/>
              </w:rPr>
              <w:t>-0.070  0.249</w:t>
            </w:r>
          </w:p>
          <w:p w14:paraId="24B1685A" w14:textId="77777777" w:rsidR="00CC6315" w:rsidRDefault="00CC6315" w:rsidP="00CC6315">
            <w:pPr>
              <w:pStyle w:val="lsTable"/>
              <w:rPr>
                <w:rFonts w:eastAsia="Times New Roman"/>
                <w:lang w:val="es-CO" w:eastAsia="es-CO" w:bidi="ar-SA"/>
              </w:rPr>
            </w:pPr>
          </w:p>
        </w:tc>
        <w:tc>
          <w:tcPr>
            <w:tcW w:w="1124" w:type="dxa"/>
            <w:tcBorders>
              <w:left w:val="nil"/>
              <w:right w:val="nil"/>
            </w:tcBorders>
            <w:vAlign w:val="center"/>
            <w:hideMark/>
          </w:tcPr>
          <w:p w14:paraId="44FCF998" w14:textId="77777777" w:rsidR="00CC6315" w:rsidRDefault="00CC6315" w:rsidP="00CC6315">
            <w:pPr>
              <w:pStyle w:val="lsTable"/>
              <w:rPr>
                <w:color w:val="00000A"/>
                <w:lang w:eastAsia="zh-CN"/>
              </w:rPr>
            </w:pPr>
            <w:r>
              <w:t>0.18</w:t>
            </w:r>
          </w:p>
        </w:tc>
      </w:tr>
      <w:tr w:rsidR="00CC6315" w14:paraId="0AAF5B31" w14:textId="77777777" w:rsidTr="00CC6315">
        <w:trPr>
          <w:trHeight w:val="300"/>
        </w:trPr>
        <w:tc>
          <w:tcPr>
            <w:tcW w:w="1247" w:type="dxa"/>
            <w:tcBorders>
              <w:left w:val="nil"/>
              <w:right w:val="nil"/>
            </w:tcBorders>
            <w:vAlign w:val="center"/>
          </w:tcPr>
          <w:p w14:paraId="77B9BF57" w14:textId="77777777" w:rsidR="00CC6315" w:rsidRDefault="00CC6315" w:rsidP="00CC6315">
            <w:pPr>
              <w:pStyle w:val="lsTableHeading"/>
              <w:rPr>
                <w:bCs/>
                <w:lang w:eastAsia="es-CO"/>
              </w:rPr>
            </w:pPr>
          </w:p>
        </w:tc>
        <w:tc>
          <w:tcPr>
            <w:tcW w:w="1380" w:type="dxa"/>
            <w:tcBorders>
              <w:left w:val="nil"/>
              <w:right w:val="nil"/>
            </w:tcBorders>
            <w:vAlign w:val="center"/>
            <w:hideMark/>
          </w:tcPr>
          <w:p w14:paraId="2BEE6850" w14:textId="77777777" w:rsidR="00CC6315" w:rsidRDefault="00CC6315" w:rsidP="00CC6315">
            <w:pPr>
              <w:pStyle w:val="lsTable"/>
              <w:rPr>
                <w:rFonts w:ascii="Calibri" w:hAnsi="Calibri"/>
                <w:color w:val="00000A"/>
                <w:lang w:eastAsia="zh-CN"/>
              </w:rPr>
            </w:pPr>
            <w:r>
              <w:rPr>
                <w:lang w:val="en-GB"/>
              </w:rPr>
              <w:t>DepCS</w:t>
            </w:r>
          </w:p>
        </w:tc>
        <w:tc>
          <w:tcPr>
            <w:tcW w:w="1174" w:type="dxa"/>
            <w:tcBorders>
              <w:left w:val="nil"/>
              <w:right w:val="nil"/>
            </w:tcBorders>
            <w:vAlign w:val="center"/>
            <w:hideMark/>
          </w:tcPr>
          <w:p w14:paraId="74249AB4" w14:textId="77777777" w:rsidR="00CC6315" w:rsidRDefault="00CC6315" w:rsidP="00CC6315">
            <w:pPr>
              <w:pStyle w:val="lsTable"/>
            </w:pPr>
            <w:r>
              <w:rPr>
                <w:rFonts w:eastAsia="Times New Roman"/>
                <w:lang w:eastAsia="es-CO"/>
              </w:rPr>
              <w:t>2.868</w:t>
            </w:r>
          </w:p>
        </w:tc>
        <w:tc>
          <w:tcPr>
            <w:tcW w:w="1137" w:type="dxa"/>
            <w:tcBorders>
              <w:left w:val="nil"/>
              <w:right w:val="nil"/>
            </w:tcBorders>
            <w:vAlign w:val="center"/>
            <w:hideMark/>
          </w:tcPr>
          <w:p w14:paraId="3B4FDCD5" w14:textId="77777777" w:rsidR="00CC6315" w:rsidRDefault="00CC6315" w:rsidP="00CC6315">
            <w:pPr>
              <w:pStyle w:val="lsTable"/>
            </w:pPr>
            <w:r>
              <w:rPr>
                <w:lang w:val="en-GB" w:eastAsia="es-CO" w:bidi="ar-SA"/>
              </w:rPr>
              <w:t>p &lt; .05</w:t>
            </w:r>
          </w:p>
        </w:tc>
        <w:tc>
          <w:tcPr>
            <w:tcW w:w="1138" w:type="dxa"/>
            <w:tcBorders>
              <w:left w:val="nil"/>
              <w:right w:val="nil"/>
            </w:tcBorders>
            <w:vAlign w:val="center"/>
          </w:tcPr>
          <w:p w14:paraId="01D7B186" w14:textId="77777777" w:rsidR="00CC6315" w:rsidRDefault="00CC6315" w:rsidP="00CC6315">
            <w:pPr>
              <w:pStyle w:val="lsTable"/>
            </w:pPr>
            <w:r>
              <w:rPr>
                <w:rFonts w:eastAsia="Times New Roman"/>
                <w:lang w:eastAsia="es-CO"/>
              </w:rPr>
              <w:t>0.058</w:t>
            </w:r>
          </w:p>
          <w:p w14:paraId="4AC2027F" w14:textId="77777777" w:rsidR="00CC6315" w:rsidRDefault="00CC6315" w:rsidP="00CC6315">
            <w:pPr>
              <w:pStyle w:val="lsTable"/>
            </w:pPr>
            <w:r>
              <w:rPr>
                <w:rFonts w:eastAsia="Times New Roman"/>
                <w:lang w:eastAsia="es-CO"/>
              </w:rPr>
              <w:t>0.324</w:t>
            </w:r>
          </w:p>
          <w:p w14:paraId="0FE6B169" w14:textId="77777777" w:rsidR="00CC6315" w:rsidRDefault="00CC6315" w:rsidP="00CC6315">
            <w:pPr>
              <w:pStyle w:val="lsTable"/>
              <w:rPr>
                <w:rFonts w:eastAsia="Times New Roman"/>
                <w:bCs/>
                <w:lang w:val="es-CO" w:eastAsia="es-CO" w:bidi="ar-SA"/>
              </w:rPr>
            </w:pPr>
          </w:p>
        </w:tc>
        <w:tc>
          <w:tcPr>
            <w:tcW w:w="1124" w:type="dxa"/>
            <w:tcBorders>
              <w:left w:val="nil"/>
              <w:right w:val="nil"/>
            </w:tcBorders>
            <w:vAlign w:val="center"/>
            <w:hideMark/>
          </w:tcPr>
          <w:p w14:paraId="2030C983" w14:textId="77777777" w:rsidR="00CC6315" w:rsidRDefault="00CC6315" w:rsidP="00CC6315">
            <w:pPr>
              <w:pStyle w:val="lsTable"/>
              <w:rPr>
                <w:color w:val="00000A"/>
                <w:lang w:eastAsia="zh-CN"/>
              </w:rPr>
            </w:pPr>
            <w:r>
              <w:t>0.46</w:t>
            </w:r>
          </w:p>
        </w:tc>
      </w:tr>
      <w:tr w:rsidR="00CC6315" w14:paraId="66AB3815" w14:textId="77777777" w:rsidTr="00CC6315">
        <w:trPr>
          <w:trHeight w:val="300"/>
        </w:trPr>
        <w:tc>
          <w:tcPr>
            <w:tcW w:w="1247" w:type="dxa"/>
            <w:tcBorders>
              <w:left w:val="nil"/>
              <w:right w:val="nil"/>
            </w:tcBorders>
            <w:vAlign w:val="center"/>
            <w:hideMark/>
          </w:tcPr>
          <w:p w14:paraId="044A2DE9" w14:textId="77777777" w:rsidR="00CC6315" w:rsidRDefault="00CC6315" w:rsidP="00CC6315">
            <w:pPr>
              <w:pStyle w:val="lsTableHeading"/>
            </w:pPr>
            <w:r>
              <w:rPr>
                <w:lang w:val="en-GB"/>
              </w:rPr>
              <w:t>Lexical Complexiy</w:t>
            </w:r>
          </w:p>
        </w:tc>
        <w:tc>
          <w:tcPr>
            <w:tcW w:w="1380" w:type="dxa"/>
            <w:tcBorders>
              <w:left w:val="nil"/>
              <w:right w:val="nil"/>
            </w:tcBorders>
            <w:vAlign w:val="center"/>
            <w:hideMark/>
          </w:tcPr>
          <w:p w14:paraId="2CD00595" w14:textId="77777777" w:rsidR="00CC6315" w:rsidRDefault="00CC6315" w:rsidP="00CC6315">
            <w:pPr>
              <w:pStyle w:val="lsTable"/>
            </w:pPr>
            <w:r>
              <w:t>Guiraud</w:t>
            </w:r>
          </w:p>
        </w:tc>
        <w:tc>
          <w:tcPr>
            <w:tcW w:w="1174" w:type="dxa"/>
            <w:tcBorders>
              <w:left w:val="nil"/>
              <w:right w:val="nil"/>
            </w:tcBorders>
            <w:vAlign w:val="center"/>
            <w:hideMark/>
          </w:tcPr>
          <w:p w14:paraId="4372F8F9" w14:textId="77777777" w:rsidR="00CC6315" w:rsidRDefault="00CC6315" w:rsidP="00CC6315">
            <w:pPr>
              <w:pStyle w:val="lsTable"/>
            </w:pPr>
            <w:r>
              <w:rPr>
                <w:rFonts w:eastAsia="Times New Roman"/>
                <w:lang w:eastAsia="es-CO"/>
              </w:rPr>
              <w:t>-1.834</w:t>
            </w:r>
          </w:p>
        </w:tc>
        <w:tc>
          <w:tcPr>
            <w:tcW w:w="1137" w:type="dxa"/>
            <w:tcBorders>
              <w:left w:val="nil"/>
              <w:right w:val="nil"/>
            </w:tcBorders>
            <w:vAlign w:val="center"/>
            <w:hideMark/>
          </w:tcPr>
          <w:p w14:paraId="2CC64C1D" w14:textId="77777777" w:rsidR="00CC6315" w:rsidRDefault="00CC6315" w:rsidP="00CC6315">
            <w:pPr>
              <w:pStyle w:val="lsTable"/>
            </w:pPr>
            <w:r>
              <w:rPr>
                <w:rFonts w:eastAsia="Times New Roman"/>
                <w:lang w:val="es-CO" w:eastAsia="es-CO" w:bidi="ar-SA"/>
              </w:rPr>
              <w:t>0.068</w:t>
            </w:r>
          </w:p>
        </w:tc>
        <w:tc>
          <w:tcPr>
            <w:tcW w:w="1138" w:type="dxa"/>
            <w:tcBorders>
              <w:left w:val="nil"/>
              <w:right w:val="nil"/>
            </w:tcBorders>
            <w:vAlign w:val="center"/>
          </w:tcPr>
          <w:p w14:paraId="4E62BE57" w14:textId="77777777" w:rsidR="00CC6315" w:rsidRDefault="00CC6315" w:rsidP="00CC6315">
            <w:pPr>
              <w:pStyle w:val="lsTable"/>
            </w:pPr>
            <w:r>
              <w:rPr>
                <w:rFonts w:eastAsia="Times New Roman"/>
                <w:lang w:eastAsia="es-CO"/>
              </w:rPr>
              <w:t>-0.135 0.005</w:t>
            </w:r>
          </w:p>
          <w:p w14:paraId="3D2CE639" w14:textId="77777777" w:rsidR="00CC6315" w:rsidRDefault="00CC6315" w:rsidP="00CC6315">
            <w:pPr>
              <w:pStyle w:val="lsTable"/>
              <w:rPr>
                <w:rFonts w:eastAsia="Times New Roman"/>
                <w:lang w:val="es-CO" w:eastAsia="es-CO" w:bidi="ar-SA"/>
              </w:rPr>
            </w:pPr>
          </w:p>
        </w:tc>
        <w:tc>
          <w:tcPr>
            <w:tcW w:w="1124" w:type="dxa"/>
            <w:tcBorders>
              <w:left w:val="nil"/>
              <w:right w:val="nil"/>
            </w:tcBorders>
            <w:vAlign w:val="center"/>
            <w:hideMark/>
          </w:tcPr>
          <w:p w14:paraId="7E88F1A5" w14:textId="77777777" w:rsidR="00CC6315" w:rsidRDefault="00CC6315" w:rsidP="00CC6315">
            <w:pPr>
              <w:pStyle w:val="lsTable"/>
              <w:rPr>
                <w:color w:val="00000A"/>
                <w:lang w:eastAsia="zh-CN"/>
              </w:rPr>
            </w:pPr>
            <w:r>
              <w:t>-0.3</w:t>
            </w:r>
          </w:p>
        </w:tc>
      </w:tr>
      <w:tr w:rsidR="00CC6315" w14:paraId="2FD5A72E" w14:textId="77777777" w:rsidTr="00CC6315">
        <w:trPr>
          <w:trHeight w:val="300"/>
        </w:trPr>
        <w:tc>
          <w:tcPr>
            <w:tcW w:w="1247" w:type="dxa"/>
            <w:tcBorders>
              <w:left w:val="nil"/>
              <w:right w:val="nil"/>
            </w:tcBorders>
            <w:vAlign w:val="center"/>
          </w:tcPr>
          <w:p w14:paraId="51936242" w14:textId="77777777" w:rsidR="00CC6315" w:rsidRDefault="00CC6315" w:rsidP="00CC6315">
            <w:pPr>
              <w:pStyle w:val="lsTableHeading"/>
              <w:rPr>
                <w:lang w:eastAsia="es-CO"/>
              </w:rPr>
            </w:pPr>
          </w:p>
        </w:tc>
        <w:tc>
          <w:tcPr>
            <w:tcW w:w="1380" w:type="dxa"/>
            <w:tcBorders>
              <w:left w:val="nil"/>
              <w:right w:val="nil"/>
            </w:tcBorders>
            <w:vAlign w:val="center"/>
            <w:hideMark/>
          </w:tcPr>
          <w:p w14:paraId="1E2D55A5" w14:textId="77777777" w:rsidR="00CC6315" w:rsidRDefault="00CC6315" w:rsidP="00CC6315">
            <w:pPr>
              <w:pStyle w:val="lsTable"/>
              <w:rPr>
                <w:rFonts w:ascii="Calibri" w:hAnsi="Calibri"/>
                <w:color w:val="00000A"/>
                <w:lang w:eastAsia="zh-CN"/>
              </w:rPr>
            </w:pPr>
            <w:r>
              <w:rPr>
                <w:lang w:val="en-GB"/>
              </w:rPr>
              <w:t>D</w:t>
            </w:r>
          </w:p>
        </w:tc>
        <w:tc>
          <w:tcPr>
            <w:tcW w:w="1174" w:type="dxa"/>
            <w:tcBorders>
              <w:left w:val="nil"/>
              <w:right w:val="nil"/>
            </w:tcBorders>
            <w:vAlign w:val="center"/>
            <w:hideMark/>
          </w:tcPr>
          <w:p w14:paraId="4C3B6259" w14:textId="77777777" w:rsidR="00CC6315" w:rsidRDefault="00CC6315" w:rsidP="00CC6315">
            <w:pPr>
              <w:pStyle w:val="lsTable"/>
            </w:pPr>
            <w:r>
              <w:rPr>
                <w:rFonts w:eastAsia="Times New Roman"/>
                <w:lang w:eastAsia="es-CO"/>
              </w:rPr>
              <w:t>-0.553</w:t>
            </w:r>
          </w:p>
        </w:tc>
        <w:tc>
          <w:tcPr>
            <w:tcW w:w="1137" w:type="dxa"/>
            <w:tcBorders>
              <w:left w:val="nil"/>
              <w:right w:val="nil"/>
            </w:tcBorders>
            <w:vAlign w:val="center"/>
            <w:hideMark/>
          </w:tcPr>
          <w:p w14:paraId="1D38CE25" w14:textId="77777777" w:rsidR="00CC6315" w:rsidRDefault="00CC6315" w:rsidP="00CC6315">
            <w:pPr>
              <w:pStyle w:val="lsTable"/>
            </w:pPr>
            <w:r>
              <w:rPr>
                <w:rFonts w:eastAsia="Times New Roman"/>
                <w:lang w:val="es-CO" w:eastAsia="es-CO" w:bidi="ar-SA"/>
              </w:rPr>
              <w:t>0.58</w:t>
            </w:r>
          </w:p>
        </w:tc>
        <w:tc>
          <w:tcPr>
            <w:tcW w:w="1138" w:type="dxa"/>
            <w:tcBorders>
              <w:left w:val="nil"/>
              <w:right w:val="nil"/>
            </w:tcBorders>
            <w:vAlign w:val="center"/>
          </w:tcPr>
          <w:p w14:paraId="274924CE" w14:textId="77777777" w:rsidR="00CC6315" w:rsidRDefault="00CC6315" w:rsidP="00CC6315">
            <w:pPr>
              <w:pStyle w:val="lsTable"/>
            </w:pPr>
            <w:r>
              <w:rPr>
                <w:rFonts w:eastAsia="Times New Roman"/>
                <w:lang w:eastAsia="es-CO"/>
              </w:rPr>
              <w:t>-4.175 2.348</w:t>
            </w:r>
          </w:p>
          <w:p w14:paraId="3C15B1A0" w14:textId="77777777" w:rsidR="00CC6315" w:rsidRDefault="00CC6315" w:rsidP="00CC6315">
            <w:pPr>
              <w:pStyle w:val="lsTable"/>
              <w:rPr>
                <w:rFonts w:eastAsia="Times New Roman"/>
                <w:lang w:val="es-CO" w:eastAsia="es-CO" w:bidi="ar-SA"/>
              </w:rPr>
            </w:pPr>
          </w:p>
        </w:tc>
        <w:tc>
          <w:tcPr>
            <w:tcW w:w="1124" w:type="dxa"/>
            <w:tcBorders>
              <w:left w:val="nil"/>
              <w:right w:val="nil"/>
            </w:tcBorders>
            <w:vAlign w:val="center"/>
            <w:hideMark/>
          </w:tcPr>
          <w:p w14:paraId="274C2935" w14:textId="77777777" w:rsidR="00CC6315" w:rsidRDefault="00CC6315" w:rsidP="00CC6315">
            <w:pPr>
              <w:pStyle w:val="lsTable"/>
              <w:rPr>
                <w:color w:val="00000A"/>
                <w:lang w:eastAsia="zh-CN"/>
              </w:rPr>
            </w:pPr>
            <w:r>
              <w:t>-0.09</w:t>
            </w:r>
          </w:p>
        </w:tc>
      </w:tr>
      <w:tr w:rsidR="00CC6315" w14:paraId="3785A587" w14:textId="77777777" w:rsidTr="00CC6315">
        <w:trPr>
          <w:trHeight w:val="300"/>
        </w:trPr>
        <w:tc>
          <w:tcPr>
            <w:tcW w:w="1247" w:type="dxa"/>
            <w:tcBorders>
              <w:left w:val="nil"/>
              <w:right w:val="nil"/>
            </w:tcBorders>
            <w:vAlign w:val="center"/>
            <w:hideMark/>
          </w:tcPr>
          <w:p w14:paraId="327B49C8" w14:textId="77777777" w:rsidR="00CC6315" w:rsidRDefault="00CC6315" w:rsidP="00CC6315">
            <w:pPr>
              <w:pStyle w:val="lsTableHeading"/>
            </w:pPr>
            <w:r>
              <w:rPr>
                <w:lang w:val="en-GB"/>
              </w:rPr>
              <w:t>Accuracy</w:t>
            </w:r>
          </w:p>
        </w:tc>
        <w:tc>
          <w:tcPr>
            <w:tcW w:w="1380" w:type="dxa"/>
            <w:tcBorders>
              <w:left w:val="nil"/>
              <w:right w:val="nil"/>
            </w:tcBorders>
            <w:vAlign w:val="center"/>
            <w:hideMark/>
          </w:tcPr>
          <w:p w14:paraId="3ECA4EBB" w14:textId="77777777" w:rsidR="00CC6315" w:rsidRDefault="00CC6315" w:rsidP="00CC6315">
            <w:pPr>
              <w:pStyle w:val="lsTable"/>
            </w:pPr>
            <w:r>
              <w:rPr>
                <w:lang w:val="en-GB"/>
              </w:rPr>
              <w:t>TotalErr/100</w:t>
            </w:r>
          </w:p>
        </w:tc>
        <w:tc>
          <w:tcPr>
            <w:tcW w:w="1174" w:type="dxa"/>
            <w:tcBorders>
              <w:left w:val="nil"/>
              <w:right w:val="nil"/>
            </w:tcBorders>
            <w:vAlign w:val="center"/>
            <w:hideMark/>
          </w:tcPr>
          <w:p w14:paraId="723B23F0" w14:textId="77777777" w:rsidR="00CC6315" w:rsidRDefault="00CC6315" w:rsidP="00CC6315">
            <w:pPr>
              <w:pStyle w:val="lsTable"/>
            </w:pPr>
            <w:r>
              <w:rPr>
                <w:rFonts w:eastAsia="Times New Roman"/>
                <w:lang w:eastAsia="es-CO"/>
              </w:rPr>
              <w:t>0.969</w:t>
            </w:r>
          </w:p>
        </w:tc>
        <w:tc>
          <w:tcPr>
            <w:tcW w:w="1137" w:type="dxa"/>
            <w:tcBorders>
              <w:left w:val="nil"/>
              <w:right w:val="nil"/>
            </w:tcBorders>
            <w:vAlign w:val="center"/>
            <w:hideMark/>
          </w:tcPr>
          <w:p w14:paraId="61DE9D61" w14:textId="77777777" w:rsidR="00CC6315" w:rsidRDefault="00CC6315" w:rsidP="00CC6315">
            <w:pPr>
              <w:pStyle w:val="lsTable"/>
            </w:pPr>
            <w:r>
              <w:rPr>
                <w:rFonts w:eastAsia="Times New Roman"/>
                <w:lang w:val="es-CO" w:eastAsia="es-CO" w:bidi="ar-SA"/>
              </w:rPr>
              <w:t>0.34</w:t>
            </w:r>
          </w:p>
        </w:tc>
        <w:tc>
          <w:tcPr>
            <w:tcW w:w="1138" w:type="dxa"/>
            <w:tcBorders>
              <w:left w:val="nil"/>
              <w:right w:val="nil"/>
            </w:tcBorders>
            <w:vAlign w:val="center"/>
            <w:hideMark/>
          </w:tcPr>
          <w:p w14:paraId="3448815C" w14:textId="77777777" w:rsidR="00CC6315" w:rsidRDefault="00CC6315" w:rsidP="00CC6315">
            <w:pPr>
              <w:pStyle w:val="lsTable"/>
            </w:pPr>
            <w:r>
              <w:rPr>
                <w:rFonts w:eastAsia="Times New Roman"/>
                <w:lang w:eastAsia="es-CO"/>
              </w:rPr>
              <w:t>-1.258 3.663</w:t>
            </w:r>
          </w:p>
        </w:tc>
        <w:tc>
          <w:tcPr>
            <w:tcW w:w="1124" w:type="dxa"/>
            <w:tcBorders>
              <w:left w:val="nil"/>
              <w:right w:val="nil"/>
            </w:tcBorders>
            <w:vAlign w:val="center"/>
            <w:hideMark/>
          </w:tcPr>
          <w:p w14:paraId="5C976835" w14:textId="77777777" w:rsidR="00CC6315" w:rsidRDefault="00CC6315" w:rsidP="00CC6315">
            <w:pPr>
              <w:pStyle w:val="lsTable"/>
            </w:pPr>
            <w:r>
              <w:t>0.15</w:t>
            </w:r>
          </w:p>
        </w:tc>
      </w:tr>
      <w:tr w:rsidR="00CC6315" w14:paraId="01C56454" w14:textId="77777777" w:rsidTr="00CC6315">
        <w:trPr>
          <w:trHeight w:val="300"/>
        </w:trPr>
        <w:tc>
          <w:tcPr>
            <w:tcW w:w="1247" w:type="dxa"/>
            <w:tcBorders>
              <w:left w:val="nil"/>
              <w:right w:val="nil"/>
            </w:tcBorders>
            <w:vAlign w:val="center"/>
          </w:tcPr>
          <w:p w14:paraId="1D2BF194" w14:textId="77777777" w:rsidR="00CC6315" w:rsidRDefault="00CC6315" w:rsidP="00CC6315">
            <w:pPr>
              <w:pStyle w:val="lsTableHeading"/>
              <w:rPr>
                <w:lang w:eastAsia="es-CO"/>
              </w:rPr>
            </w:pPr>
          </w:p>
        </w:tc>
        <w:tc>
          <w:tcPr>
            <w:tcW w:w="1380" w:type="dxa"/>
            <w:tcBorders>
              <w:left w:val="nil"/>
              <w:right w:val="nil"/>
            </w:tcBorders>
            <w:vAlign w:val="center"/>
            <w:hideMark/>
          </w:tcPr>
          <w:p w14:paraId="39DF83D2" w14:textId="77777777" w:rsidR="00CC6315" w:rsidRDefault="00CC6315" w:rsidP="00CC6315">
            <w:pPr>
              <w:pStyle w:val="lsTable"/>
              <w:rPr>
                <w:rFonts w:ascii="Calibri" w:hAnsi="Calibri"/>
                <w:color w:val="00000A"/>
                <w:lang w:eastAsia="zh-CN"/>
              </w:rPr>
            </w:pPr>
            <w:r>
              <w:rPr>
                <w:lang w:val="en-GB"/>
              </w:rPr>
              <w:t>GrErr/100</w:t>
            </w:r>
          </w:p>
        </w:tc>
        <w:tc>
          <w:tcPr>
            <w:tcW w:w="1174" w:type="dxa"/>
            <w:tcBorders>
              <w:left w:val="nil"/>
              <w:right w:val="nil"/>
            </w:tcBorders>
            <w:vAlign w:val="center"/>
            <w:hideMark/>
          </w:tcPr>
          <w:p w14:paraId="4ED0ECF3" w14:textId="77777777" w:rsidR="00CC6315" w:rsidRDefault="00CC6315" w:rsidP="00CC6315">
            <w:pPr>
              <w:pStyle w:val="lsTable"/>
            </w:pPr>
            <w:r>
              <w:rPr>
                <w:rFonts w:eastAsia="Times New Roman"/>
                <w:lang w:eastAsia="es-CO"/>
              </w:rPr>
              <w:t>2.494</w:t>
            </w:r>
          </w:p>
        </w:tc>
        <w:tc>
          <w:tcPr>
            <w:tcW w:w="1137" w:type="dxa"/>
            <w:tcBorders>
              <w:left w:val="nil"/>
              <w:right w:val="nil"/>
            </w:tcBorders>
            <w:vAlign w:val="center"/>
            <w:hideMark/>
          </w:tcPr>
          <w:p w14:paraId="401F0211" w14:textId="77777777" w:rsidR="00CC6315" w:rsidRDefault="00CC6315" w:rsidP="00CC6315">
            <w:pPr>
              <w:pStyle w:val="lsTable"/>
            </w:pPr>
            <w:r>
              <w:rPr>
                <w:lang w:val="en-GB" w:eastAsia="es-CO" w:bidi="ar-SA"/>
              </w:rPr>
              <w:t>p &lt; .05</w:t>
            </w:r>
          </w:p>
        </w:tc>
        <w:tc>
          <w:tcPr>
            <w:tcW w:w="1138" w:type="dxa"/>
            <w:tcBorders>
              <w:left w:val="nil"/>
              <w:right w:val="nil"/>
            </w:tcBorders>
            <w:vAlign w:val="center"/>
            <w:hideMark/>
          </w:tcPr>
          <w:p w14:paraId="009F0D36" w14:textId="77777777" w:rsidR="00CC6315" w:rsidRDefault="00CC6315" w:rsidP="00CC6315">
            <w:pPr>
              <w:pStyle w:val="lsTable"/>
            </w:pPr>
            <w:r>
              <w:rPr>
                <w:rFonts w:eastAsia="Times New Roman"/>
                <w:lang w:eastAsia="es-CO"/>
              </w:rPr>
              <w:t>0.530</w:t>
            </w:r>
          </w:p>
          <w:p w14:paraId="70CA8B95" w14:textId="77777777" w:rsidR="00CC6315" w:rsidRDefault="00CC6315" w:rsidP="00CC6315">
            <w:pPr>
              <w:pStyle w:val="lsTable"/>
            </w:pPr>
            <w:r>
              <w:rPr>
                <w:rFonts w:eastAsia="Times New Roman"/>
                <w:lang w:eastAsia="es-CO"/>
              </w:rPr>
              <w:t>4.726</w:t>
            </w:r>
          </w:p>
        </w:tc>
        <w:tc>
          <w:tcPr>
            <w:tcW w:w="1124" w:type="dxa"/>
            <w:tcBorders>
              <w:left w:val="nil"/>
              <w:right w:val="nil"/>
            </w:tcBorders>
            <w:vAlign w:val="center"/>
            <w:hideMark/>
          </w:tcPr>
          <w:p w14:paraId="2559D176" w14:textId="77777777" w:rsidR="00CC6315" w:rsidRDefault="00CC6315" w:rsidP="00CC6315">
            <w:pPr>
              <w:pStyle w:val="lsTable"/>
            </w:pPr>
            <w:r>
              <w:t>0.40</w:t>
            </w:r>
          </w:p>
        </w:tc>
      </w:tr>
      <w:tr w:rsidR="00CC6315" w14:paraId="77013CAD" w14:textId="77777777" w:rsidTr="00CC6315">
        <w:trPr>
          <w:trHeight w:val="300"/>
        </w:trPr>
        <w:tc>
          <w:tcPr>
            <w:tcW w:w="1247" w:type="dxa"/>
            <w:tcBorders>
              <w:left w:val="nil"/>
              <w:right w:val="nil"/>
            </w:tcBorders>
            <w:vAlign w:val="center"/>
            <w:hideMark/>
          </w:tcPr>
          <w:p w14:paraId="0CA6906F" w14:textId="77777777" w:rsidR="00CC6315" w:rsidRDefault="00CC6315" w:rsidP="00CC6315">
            <w:pPr>
              <w:pStyle w:val="lsTableHeading"/>
            </w:pPr>
            <w:r>
              <w:rPr>
                <w:lang w:val="en-GB"/>
              </w:rPr>
              <w:lastRenderedPageBreak/>
              <w:t>Fluency</w:t>
            </w:r>
          </w:p>
        </w:tc>
        <w:tc>
          <w:tcPr>
            <w:tcW w:w="1380" w:type="dxa"/>
            <w:tcBorders>
              <w:left w:val="nil"/>
              <w:right w:val="nil"/>
            </w:tcBorders>
            <w:vAlign w:val="center"/>
            <w:hideMark/>
          </w:tcPr>
          <w:p w14:paraId="6CFFA25A" w14:textId="77777777" w:rsidR="00CC6315" w:rsidRDefault="00CC6315" w:rsidP="00CC6315">
            <w:pPr>
              <w:pStyle w:val="lsTable"/>
            </w:pPr>
            <w:r>
              <w:rPr>
                <w:lang w:val="en-GB"/>
              </w:rPr>
              <w:t>WS</w:t>
            </w:r>
          </w:p>
        </w:tc>
        <w:tc>
          <w:tcPr>
            <w:tcW w:w="1174" w:type="dxa"/>
            <w:tcBorders>
              <w:left w:val="nil"/>
              <w:right w:val="nil"/>
            </w:tcBorders>
            <w:vAlign w:val="center"/>
            <w:hideMark/>
          </w:tcPr>
          <w:p w14:paraId="26045817" w14:textId="77777777" w:rsidR="00CC6315" w:rsidRDefault="00CC6315" w:rsidP="00CC6315">
            <w:pPr>
              <w:pStyle w:val="lsTable"/>
            </w:pPr>
            <w:r>
              <w:rPr>
                <w:rFonts w:eastAsia="Times New Roman"/>
                <w:lang w:eastAsia="es-CO"/>
              </w:rPr>
              <w:t>2.887</w:t>
            </w:r>
          </w:p>
        </w:tc>
        <w:tc>
          <w:tcPr>
            <w:tcW w:w="1137" w:type="dxa"/>
            <w:tcBorders>
              <w:left w:val="nil"/>
              <w:right w:val="nil"/>
            </w:tcBorders>
            <w:vAlign w:val="center"/>
            <w:hideMark/>
          </w:tcPr>
          <w:p w14:paraId="0FB42939" w14:textId="77777777" w:rsidR="00CC6315" w:rsidRDefault="00CC6315" w:rsidP="00CC6315">
            <w:pPr>
              <w:pStyle w:val="lsTable"/>
            </w:pPr>
            <w:r>
              <w:rPr>
                <w:lang w:val="en-GB" w:eastAsia="es-CO" w:bidi="ar-SA"/>
              </w:rPr>
              <w:t>p &lt; .05</w:t>
            </w:r>
          </w:p>
        </w:tc>
        <w:tc>
          <w:tcPr>
            <w:tcW w:w="1138" w:type="dxa"/>
            <w:tcBorders>
              <w:left w:val="nil"/>
              <w:right w:val="nil"/>
            </w:tcBorders>
            <w:vAlign w:val="center"/>
            <w:hideMark/>
          </w:tcPr>
          <w:p w14:paraId="0D9E3266" w14:textId="77777777" w:rsidR="00CC6315" w:rsidRDefault="00CC6315" w:rsidP="00CC6315">
            <w:pPr>
              <w:pStyle w:val="lsTable"/>
            </w:pPr>
            <w:r>
              <w:rPr>
                <w:rFonts w:eastAsia="Times New Roman"/>
                <w:lang w:eastAsia="es-CO"/>
              </w:rPr>
              <w:t>0.325</w:t>
            </w:r>
          </w:p>
          <w:p w14:paraId="0900197F" w14:textId="77777777" w:rsidR="00CC6315" w:rsidRDefault="00CC6315" w:rsidP="00CC6315">
            <w:pPr>
              <w:pStyle w:val="lsTable"/>
            </w:pPr>
            <w:r>
              <w:rPr>
                <w:rFonts w:eastAsia="Times New Roman"/>
                <w:lang w:eastAsia="es-CO"/>
              </w:rPr>
              <w:t>1.772</w:t>
            </w:r>
          </w:p>
        </w:tc>
        <w:tc>
          <w:tcPr>
            <w:tcW w:w="1124" w:type="dxa"/>
            <w:tcBorders>
              <w:left w:val="nil"/>
              <w:right w:val="nil"/>
            </w:tcBorders>
            <w:vAlign w:val="center"/>
            <w:hideMark/>
          </w:tcPr>
          <w:p w14:paraId="63DED794" w14:textId="77777777" w:rsidR="00CC6315" w:rsidRDefault="00CC6315" w:rsidP="00CC6315">
            <w:pPr>
              <w:pStyle w:val="lsTable"/>
            </w:pPr>
            <w:r>
              <w:t>0.47</w:t>
            </w:r>
          </w:p>
        </w:tc>
      </w:tr>
      <w:tr w:rsidR="00CC6315" w14:paraId="1C4931DC" w14:textId="77777777" w:rsidTr="00CC6315">
        <w:trPr>
          <w:trHeight w:val="300"/>
        </w:trPr>
        <w:tc>
          <w:tcPr>
            <w:tcW w:w="1247" w:type="dxa"/>
            <w:tcBorders>
              <w:left w:val="nil"/>
              <w:right w:val="nil"/>
            </w:tcBorders>
            <w:vAlign w:val="center"/>
          </w:tcPr>
          <w:p w14:paraId="0581B8FB" w14:textId="77777777" w:rsidR="00CC6315" w:rsidRDefault="00CC6315" w:rsidP="00CC6315">
            <w:pPr>
              <w:pStyle w:val="lsTableHeading"/>
              <w:rPr>
                <w:lang w:eastAsia="es-CO"/>
              </w:rPr>
            </w:pPr>
          </w:p>
        </w:tc>
        <w:tc>
          <w:tcPr>
            <w:tcW w:w="1380" w:type="dxa"/>
            <w:tcBorders>
              <w:left w:val="nil"/>
              <w:right w:val="nil"/>
            </w:tcBorders>
            <w:vAlign w:val="center"/>
            <w:hideMark/>
          </w:tcPr>
          <w:p w14:paraId="5CA219AC" w14:textId="77777777" w:rsidR="00CC6315" w:rsidRDefault="00CC6315" w:rsidP="00CC6315">
            <w:pPr>
              <w:pStyle w:val="lsTable"/>
              <w:rPr>
                <w:rFonts w:ascii="Calibri" w:hAnsi="Calibri"/>
                <w:color w:val="00000A"/>
                <w:lang w:eastAsia="zh-CN"/>
              </w:rPr>
            </w:pPr>
            <w:r>
              <w:rPr>
                <w:lang w:val="en-GB"/>
              </w:rPr>
              <w:t>WM</w:t>
            </w:r>
          </w:p>
        </w:tc>
        <w:tc>
          <w:tcPr>
            <w:tcW w:w="1174" w:type="dxa"/>
            <w:tcBorders>
              <w:left w:val="nil"/>
              <w:right w:val="nil"/>
            </w:tcBorders>
            <w:vAlign w:val="center"/>
            <w:hideMark/>
          </w:tcPr>
          <w:p w14:paraId="51BFC6EE" w14:textId="77777777" w:rsidR="00CC6315" w:rsidRDefault="00CC6315" w:rsidP="00CC6315">
            <w:pPr>
              <w:pStyle w:val="lsTable"/>
            </w:pPr>
            <w:r>
              <w:rPr>
                <w:rFonts w:eastAsia="Times New Roman"/>
                <w:lang w:eastAsia="es-CO"/>
              </w:rPr>
              <w:t>-1.387</w:t>
            </w:r>
          </w:p>
        </w:tc>
        <w:tc>
          <w:tcPr>
            <w:tcW w:w="1137" w:type="dxa"/>
            <w:tcBorders>
              <w:left w:val="nil"/>
              <w:right w:val="nil"/>
            </w:tcBorders>
            <w:vAlign w:val="center"/>
            <w:hideMark/>
          </w:tcPr>
          <w:p w14:paraId="453F846F" w14:textId="77777777" w:rsidR="00CC6315" w:rsidRDefault="00CC6315" w:rsidP="00CC6315">
            <w:pPr>
              <w:pStyle w:val="lsTable"/>
            </w:pPr>
            <w:r>
              <w:rPr>
                <w:rFonts w:eastAsia="Times New Roman"/>
                <w:lang w:val="es-CO" w:eastAsia="es-CO" w:bidi="ar-SA"/>
              </w:rPr>
              <w:t>0.16</w:t>
            </w:r>
          </w:p>
        </w:tc>
        <w:tc>
          <w:tcPr>
            <w:tcW w:w="1138" w:type="dxa"/>
            <w:tcBorders>
              <w:left w:val="nil"/>
              <w:right w:val="nil"/>
            </w:tcBorders>
            <w:vAlign w:val="center"/>
          </w:tcPr>
          <w:p w14:paraId="130B3DE0" w14:textId="5F0FB082" w:rsidR="00CC6315" w:rsidRPr="00CC6315" w:rsidRDefault="00CC6315" w:rsidP="00CC6315">
            <w:pPr>
              <w:pStyle w:val="lsTable"/>
            </w:pPr>
            <w:r>
              <w:rPr>
                <w:rFonts w:eastAsia="Times New Roman"/>
                <w:lang w:eastAsia="es-CO"/>
              </w:rPr>
              <w:t>-0.414  0.073</w:t>
            </w:r>
          </w:p>
        </w:tc>
        <w:tc>
          <w:tcPr>
            <w:tcW w:w="1124" w:type="dxa"/>
            <w:tcBorders>
              <w:left w:val="nil"/>
              <w:right w:val="nil"/>
            </w:tcBorders>
            <w:vAlign w:val="center"/>
            <w:hideMark/>
          </w:tcPr>
          <w:p w14:paraId="3151702D" w14:textId="77777777" w:rsidR="00CC6315" w:rsidRDefault="00CC6315" w:rsidP="00CC6315">
            <w:pPr>
              <w:pStyle w:val="lsTable"/>
              <w:rPr>
                <w:color w:val="00000A"/>
                <w:lang w:eastAsia="zh-CN"/>
              </w:rPr>
            </w:pPr>
            <w:r>
              <w:t>-0.22</w:t>
            </w:r>
          </w:p>
        </w:tc>
      </w:tr>
    </w:tbl>
    <w:p w14:paraId="4DEB183C" w14:textId="33D9975E" w:rsidR="00CC6315" w:rsidRDefault="00CC6315" w:rsidP="00CC6315">
      <w:r>
        <w:rPr>
          <w:i/>
          <w:lang w:eastAsia="es-CO"/>
        </w:rPr>
        <w:t>Table 7:</w:t>
      </w:r>
      <w:r>
        <w:rPr>
          <w:i/>
        </w:rPr>
        <w:t xml:space="preserve"> Results for Welch’s T-Test for between-group comparison of programmes HI and HI+</w:t>
      </w:r>
    </w:p>
    <w:p w14:paraId="75F51DDD" w14:textId="0FC79EA8" w:rsidR="00CC6315" w:rsidRDefault="00CC6315" w:rsidP="00CC6315">
      <w:pPr>
        <w:pStyle w:val="lsSection2"/>
      </w:pPr>
      <w:r>
        <w:t>Holistic ratings</w:t>
      </w:r>
    </w:p>
    <w:p w14:paraId="6EED63AB" w14:textId="77777777" w:rsidR="00CC6315" w:rsidRDefault="00CC6315" w:rsidP="00CC6315">
      <w:pPr>
        <w:rPr>
          <w:lang w:eastAsia="zh-CN"/>
        </w:rPr>
      </w:pPr>
      <w:r>
        <w:rPr>
          <w:lang w:val="en-GB"/>
        </w:rPr>
        <w:t>Figure 2 shows two graphics with the two evaluators’ scores for programmes HI and HI+ on the Total Score of the rubric. Rater 2’s scores appear to be systematically higher than rater 1’s</w:t>
      </w:r>
      <w:r>
        <w:rPr>
          <w:color w:val="000000"/>
          <w:lang w:val="en-GB"/>
        </w:rPr>
        <w:t xml:space="preserve">. </w:t>
      </w:r>
      <w:r>
        <w:rPr>
          <w:lang w:val="en-GB"/>
        </w:rPr>
        <w:t xml:space="preserve">These discrepancies might be attributed to </w:t>
      </w:r>
      <w:r>
        <w:t xml:space="preserve">1) </w:t>
      </w:r>
      <w:r>
        <w:rPr>
          <w:lang w:val="en-GB"/>
        </w:rPr>
        <w:t xml:space="preserve">the evaluators’ different L1 backgrounds </w:t>
      </w:r>
      <w:r>
        <w:t>and 2) a differential judgement of text structure, grammar and lexical repertoires (raters might have judged learners’ lexicons not only in terms of diversity but in terms of accuracy)</w:t>
      </w:r>
      <w:r>
        <w:rPr>
          <w:rStyle w:val="FootnoteReference"/>
          <w:rFonts w:cs="Times New Roman"/>
          <w:szCs w:val="20"/>
        </w:rPr>
        <w:footnoteReference w:id="3"/>
      </w:r>
      <w:r>
        <w:rPr>
          <w:lang w:val="en-GB"/>
        </w:rPr>
        <w:t xml:space="preserve">. </w:t>
      </w:r>
    </w:p>
    <w:p w14:paraId="24158365" w14:textId="77777777" w:rsidR="00CC6315" w:rsidRDefault="00CC6315" w:rsidP="00CC6315">
      <w:r>
        <w:rPr>
          <w:lang w:val="en-GB"/>
        </w:rPr>
        <w:t xml:space="preserve">Interestingly, the scores don’t seem to change much across different age groups, except for a slight positive difference between initial (age 12) and final (age 17) levels. Both raters judged scripts produced at age 16 with the highest scores, with a rather surprising decrease at age 17. </w:t>
      </w:r>
    </w:p>
    <w:p w14:paraId="685E7F4C" w14:textId="4C8AF1F0" w:rsidR="00CC6315" w:rsidRDefault="00CC6315" w:rsidP="00CC6315">
      <w:r>
        <w:rPr>
          <w:rFonts w:cs="Times New Roman"/>
          <w:i/>
          <w:szCs w:val="20"/>
          <w:lang w:val="en-GB"/>
        </w:rPr>
        <w:t xml:space="preserve">Figure 2: Rater 1 and Rater 2 Total Scores attributed to the scripts </w:t>
      </w:r>
      <w:r>
        <w:rPr>
          <w:rFonts w:eastAsiaTheme="minorEastAsia" w:cs="Times New Roman"/>
          <w:noProof/>
          <w:lang w:eastAsia="en-US" w:bidi="ar-SA"/>
        </w:rPr>
        <w:lastRenderedPageBreak/>
        <w:drawing>
          <wp:anchor distT="0" distB="0" distL="114300" distR="114300" simplePos="0" relativeHeight="251660288" behindDoc="1" locked="0" layoutInCell="1" allowOverlap="1" wp14:anchorId="28FAEBDE" wp14:editId="09706393">
            <wp:simplePos x="0" y="0"/>
            <wp:positionH relativeFrom="margin">
              <wp:align>right</wp:align>
            </wp:positionH>
            <wp:positionV relativeFrom="paragraph">
              <wp:posOffset>334010</wp:posOffset>
            </wp:positionV>
            <wp:extent cx="4324350" cy="2533650"/>
            <wp:effectExtent l="0" t="0" r="0" b="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253365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cs="Times New Roman"/>
          <w:noProof/>
          <w:lang w:eastAsia="en-US" w:bidi="ar-SA"/>
        </w:rPr>
        <w:drawing>
          <wp:anchor distT="0" distB="0" distL="114300" distR="114300" simplePos="0" relativeHeight="251662336" behindDoc="1" locked="0" layoutInCell="1" allowOverlap="1" wp14:anchorId="3EF45AFC" wp14:editId="7F83E2C2">
            <wp:simplePos x="0" y="0"/>
            <wp:positionH relativeFrom="margin">
              <wp:align>right</wp:align>
            </wp:positionH>
            <wp:positionV relativeFrom="paragraph">
              <wp:posOffset>2759710</wp:posOffset>
            </wp:positionV>
            <wp:extent cx="4324350" cy="2543175"/>
            <wp:effectExtent l="0" t="0" r="0" b="9525"/>
            <wp:wrapTopAndBottom/>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254317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i/>
          <w:szCs w:val="20"/>
          <w:lang w:val="en-GB"/>
        </w:rPr>
        <w:t xml:space="preserve">from HI and HI+ based on a 20-point scale rubric </w:t>
      </w:r>
    </w:p>
    <w:p w14:paraId="5A435319" w14:textId="5F0D2747" w:rsidR="00CC6315" w:rsidRPr="00CC6315" w:rsidRDefault="00CC6315" w:rsidP="00CC6315">
      <w:r>
        <w:rPr>
          <w:lang w:val="en-GB"/>
        </w:rPr>
        <w:t xml:space="preserve">Between-group comparisons using Welch’s t-test did not reveal any statistical differences between the programmes, as shown in Table 8. The mean difference between raters’ perception of HI+ and HI on various aspects of writing ability ranges from -0.17 to 0.03. These results suggest that neither programme is perceived as significantly different from the other, when it comes to the holistic rating of L2 </w:t>
      </w:r>
      <w:r>
        <w:rPr>
          <w:lang w:val="en-GB"/>
        </w:rPr>
        <w:lastRenderedPageBreak/>
        <w:t xml:space="preserve">writing performance. </w:t>
      </w:r>
    </w:p>
    <w:tbl>
      <w:tblPr>
        <w:tblW w:w="0" w:type="auto"/>
        <w:tblLayout w:type="fixed"/>
        <w:tblCellMar>
          <w:left w:w="70" w:type="dxa"/>
          <w:right w:w="70" w:type="dxa"/>
        </w:tblCellMar>
        <w:tblLook w:val="04A0" w:firstRow="1" w:lastRow="0" w:firstColumn="1" w:lastColumn="0" w:noHBand="0" w:noVBand="1"/>
      </w:tblPr>
      <w:tblGrid>
        <w:gridCol w:w="1487"/>
        <w:gridCol w:w="829"/>
        <w:gridCol w:w="822"/>
        <w:gridCol w:w="1206"/>
        <w:gridCol w:w="1160"/>
        <w:gridCol w:w="903"/>
        <w:gridCol w:w="1017"/>
        <w:gridCol w:w="791"/>
      </w:tblGrid>
      <w:tr w:rsidR="00CC6315" w14:paraId="092BA8C3" w14:textId="77777777" w:rsidTr="00CC6315">
        <w:trPr>
          <w:trHeight w:val="1453"/>
        </w:trPr>
        <w:tc>
          <w:tcPr>
            <w:tcW w:w="1487" w:type="dxa"/>
            <w:tcBorders>
              <w:top w:val="nil"/>
              <w:left w:val="nil"/>
              <w:bottom w:val="single" w:sz="4" w:space="0" w:color="000080"/>
              <w:right w:val="nil"/>
            </w:tcBorders>
            <w:vAlign w:val="bottom"/>
          </w:tcPr>
          <w:p w14:paraId="6057245A" w14:textId="77777777" w:rsidR="00CC6315" w:rsidRDefault="00CC6315" w:rsidP="001B7E07">
            <w:pPr>
              <w:pStyle w:val="lsTableHeading"/>
              <w:rPr>
                <w:lang w:eastAsia="es-CO" w:bidi="ar-SA"/>
              </w:rPr>
            </w:pPr>
          </w:p>
        </w:tc>
        <w:tc>
          <w:tcPr>
            <w:tcW w:w="829" w:type="dxa"/>
            <w:tcBorders>
              <w:top w:val="nil"/>
              <w:left w:val="nil"/>
              <w:bottom w:val="single" w:sz="4" w:space="0" w:color="000080"/>
              <w:right w:val="nil"/>
            </w:tcBorders>
            <w:vAlign w:val="bottom"/>
            <w:hideMark/>
          </w:tcPr>
          <w:p w14:paraId="0A1A6D76" w14:textId="77777777" w:rsidR="00CC6315" w:rsidRDefault="00CC6315" w:rsidP="001B7E07">
            <w:pPr>
              <w:pStyle w:val="lsTableHeading"/>
              <w:rPr>
                <w:color w:val="00000A"/>
                <w:lang w:eastAsia="zh-CN"/>
              </w:rPr>
            </w:pPr>
            <w:r>
              <w:rPr>
                <w:lang w:val="es-CO" w:eastAsia="es-CO" w:bidi="ar-SA"/>
              </w:rPr>
              <w:t>Group HI+</w:t>
            </w:r>
            <w:r>
              <w:rPr>
                <w:lang w:val="es-CO" w:eastAsia="es-CO" w:bidi="ar-SA"/>
              </w:rPr>
              <w:br/>
              <w:t>Mean</w:t>
            </w:r>
            <w:r>
              <w:rPr>
                <w:lang w:val="es-CO" w:eastAsia="es-CO" w:bidi="ar-SA"/>
              </w:rPr>
              <w:br/>
              <w:t>(SD)</w:t>
            </w:r>
          </w:p>
        </w:tc>
        <w:tc>
          <w:tcPr>
            <w:tcW w:w="822" w:type="dxa"/>
            <w:tcBorders>
              <w:top w:val="nil"/>
              <w:left w:val="nil"/>
              <w:bottom w:val="single" w:sz="4" w:space="0" w:color="000080"/>
              <w:right w:val="nil"/>
            </w:tcBorders>
            <w:vAlign w:val="bottom"/>
            <w:hideMark/>
          </w:tcPr>
          <w:p w14:paraId="32E5F666" w14:textId="77777777" w:rsidR="00CC6315" w:rsidRDefault="00CC6315" w:rsidP="001B7E07">
            <w:pPr>
              <w:pStyle w:val="lsTableHeading"/>
            </w:pPr>
            <w:r>
              <w:rPr>
                <w:lang w:val="es-CO" w:eastAsia="es-CO" w:bidi="ar-SA"/>
              </w:rPr>
              <w:t>Group HI</w:t>
            </w:r>
            <w:r>
              <w:rPr>
                <w:lang w:val="es-CO" w:eastAsia="es-CO" w:bidi="ar-SA"/>
              </w:rPr>
              <w:br/>
              <w:t>Mean</w:t>
            </w:r>
            <w:r>
              <w:rPr>
                <w:lang w:val="es-CO" w:eastAsia="es-CO" w:bidi="ar-SA"/>
              </w:rPr>
              <w:br/>
              <w:t>(SD)</w:t>
            </w:r>
          </w:p>
        </w:tc>
        <w:tc>
          <w:tcPr>
            <w:tcW w:w="1206" w:type="dxa"/>
            <w:tcBorders>
              <w:top w:val="nil"/>
              <w:left w:val="nil"/>
              <w:bottom w:val="single" w:sz="4" w:space="0" w:color="000080"/>
              <w:right w:val="nil"/>
            </w:tcBorders>
            <w:vAlign w:val="bottom"/>
          </w:tcPr>
          <w:p w14:paraId="3B2A792D" w14:textId="77777777" w:rsidR="00CC6315" w:rsidRDefault="00CC6315" w:rsidP="001B7E07">
            <w:pPr>
              <w:pStyle w:val="lsTableHeading"/>
            </w:pPr>
            <w:r>
              <w:rPr>
                <w:lang w:val="es-CO" w:eastAsia="es-CO" w:bidi="ar-SA"/>
              </w:rPr>
              <w:t>Mean Difference</w:t>
            </w:r>
          </w:p>
          <w:p w14:paraId="70E336EF" w14:textId="0652BE9D" w:rsidR="00CC6315" w:rsidRPr="001B7E07" w:rsidRDefault="00CC6315" w:rsidP="001B7E07">
            <w:pPr>
              <w:pStyle w:val="lsTableHeading"/>
            </w:pPr>
            <w:r>
              <w:rPr>
                <w:lang w:val="es-CO" w:eastAsia="es-CO" w:bidi="ar-SA"/>
              </w:rPr>
              <w:t>Between groups</w:t>
            </w:r>
          </w:p>
        </w:tc>
        <w:tc>
          <w:tcPr>
            <w:tcW w:w="1160" w:type="dxa"/>
            <w:tcBorders>
              <w:top w:val="nil"/>
              <w:left w:val="nil"/>
              <w:bottom w:val="single" w:sz="4" w:space="0" w:color="000080"/>
              <w:right w:val="nil"/>
            </w:tcBorders>
            <w:vAlign w:val="bottom"/>
          </w:tcPr>
          <w:p w14:paraId="644D05B9" w14:textId="2456F377" w:rsidR="00CC6315" w:rsidRPr="001B7E07" w:rsidRDefault="00CC6315" w:rsidP="001B7E07">
            <w:pPr>
              <w:pStyle w:val="lsTableHeading"/>
              <w:rPr>
                <w:color w:val="00000A"/>
                <w:lang w:eastAsia="zh-CN"/>
              </w:rPr>
            </w:pPr>
            <w:r>
              <w:rPr>
                <w:i/>
                <w:lang w:val="es-CO" w:eastAsia="es-CO" w:bidi="ar-SA"/>
              </w:rPr>
              <w:t>t</w:t>
            </w:r>
          </w:p>
        </w:tc>
        <w:tc>
          <w:tcPr>
            <w:tcW w:w="903" w:type="dxa"/>
            <w:tcBorders>
              <w:top w:val="nil"/>
              <w:left w:val="nil"/>
              <w:bottom w:val="single" w:sz="4" w:space="0" w:color="000080"/>
              <w:right w:val="nil"/>
            </w:tcBorders>
            <w:vAlign w:val="bottom"/>
          </w:tcPr>
          <w:p w14:paraId="5799C897" w14:textId="0856D3AC" w:rsidR="00CC6315" w:rsidRPr="001B7E07" w:rsidRDefault="00CC6315" w:rsidP="001B7E07">
            <w:pPr>
              <w:pStyle w:val="lsTableHeading"/>
              <w:rPr>
                <w:color w:val="00000A"/>
                <w:lang w:eastAsia="zh-CN"/>
              </w:rPr>
            </w:pPr>
            <w:r>
              <w:rPr>
                <w:i/>
                <w:lang w:val="es-CO" w:eastAsia="es-CO" w:bidi="ar-SA"/>
              </w:rPr>
              <w:t>p</w:t>
            </w:r>
          </w:p>
        </w:tc>
        <w:tc>
          <w:tcPr>
            <w:tcW w:w="1017" w:type="dxa"/>
            <w:tcBorders>
              <w:top w:val="nil"/>
              <w:left w:val="nil"/>
              <w:bottom w:val="single" w:sz="4" w:space="0" w:color="000080"/>
              <w:right w:val="nil"/>
            </w:tcBorders>
            <w:vAlign w:val="bottom"/>
          </w:tcPr>
          <w:p w14:paraId="44674E82" w14:textId="43E5CE94" w:rsidR="00CC6315" w:rsidRPr="001B7E07" w:rsidRDefault="00CC6315" w:rsidP="001B7E07">
            <w:pPr>
              <w:pStyle w:val="lsTableHeading"/>
              <w:rPr>
                <w:color w:val="00000A"/>
                <w:lang w:eastAsia="zh-CN"/>
              </w:rPr>
            </w:pPr>
            <w:r>
              <w:rPr>
                <w:lang w:val="es-CO" w:eastAsia="es-CO" w:bidi="ar-SA"/>
              </w:rPr>
              <w:t>95% CI</w:t>
            </w:r>
          </w:p>
        </w:tc>
        <w:tc>
          <w:tcPr>
            <w:tcW w:w="791" w:type="dxa"/>
            <w:tcBorders>
              <w:top w:val="nil"/>
              <w:left w:val="nil"/>
              <w:bottom w:val="single" w:sz="4" w:space="0" w:color="000080"/>
              <w:right w:val="nil"/>
            </w:tcBorders>
            <w:vAlign w:val="bottom"/>
          </w:tcPr>
          <w:p w14:paraId="4A3BA452" w14:textId="77777777" w:rsidR="00CC6315" w:rsidRDefault="00CC6315" w:rsidP="001B7E07">
            <w:pPr>
              <w:pStyle w:val="lsTableHeading"/>
              <w:rPr>
                <w:lang w:val="es-CO" w:eastAsia="es-CO" w:bidi="ar-SA"/>
              </w:rPr>
            </w:pPr>
          </w:p>
          <w:p w14:paraId="5DE7300F" w14:textId="5491B34C" w:rsidR="00CC6315" w:rsidRPr="001B7E07" w:rsidRDefault="00CC6315" w:rsidP="001B7E07">
            <w:pPr>
              <w:pStyle w:val="lsTableHeading"/>
              <w:rPr>
                <w:color w:val="00000A"/>
                <w:lang w:eastAsia="zh-CN"/>
              </w:rPr>
            </w:pPr>
            <w:r>
              <w:rPr>
                <w:i/>
                <w:lang w:val="es-CO" w:eastAsia="es-CO" w:bidi="ar-SA"/>
              </w:rPr>
              <w:t>d</w:t>
            </w:r>
          </w:p>
        </w:tc>
      </w:tr>
      <w:tr w:rsidR="00CC6315" w14:paraId="05C48519" w14:textId="77777777" w:rsidTr="00CC6315">
        <w:trPr>
          <w:trHeight w:val="600"/>
        </w:trPr>
        <w:tc>
          <w:tcPr>
            <w:tcW w:w="1487" w:type="dxa"/>
            <w:tcBorders>
              <w:top w:val="single" w:sz="4" w:space="0" w:color="000080"/>
              <w:left w:val="nil"/>
              <w:bottom w:val="single" w:sz="4" w:space="0" w:color="000080"/>
              <w:right w:val="nil"/>
            </w:tcBorders>
            <w:vAlign w:val="center"/>
            <w:hideMark/>
          </w:tcPr>
          <w:p w14:paraId="6AF5F73C" w14:textId="77777777" w:rsidR="00CC6315" w:rsidRDefault="00CC6315" w:rsidP="001B7E07">
            <w:pPr>
              <w:pStyle w:val="lsTableHeading"/>
              <w:rPr>
                <w:color w:val="00000A"/>
                <w:lang w:eastAsia="zh-CN"/>
              </w:rPr>
            </w:pPr>
            <w:r>
              <w:rPr>
                <w:lang w:val="es-CO" w:eastAsia="es-CO" w:bidi="ar-SA"/>
              </w:rPr>
              <w:t>Task</w:t>
            </w:r>
            <w:r>
              <w:rPr>
                <w:lang w:val="es-CO" w:eastAsia="es-CO" w:bidi="ar-SA"/>
              </w:rPr>
              <w:br/>
              <w:t>Fulfillment</w:t>
            </w:r>
          </w:p>
        </w:tc>
        <w:tc>
          <w:tcPr>
            <w:tcW w:w="829" w:type="dxa"/>
            <w:tcBorders>
              <w:top w:val="single" w:sz="4" w:space="0" w:color="000080"/>
              <w:left w:val="nil"/>
              <w:bottom w:val="single" w:sz="4" w:space="0" w:color="000080"/>
              <w:right w:val="nil"/>
            </w:tcBorders>
            <w:vAlign w:val="center"/>
            <w:hideMark/>
          </w:tcPr>
          <w:p w14:paraId="791AB40D" w14:textId="77777777" w:rsidR="00CC6315" w:rsidRDefault="00CC6315" w:rsidP="001B7E07">
            <w:pPr>
              <w:pStyle w:val="lsTable"/>
            </w:pPr>
            <w:r>
              <w:t>2.895</w:t>
            </w:r>
            <w:r>
              <w:br/>
              <w:t>(0.69)</w:t>
            </w:r>
          </w:p>
        </w:tc>
        <w:tc>
          <w:tcPr>
            <w:tcW w:w="822" w:type="dxa"/>
            <w:tcBorders>
              <w:top w:val="single" w:sz="4" w:space="0" w:color="000080"/>
              <w:left w:val="nil"/>
              <w:bottom w:val="single" w:sz="4" w:space="0" w:color="000080"/>
              <w:right w:val="nil"/>
            </w:tcBorders>
            <w:vAlign w:val="center"/>
            <w:hideMark/>
          </w:tcPr>
          <w:p w14:paraId="107A4F49" w14:textId="77777777" w:rsidR="00CC6315" w:rsidRDefault="00CC6315" w:rsidP="001B7E07">
            <w:pPr>
              <w:pStyle w:val="lsTable"/>
            </w:pPr>
            <w:r>
              <w:t>2.928</w:t>
            </w:r>
            <w:r>
              <w:br/>
              <w:t>(0.93)</w:t>
            </w:r>
          </w:p>
        </w:tc>
        <w:tc>
          <w:tcPr>
            <w:tcW w:w="1206" w:type="dxa"/>
            <w:tcBorders>
              <w:top w:val="single" w:sz="4" w:space="0" w:color="000080"/>
              <w:left w:val="nil"/>
              <w:bottom w:val="single" w:sz="4" w:space="0" w:color="000080"/>
              <w:right w:val="nil"/>
            </w:tcBorders>
            <w:vAlign w:val="bottom"/>
          </w:tcPr>
          <w:p w14:paraId="3F406109" w14:textId="77777777" w:rsidR="00CC6315" w:rsidRDefault="00CC6315" w:rsidP="001B7E07">
            <w:pPr>
              <w:pStyle w:val="lsTable"/>
            </w:pPr>
            <w:r>
              <w:t>-0.033</w:t>
            </w:r>
          </w:p>
          <w:p w14:paraId="23D774FB" w14:textId="77777777" w:rsidR="00CC6315" w:rsidRDefault="00CC6315" w:rsidP="001B7E07">
            <w:pPr>
              <w:pStyle w:val="lsTable"/>
            </w:pPr>
          </w:p>
        </w:tc>
        <w:tc>
          <w:tcPr>
            <w:tcW w:w="1160" w:type="dxa"/>
            <w:tcBorders>
              <w:top w:val="single" w:sz="4" w:space="0" w:color="000080"/>
              <w:left w:val="nil"/>
              <w:bottom w:val="single" w:sz="4" w:space="0" w:color="000080"/>
              <w:right w:val="nil"/>
            </w:tcBorders>
            <w:vAlign w:val="center"/>
            <w:hideMark/>
          </w:tcPr>
          <w:p w14:paraId="1BAF8B71" w14:textId="77777777" w:rsidR="00CC6315" w:rsidRDefault="00CC6315" w:rsidP="001B7E07">
            <w:pPr>
              <w:pStyle w:val="lsTable"/>
              <w:rPr>
                <w:rFonts w:ascii="Calibri" w:hAnsi="Calibri"/>
                <w:color w:val="00000A"/>
              </w:rPr>
            </w:pPr>
            <w:r>
              <w:t>0.191</w:t>
            </w:r>
          </w:p>
        </w:tc>
        <w:tc>
          <w:tcPr>
            <w:tcW w:w="903" w:type="dxa"/>
            <w:tcBorders>
              <w:top w:val="single" w:sz="4" w:space="0" w:color="000080"/>
              <w:left w:val="nil"/>
              <w:bottom w:val="single" w:sz="4" w:space="0" w:color="000080"/>
              <w:right w:val="nil"/>
            </w:tcBorders>
            <w:vAlign w:val="center"/>
            <w:hideMark/>
          </w:tcPr>
          <w:p w14:paraId="388521C1" w14:textId="77777777" w:rsidR="00CC6315" w:rsidRDefault="00CC6315" w:rsidP="001B7E07">
            <w:pPr>
              <w:pStyle w:val="lsTable"/>
            </w:pPr>
            <w:r>
              <w:t>0.84</w:t>
            </w:r>
          </w:p>
        </w:tc>
        <w:tc>
          <w:tcPr>
            <w:tcW w:w="1017" w:type="dxa"/>
            <w:tcBorders>
              <w:top w:val="single" w:sz="4" w:space="0" w:color="000080"/>
              <w:left w:val="nil"/>
              <w:bottom w:val="single" w:sz="4" w:space="0" w:color="000080"/>
              <w:right w:val="nil"/>
            </w:tcBorders>
            <w:vAlign w:val="center"/>
            <w:hideMark/>
          </w:tcPr>
          <w:p w14:paraId="666CA953" w14:textId="77777777" w:rsidR="00CC6315" w:rsidRDefault="00CC6315" w:rsidP="001B7E07">
            <w:pPr>
              <w:pStyle w:val="lsTable"/>
            </w:pPr>
            <w:r>
              <w:t>-0.293 0.355</w:t>
            </w:r>
          </w:p>
        </w:tc>
        <w:tc>
          <w:tcPr>
            <w:tcW w:w="791" w:type="dxa"/>
            <w:tcBorders>
              <w:top w:val="single" w:sz="4" w:space="0" w:color="000080"/>
              <w:left w:val="nil"/>
              <w:bottom w:val="single" w:sz="4" w:space="0" w:color="000080"/>
              <w:right w:val="nil"/>
            </w:tcBorders>
            <w:vAlign w:val="center"/>
          </w:tcPr>
          <w:p w14:paraId="71A8C88A" w14:textId="77777777" w:rsidR="00CC6315" w:rsidRDefault="00CC6315" w:rsidP="001B7E07">
            <w:pPr>
              <w:pStyle w:val="lsTable"/>
            </w:pPr>
            <w:r>
              <w:t>0.03</w:t>
            </w:r>
          </w:p>
          <w:p w14:paraId="73224BD8" w14:textId="77777777" w:rsidR="00CC6315" w:rsidRDefault="00CC6315" w:rsidP="001B7E07">
            <w:pPr>
              <w:pStyle w:val="lsTable"/>
              <w:rPr>
                <w:lang w:eastAsia="es-CO"/>
              </w:rPr>
            </w:pPr>
          </w:p>
        </w:tc>
      </w:tr>
      <w:tr w:rsidR="00CC6315" w14:paraId="7B031248" w14:textId="77777777" w:rsidTr="00CC6315">
        <w:trPr>
          <w:trHeight w:val="583"/>
        </w:trPr>
        <w:tc>
          <w:tcPr>
            <w:tcW w:w="1487" w:type="dxa"/>
            <w:tcBorders>
              <w:top w:val="single" w:sz="4" w:space="0" w:color="000080"/>
              <w:left w:val="nil"/>
              <w:bottom w:val="single" w:sz="4" w:space="0" w:color="000080"/>
              <w:right w:val="nil"/>
            </w:tcBorders>
            <w:vAlign w:val="center"/>
            <w:hideMark/>
          </w:tcPr>
          <w:p w14:paraId="5F32CBA6" w14:textId="77777777" w:rsidR="00CC6315" w:rsidRDefault="00CC6315" w:rsidP="001B7E07">
            <w:pPr>
              <w:pStyle w:val="lsTableHeading"/>
              <w:rPr>
                <w:color w:val="00000A"/>
                <w:lang w:eastAsia="zh-CN"/>
              </w:rPr>
            </w:pPr>
            <w:r>
              <w:rPr>
                <w:lang w:val="es-CO" w:eastAsia="es-CO" w:bidi="ar-SA"/>
              </w:rPr>
              <w:t xml:space="preserve">Text </w:t>
            </w:r>
            <w:r>
              <w:rPr>
                <w:lang w:val="es-CO" w:eastAsia="es-CO" w:bidi="ar-SA"/>
              </w:rPr>
              <w:br/>
              <w:t>Organisation</w:t>
            </w:r>
          </w:p>
        </w:tc>
        <w:tc>
          <w:tcPr>
            <w:tcW w:w="829" w:type="dxa"/>
            <w:tcBorders>
              <w:top w:val="single" w:sz="4" w:space="0" w:color="000080"/>
              <w:left w:val="nil"/>
              <w:bottom w:val="single" w:sz="4" w:space="0" w:color="000080"/>
              <w:right w:val="nil"/>
            </w:tcBorders>
            <w:vAlign w:val="center"/>
            <w:hideMark/>
          </w:tcPr>
          <w:p w14:paraId="3ABB88A8" w14:textId="77777777" w:rsidR="00CC6315" w:rsidRDefault="00CC6315" w:rsidP="001B7E07">
            <w:pPr>
              <w:pStyle w:val="lsTable"/>
            </w:pPr>
            <w:r>
              <w:t>2.355</w:t>
            </w:r>
            <w:r>
              <w:br/>
              <w:t>(0.51)</w:t>
            </w:r>
          </w:p>
        </w:tc>
        <w:tc>
          <w:tcPr>
            <w:tcW w:w="822" w:type="dxa"/>
            <w:tcBorders>
              <w:top w:val="single" w:sz="4" w:space="0" w:color="000080"/>
              <w:left w:val="nil"/>
              <w:bottom w:val="single" w:sz="4" w:space="0" w:color="000080"/>
              <w:right w:val="nil"/>
            </w:tcBorders>
            <w:vAlign w:val="center"/>
            <w:hideMark/>
          </w:tcPr>
          <w:p w14:paraId="47765758" w14:textId="77777777" w:rsidR="00CC6315" w:rsidRDefault="00CC6315" w:rsidP="001B7E07">
            <w:pPr>
              <w:pStyle w:val="lsTable"/>
            </w:pPr>
            <w:r>
              <w:t>2.525</w:t>
            </w:r>
            <w:r>
              <w:br/>
              <w:t>(0.82)</w:t>
            </w:r>
          </w:p>
        </w:tc>
        <w:tc>
          <w:tcPr>
            <w:tcW w:w="1206" w:type="dxa"/>
            <w:tcBorders>
              <w:top w:val="single" w:sz="4" w:space="0" w:color="000080"/>
              <w:left w:val="nil"/>
              <w:bottom w:val="single" w:sz="4" w:space="0" w:color="000080"/>
              <w:right w:val="nil"/>
            </w:tcBorders>
            <w:vAlign w:val="bottom"/>
          </w:tcPr>
          <w:p w14:paraId="22019B4B" w14:textId="77777777" w:rsidR="00CC6315" w:rsidRDefault="00CC6315" w:rsidP="001B7E07">
            <w:pPr>
              <w:pStyle w:val="lsTable"/>
            </w:pPr>
            <w:r>
              <w:t>-0.170</w:t>
            </w:r>
          </w:p>
          <w:p w14:paraId="32AF5B4C" w14:textId="77777777" w:rsidR="00CC6315" w:rsidRDefault="00CC6315" w:rsidP="001B7E07">
            <w:pPr>
              <w:pStyle w:val="lsTable"/>
            </w:pPr>
          </w:p>
        </w:tc>
        <w:tc>
          <w:tcPr>
            <w:tcW w:w="1160" w:type="dxa"/>
            <w:tcBorders>
              <w:top w:val="single" w:sz="4" w:space="0" w:color="000080"/>
              <w:left w:val="nil"/>
              <w:bottom w:val="single" w:sz="4" w:space="0" w:color="000080"/>
              <w:right w:val="nil"/>
            </w:tcBorders>
            <w:vAlign w:val="center"/>
            <w:hideMark/>
          </w:tcPr>
          <w:p w14:paraId="0C4E3E4A" w14:textId="77777777" w:rsidR="00CC6315" w:rsidRDefault="00CC6315" w:rsidP="001B7E07">
            <w:pPr>
              <w:pStyle w:val="lsTable"/>
              <w:rPr>
                <w:rFonts w:ascii="Calibri" w:hAnsi="Calibri"/>
                <w:color w:val="00000A"/>
              </w:rPr>
            </w:pPr>
            <w:r>
              <w:t>1.15</w:t>
            </w:r>
          </w:p>
        </w:tc>
        <w:tc>
          <w:tcPr>
            <w:tcW w:w="903" w:type="dxa"/>
            <w:tcBorders>
              <w:top w:val="single" w:sz="4" w:space="0" w:color="000080"/>
              <w:left w:val="nil"/>
              <w:bottom w:val="single" w:sz="4" w:space="0" w:color="000080"/>
              <w:right w:val="nil"/>
            </w:tcBorders>
            <w:vAlign w:val="center"/>
            <w:hideMark/>
          </w:tcPr>
          <w:p w14:paraId="30B861E5" w14:textId="77777777" w:rsidR="00CC6315" w:rsidRDefault="00CC6315" w:rsidP="001B7E07">
            <w:pPr>
              <w:pStyle w:val="lsTable"/>
            </w:pPr>
            <w:r>
              <w:t>0.253</w:t>
            </w:r>
          </w:p>
        </w:tc>
        <w:tc>
          <w:tcPr>
            <w:tcW w:w="1017" w:type="dxa"/>
            <w:tcBorders>
              <w:top w:val="single" w:sz="4" w:space="0" w:color="000080"/>
              <w:left w:val="nil"/>
              <w:bottom w:val="single" w:sz="4" w:space="0" w:color="000080"/>
              <w:right w:val="nil"/>
            </w:tcBorders>
            <w:vAlign w:val="center"/>
          </w:tcPr>
          <w:p w14:paraId="2C904CD5" w14:textId="77777777" w:rsidR="00CC6315" w:rsidRDefault="00CC6315" w:rsidP="001B7E07">
            <w:pPr>
              <w:pStyle w:val="lsTable"/>
            </w:pPr>
            <w:r>
              <w:t>-0.112  0.422</w:t>
            </w:r>
          </w:p>
          <w:p w14:paraId="36E05B86" w14:textId="77777777" w:rsidR="00CC6315" w:rsidRDefault="00CC6315" w:rsidP="001B7E07">
            <w:pPr>
              <w:pStyle w:val="lsTable"/>
            </w:pPr>
          </w:p>
        </w:tc>
        <w:tc>
          <w:tcPr>
            <w:tcW w:w="791" w:type="dxa"/>
            <w:tcBorders>
              <w:top w:val="single" w:sz="4" w:space="0" w:color="000080"/>
              <w:left w:val="nil"/>
              <w:bottom w:val="single" w:sz="4" w:space="0" w:color="000080"/>
              <w:right w:val="nil"/>
            </w:tcBorders>
            <w:vAlign w:val="bottom"/>
          </w:tcPr>
          <w:p w14:paraId="5823FCD8" w14:textId="77777777" w:rsidR="00CC6315" w:rsidRDefault="00CC6315" w:rsidP="001B7E07">
            <w:pPr>
              <w:pStyle w:val="lsTable"/>
              <w:rPr>
                <w:rFonts w:ascii="Calibri" w:hAnsi="Calibri"/>
                <w:color w:val="00000A"/>
                <w:lang w:val="es-CO"/>
              </w:rPr>
            </w:pPr>
            <w:r>
              <w:t>0.23</w:t>
            </w:r>
          </w:p>
          <w:p w14:paraId="77A7CA26" w14:textId="77777777" w:rsidR="00CC6315" w:rsidRDefault="00CC6315" w:rsidP="001B7E07">
            <w:pPr>
              <w:pStyle w:val="lsTable"/>
            </w:pPr>
          </w:p>
        </w:tc>
      </w:tr>
      <w:tr w:rsidR="00CC6315" w14:paraId="71F26613" w14:textId="77777777" w:rsidTr="00CC6315">
        <w:trPr>
          <w:trHeight w:val="750"/>
        </w:trPr>
        <w:tc>
          <w:tcPr>
            <w:tcW w:w="1487" w:type="dxa"/>
            <w:tcBorders>
              <w:top w:val="single" w:sz="4" w:space="0" w:color="000080"/>
              <w:left w:val="nil"/>
              <w:bottom w:val="single" w:sz="4" w:space="0" w:color="000080"/>
              <w:right w:val="nil"/>
            </w:tcBorders>
            <w:vAlign w:val="center"/>
          </w:tcPr>
          <w:p w14:paraId="3FE14560" w14:textId="77777777" w:rsidR="00CC6315" w:rsidRDefault="00CC6315" w:rsidP="001B7E07">
            <w:pPr>
              <w:pStyle w:val="lsTableHeading"/>
              <w:rPr>
                <w:color w:val="00000A"/>
              </w:rPr>
            </w:pPr>
            <w:r>
              <w:rPr>
                <w:lang w:val="es-CO" w:eastAsia="es-CO" w:bidi="ar-SA"/>
              </w:rPr>
              <w:br/>
              <w:t>Grammar</w:t>
            </w:r>
          </w:p>
          <w:p w14:paraId="402F3909" w14:textId="77777777" w:rsidR="00CC6315" w:rsidRDefault="00CC6315" w:rsidP="001B7E07">
            <w:pPr>
              <w:pStyle w:val="lsTableHeading"/>
              <w:rPr>
                <w:lang w:val="es-CO" w:eastAsia="es-CO" w:bidi="ar-SA"/>
              </w:rPr>
            </w:pPr>
          </w:p>
        </w:tc>
        <w:tc>
          <w:tcPr>
            <w:tcW w:w="829" w:type="dxa"/>
            <w:tcBorders>
              <w:top w:val="single" w:sz="4" w:space="0" w:color="000080"/>
              <w:left w:val="nil"/>
              <w:bottom w:val="single" w:sz="4" w:space="0" w:color="000080"/>
              <w:right w:val="nil"/>
            </w:tcBorders>
            <w:vAlign w:val="center"/>
          </w:tcPr>
          <w:p w14:paraId="6EABDAD8" w14:textId="77777777" w:rsidR="00CC6315" w:rsidRDefault="00CC6315" w:rsidP="001B7E07">
            <w:pPr>
              <w:pStyle w:val="lsTable"/>
              <w:rPr>
                <w:color w:val="00000A"/>
                <w:lang w:val="es-CO" w:eastAsia="zh-CN" w:bidi="ar-SA"/>
              </w:rPr>
            </w:pPr>
            <w:r>
              <w:br/>
              <w:t xml:space="preserve">2.615 </w:t>
            </w:r>
            <w:r>
              <w:br/>
              <w:t>(0.60)</w:t>
            </w:r>
          </w:p>
          <w:p w14:paraId="51F782BC" w14:textId="77777777" w:rsidR="00CC6315" w:rsidRDefault="00CC6315" w:rsidP="001B7E07">
            <w:pPr>
              <w:pStyle w:val="lsTable"/>
            </w:pPr>
          </w:p>
        </w:tc>
        <w:tc>
          <w:tcPr>
            <w:tcW w:w="822" w:type="dxa"/>
            <w:tcBorders>
              <w:top w:val="single" w:sz="4" w:space="0" w:color="000080"/>
              <w:left w:val="nil"/>
              <w:bottom w:val="single" w:sz="4" w:space="0" w:color="000080"/>
              <w:right w:val="nil"/>
            </w:tcBorders>
            <w:vAlign w:val="center"/>
          </w:tcPr>
          <w:p w14:paraId="1F5F404A" w14:textId="77777777" w:rsidR="00CC6315" w:rsidRDefault="00CC6315" w:rsidP="001B7E07">
            <w:pPr>
              <w:pStyle w:val="lsTable"/>
              <w:rPr>
                <w:rFonts w:ascii="Calibri" w:hAnsi="Calibri"/>
                <w:color w:val="00000A"/>
              </w:rPr>
            </w:pPr>
            <w:r>
              <w:br/>
              <w:t xml:space="preserve">2.628 </w:t>
            </w:r>
            <w:r>
              <w:br/>
              <w:t>(0.74)</w:t>
            </w:r>
          </w:p>
          <w:p w14:paraId="24321021" w14:textId="77777777" w:rsidR="00CC6315" w:rsidRDefault="00CC6315" w:rsidP="001B7E07">
            <w:pPr>
              <w:pStyle w:val="lsTable"/>
            </w:pPr>
          </w:p>
        </w:tc>
        <w:tc>
          <w:tcPr>
            <w:tcW w:w="1206" w:type="dxa"/>
            <w:tcBorders>
              <w:top w:val="single" w:sz="4" w:space="0" w:color="000080"/>
              <w:left w:val="nil"/>
              <w:bottom w:val="single" w:sz="4" w:space="0" w:color="000080"/>
              <w:right w:val="nil"/>
            </w:tcBorders>
            <w:vAlign w:val="bottom"/>
          </w:tcPr>
          <w:p w14:paraId="2FA19323" w14:textId="77777777" w:rsidR="00CC6315" w:rsidRDefault="00CC6315" w:rsidP="001B7E07">
            <w:pPr>
              <w:pStyle w:val="lsTable"/>
              <w:rPr>
                <w:rFonts w:ascii="Calibri" w:hAnsi="Calibri"/>
                <w:color w:val="00000A"/>
              </w:rPr>
            </w:pPr>
            <w:r>
              <w:t>-0.012</w:t>
            </w:r>
          </w:p>
          <w:p w14:paraId="649674B0" w14:textId="77777777" w:rsidR="00CC6315" w:rsidRDefault="00CC6315" w:rsidP="001B7E07">
            <w:pPr>
              <w:pStyle w:val="lsTable"/>
            </w:pPr>
          </w:p>
          <w:p w14:paraId="7B076F02" w14:textId="77777777" w:rsidR="00CC6315" w:rsidRDefault="00CC6315" w:rsidP="001B7E07">
            <w:pPr>
              <w:pStyle w:val="lsTable"/>
            </w:pPr>
          </w:p>
        </w:tc>
        <w:tc>
          <w:tcPr>
            <w:tcW w:w="1160" w:type="dxa"/>
            <w:tcBorders>
              <w:top w:val="single" w:sz="4" w:space="0" w:color="000080"/>
              <w:left w:val="nil"/>
              <w:bottom w:val="single" w:sz="4" w:space="0" w:color="000080"/>
              <w:right w:val="nil"/>
            </w:tcBorders>
            <w:vAlign w:val="center"/>
          </w:tcPr>
          <w:p w14:paraId="673A8F38" w14:textId="77777777" w:rsidR="00CC6315" w:rsidRDefault="00CC6315" w:rsidP="001B7E07">
            <w:pPr>
              <w:pStyle w:val="lsTable"/>
              <w:rPr>
                <w:rFonts w:ascii="Calibri" w:hAnsi="Calibri"/>
                <w:color w:val="00000A"/>
              </w:rPr>
            </w:pPr>
            <w:r>
              <w:t>0.008</w:t>
            </w:r>
          </w:p>
          <w:p w14:paraId="4C953BF9" w14:textId="77777777" w:rsidR="00CC6315" w:rsidRDefault="00CC6315" w:rsidP="001B7E07">
            <w:pPr>
              <w:pStyle w:val="lsTable"/>
            </w:pPr>
          </w:p>
        </w:tc>
        <w:tc>
          <w:tcPr>
            <w:tcW w:w="903" w:type="dxa"/>
            <w:tcBorders>
              <w:top w:val="single" w:sz="4" w:space="0" w:color="000080"/>
              <w:left w:val="nil"/>
              <w:bottom w:val="single" w:sz="4" w:space="0" w:color="000080"/>
              <w:right w:val="nil"/>
            </w:tcBorders>
            <w:vAlign w:val="center"/>
          </w:tcPr>
          <w:p w14:paraId="142A9720" w14:textId="77777777" w:rsidR="00CC6315" w:rsidRDefault="00CC6315" w:rsidP="001B7E07">
            <w:pPr>
              <w:pStyle w:val="lsTable"/>
              <w:rPr>
                <w:rFonts w:ascii="Calibri" w:hAnsi="Calibri"/>
                <w:color w:val="00000A"/>
              </w:rPr>
            </w:pPr>
            <w:r>
              <w:t>0.992</w:t>
            </w:r>
          </w:p>
          <w:p w14:paraId="40F46E08" w14:textId="77777777" w:rsidR="00CC6315" w:rsidRDefault="00CC6315" w:rsidP="001B7E07">
            <w:pPr>
              <w:pStyle w:val="lsTable"/>
            </w:pPr>
          </w:p>
        </w:tc>
        <w:tc>
          <w:tcPr>
            <w:tcW w:w="1017" w:type="dxa"/>
            <w:tcBorders>
              <w:top w:val="single" w:sz="4" w:space="0" w:color="000080"/>
              <w:left w:val="nil"/>
              <w:bottom w:val="single" w:sz="4" w:space="0" w:color="000080"/>
              <w:right w:val="nil"/>
            </w:tcBorders>
            <w:vAlign w:val="center"/>
          </w:tcPr>
          <w:p w14:paraId="7C2E06B7" w14:textId="77777777" w:rsidR="00CC6315" w:rsidRDefault="00CC6315" w:rsidP="001B7E07">
            <w:pPr>
              <w:pStyle w:val="lsTable"/>
            </w:pPr>
            <w:r>
              <w:t>-0.264  0.266</w:t>
            </w:r>
          </w:p>
          <w:p w14:paraId="0CC48435" w14:textId="77777777" w:rsidR="00CC6315" w:rsidRDefault="00CC6315" w:rsidP="001B7E07">
            <w:pPr>
              <w:pStyle w:val="lsTable"/>
            </w:pPr>
          </w:p>
        </w:tc>
        <w:tc>
          <w:tcPr>
            <w:tcW w:w="791" w:type="dxa"/>
            <w:tcBorders>
              <w:top w:val="single" w:sz="4" w:space="0" w:color="000080"/>
              <w:left w:val="nil"/>
              <w:bottom w:val="single" w:sz="4" w:space="0" w:color="000080"/>
              <w:right w:val="nil"/>
            </w:tcBorders>
            <w:vAlign w:val="center"/>
          </w:tcPr>
          <w:p w14:paraId="6A10A41E" w14:textId="77777777" w:rsidR="00CC6315" w:rsidRDefault="00CC6315" w:rsidP="001B7E07">
            <w:pPr>
              <w:pStyle w:val="lsTable"/>
              <w:rPr>
                <w:rFonts w:ascii="Calibri" w:hAnsi="Calibri"/>
                <w:color w:val="00000A"/>
                <w:lang w:val="es-CO"/>
              </w:rPr>
            </w:pPr>
            <w:r>
              <w:t>0.001</w:t>
            </w:r>
          </w:p>
          <w:p w14:paraId="1B74FBF3" w14:textId="77777777" w:rsidR="00CC6315" w:rsidRDefault="00CC6315" w:rsidP="001B7E07">
            <w:pPr>
              <w:pStyle w:val="lsTable"/>
            </w:pPr>
          </w:p>
        </w:tc>
      </w:tr>
      <w:tr w:rsidR="00CC6315" w14:paraId="0CDC11D4" w14:textId="77777777" w:rsidTr="00CC6315">
        <w:trPr>
          <w:trHeight w:val="600"/>
        </w:trPr>
        <w:tc>
          <w:tcPr>
            <w:tcW w:w="1487" w:type="dxa"/>
            <w:tcBorders>
              <w:top w:val="single" w:sz="4" w:space="0" w:color="000080"/>
              <w:left w:val="nil"/>
              <w:bottom w:val="single" w:sz="4" w:space="0" w:color="000080"/>
              <w:right w:val="nil"/>
            </w:tcBorders>
            <w:vAlign w:val="center"/>
            <w:hideMark/>
          </w:tcPr>
          <w:p w14:paraId="7B42EE12" w14:textId="77777777" w:rsidR="00CC6315" w:rsidRDefault="00CC6315" w:rsidP="001B7E07">
            <w:pPr>
              <w:pStyle w:val="lsTableHeading"/>
              <w:rPr>
                <w:color w:val="00000A"/>
              </w:rPr>
            </w:pPr>
            <w:r>
              <w:rPr>
                <w:lang w:val="es-CO" w:eastAsia="es-CO" w:bidi="ar-SA"/>
              </w:rPr>
              <w:t>Vocabulary</w:t>
            </w:r>
          </w:p>
        </w:tc>
        <w:tc>
          <w:tcPr>
            <w:tcW w:w="829" w:type="dxa"/>
            <w:tcBorders>
              <w:top w:val="single" w:sz="4" w:space="0" w:color="000080"/>
              <w:left w:val="nil"/>
              <w:bottom w:val="single" w:sz="4" w:space="0" w:color="000080"/>
              <w:right w:val="nil"/>
            </w:tcBorders>
            <w:vAlign w:val="center"/>
          </w:tcPr>
          <w:p w14:paraId="51B41C74" w14:textId="77777777" w:rsidR="00CC6315" w:rsidRDefault="00CC6315" w:rsidP="001B7E07">
            <w:pPr>
              <w:pStyle w:val="lsTable"/>
            </w:pPr>
            <w:r>
              <w:t>2.53</w:t>
            </w:r>
            <w:r>
              <w:br/>
              <w:t>(0.64)</w:t>
            </w:r>
          </w:p>
          <w:p w14:paraId="05B467FC" w14:textId="77777777" w:rsidR="00CC6315" w:rsidRDefault="00CC6315" w:rsidP="001B7E07">
            <w:pPr>
              <w:pStyle w:val="lsTable"/>
            </w:pPr>
          </w:p>
        </w:tc>
        <w:tc>
          <w:tcPr>
            <w:tcW w:w="822" w:type="dxa"/>
            <w:tcBorders>
              <w:top w:val="single" w:sz="4" w:space="0" w:color="000080"/>
              <w:left w:val="nil"/>
              <w:bottom w:val="single" w:sz="4" w:space="0" w:color="000080"/>
              <w:right w:val="nil"/>
            </w:tcBorders>
            <w:vAlign w:val="center"/>
          </w:tcPr>
          <w:p w14:paraId="7505D9DA" w14:textId="77777777" w:rsidR="00CC6315" w:rsidRDefault="00CC6315" w:rsidP="001B7E07">
            <w:pPr>
              <w:pStyle w:val="lsTable"/>
              <w:rPr>
                <w:rFonts w:ascii="Calibri" w:hAnsi="Calibri"/>
                <w:color w:val="00000A"/>
              </w:rPr>
            </w:pPr>
            <w:r>
              <w:t xml:space="preserve">2.50 </w:t>
            </w:r>
            <w:r>
              <w:br/>
              <w:t>(0.74)</w:t>
            </w:r>
          </w:p>
          <w:p w14:paraId="7C837FF2" w14:textId="77777777" w:rsidR="00CC6315" w:rsidRDefault="00CC6315" w:rsidP="001B7E07">
            <w:pPr>
              <w:pStyle w:val="lsTable"/>
            </w:pPr>
          </w:p>
        </w:tc>
        <w:tc>
          <w:tcPr>
            <w:tcW w:w="1206" w:type="dxa"/>
            <w:tcBorders>
              <w:top w:val="single" w:sz="4" w:space="0" w:color="000080"/>
              <w:left w:val="nil"/>
              <w:bottom w:val="single" w:sz="4" w:space="0" w:color="000080"/>
              <w:right w:val="nil"/>
            </w:tcBorders>
            <w:vAlign w:val="bottom"/>
          </w:tcPr>
          <w:p w14:paraId="5BD05B93" w14:textId="77777777" w:rsidR="00CC6315" w:rsidRDefault="00CC6315" w:rsidP="001B7E07">
            <w:pPr>
              <w:pStyle w:val="lsTable"/>
            </w:pPr>
          </w:p>
          <w:p w14:paraId="63560F8F" w14:textId="77777777" w:rsidR="00CC6315" w:rsidRDefault="00CC6315" w:rsidP="001B7E07">
            <w:pPr>
              <w:pStyle w:val="lsTable"/>
              <w:rPr>
                <w:rFonts w:ascii="Calibri" w:hAnsi="Calibri"/>
                <w:color w:val="00000A"/>
              </w:rPr>
            </w:pPr>
            <w:r>
              <w:t>0.030</w:t>
            </w:r>
          </w:p>
          <w:p w14:paraId="779FD622" w14:textId="77777777" w:rsidR="00CC6315" w:rsidRDefault="00CC6315" w:rsidP="001B7E07">
            <w:pPr>
              <w:pStyle w:val="lsTable"/>
            </w:pPr>
          </w:p>
          <w:p w14:paraId="49E6D9DA" w14:textId="77777777" w:rsidR="00CC6315" w:rsidRDefault="00CC6315" w:rsidP="001B7E07">
            <w:pPr>
              <w:pStyle w:val="lsTable"/>
            </w:pPr>
          </w:p>
        </w:tc>
        <w:tc>
          <w:tcPr>
            <w:tcW w:w="1160" w:type="dxa"/>
            <w:tcBorders>
              <w:top w:val="single" w:sz="4" w:space="0" w:color="000080"/>
              <w:left w:val="nil"/>
              <w:bottom w:val="single" w:sz="4" w:space="0" w:color="000080"/>
              <w:right w:val="nil"/>
            </w:tcBorders>
            <w:vAlign w:val="center"/>
          </w:tcPr>
          <w:p w14:paraId="384051A5" w14:textId="77777777" w:rsidR="00CC6315" w:rsidRDefault="00CC6315" w:rsidP="001B7E07">
            <w:pPr>
              <w:pStyle w:val="lsTable"/>
              <w:rPr>
                <w:rFonts w:ascii="Calibri" w:hAnsi="Calibri"/>
                <w:color w:val="00000A"/>
              </w:rPr>
            </w:pPr>
            <w:r>
              <w:t>-0.334</w:t>
            </w:r>
          </w:p>
          <w:p w14:paraId="1688EB6E" w14:textId="77777777" w:rsidR="00CC6315" w:rsidRDefault="00CC6315" w:rsidP="001B7E07">
            <w:pPr>
              <w:pStyle w:val="lsTable"/>
            </w:pPr>
          </w:p>
        </w:tc>
        <w:tc>
          <w:tcPr>
            <w:tcW w:w="903" w:type="dxa"/>
            <w:tcBorders>
              <w:top w:val="single" w:sz="4" w:space="0" w:color="000080"/>
              <w:left w:val="nil"/>
              <w:bottom w:val="single" w:sz="4" w:space="0" w:color="000080"/>
              <w:right w:val="nil"/>
            </w:tcBorders>
            <w:vAlign w:val="center"/>
          </w:tcPr>
          <w:p w14:paraId="1DBC8F30" w14:textId="77777777" w:rsidR="00CC6315" w:rsidRDefault="00CC6315" w:rsidP="001B7E07">
            <w:pPr>
              <w:pStyle w:val="lsTable"/>
              <w:rPr>
                <w:rFonts w:ascii="Calibri" w:hAnsi="Calibri"/>
                <w:color w:val="00000A"/>
              </w:rPr>
            </w:pPr>
            <w:r>
              <w:t>0.738</w:t>
            </w:r>
          </w:p>
          <w:p w14:paraId="65CDEF10" w14:textId="77777777" w:rsidR="00CC6315" w:rsidRDefault="00CC6315" w:rsidP="001B7E07">
            <w:pPr>
              <w:pStyle w:val="lsTable"/>
            </w:pPr>
          </w:p>
        </w:tc>
        <w:tc>
          <w:tcPr>
            <w:tcW w:w="1017" w:type="dxa"/>
            <w:tcBorders>
              <w:top w:val="single" w:sz="4" w:space="0" w:color="000080"/>
              <w:left w:val="nil"/>
              <w:bottom w:val="single" w:sz="4" w:space="0" w:color="000080"/>
              <w:right w:val="nil"/>
            </w:tcBorders>
            <w:vAlign w:val="center"/>
            <w:hideMark/>
          </w:tcPr>
          <w:p w14:paraId="285935B8" w14:textId="77777777" w:rsidR="00CC6315" w:rsidRDefault="00CC6315" w:rsidP="001B7E07">
            <w:pPr>
              <w:pStyle w:val="lsTable"/>
              <w:rPr>
                <w:rFonts w:ascii="Calibri" w:hAnsi="Calibri"/>
                <w:color w:val="00000A"/>
              </w:rPr>
            </w:pPr>
            <w:r>
              <w:t>-0.317  0.225</w:t>
            </w:r>
          </w:p>
        </w:tc>
        <w:tc>
          <w:tcPr>
            <w:tcW w:w="791" w:type="dxa"/>
            <w:tcBorders>
              <w:top w:val="single" w:sz="4" w:space="0" w:color="000080"/>
              <w:left w:val="nil"/>
              <w:bottom w:val="single" w:sz="4" w:space="0" w:color="000080"/>
              <w:right w:val="nil"/>
            </w:tcBorders>
            <w:vAlign w:val="center"/>
            <w:hideMark/>
          </w:tcPr>
          <w:p w14:paraId="016EA5D2" w14:textId="77777777" w:rsidR="00CC6315" w:rsidRDefault="00CC6315" w:rsidP="001B7E07">
            <w:pPr>
              <w:pStyle w:val="lsTable"/>
            </w:pPr>
            <w:r>
              <w:t>-0.06</w:t>
            </w:r>
          </w:p>
        </w:tc>
      </w:tr>
      <w:tr w:rsidR="00CC6315" w14:paraId="1FB6BA73" w14:textId="77777777" w:rsidTr="00CC6315">
        <w:trPr>
          <w:trHeight w:val="80"/>
        </w:trPr>
        <w:tc>
          <w:tcPr>
            <w:tcW w:w="1487" w:type="dxa"/>
            <w:tcBorders>
              <w:top w:val="single" w:sz="4" w:space="0" w:color="000080"/>
              <w:left w:val="nil"/>
              <w:bottom w:val="single" w:sz="4" w:space="0" w:color="000080"/>
              <w:right w:val="nil"/>
            </w:tcBorders>
            <w:vAlign w:val="center"/>
            <w:hideMark/>
          </w:tcPr>
          <w:p w14:paraId="71A4AFC1" w14:textId="77777777" w:rsidR="00CC6315" w:rsidRDefault="00CC6315" w:rsidP="001B7E07">
            <w:pPr>
              <w:pStyle w:val="lsTableHeading"/>
            </w:pPr>
            <w:r>
              <w:rPr>
                <w:lang w:val="es-CO" w:eastAsia="es-CO" w:bidi="ar-SA"/>
              </w:rPr>
              <w:t>TotalScore</w:t>
            </w:r>
          </w:p>
        </w:tc>
        <w:tc>
          <w:tcPr>
            <w:tcW w:w="829" w:type="dxa"/>
            <w:tcBorders>
              <w:top w:val="single" w:sz="4" w:space="0" w:color="000080"/>
              <w:left w:val="nil"/>
              <w:bottom w:val="single" w:sz="4" w:space="0" w:color="000080"/>
              <w:right w:val="nil"/>
            </w:tcBorders>
            <w:vAlign w:val="center"/>
            <w:hideMark/>
          </w:tcPr>
          <w:p w14:paraId="55F77E3A" w14:textId="77777777" w:rsidR="00CC6315" w:rsidRDefault="00CC6315" w:rsidP="001B7E07">
            <w:pPr>
              <w:pStyle w:val="lsTable"/>
            </w:pPr>
            <w:r>
              <w:t>10.395</w:t>
            </w:r>
            <w:r>
              <w:br/>
              <w:t>(2.17)</w:t>
            </w:r>
          </w:p>
        </w:tc>
        <w:tc>
          <w:tcPr>
            <w:tcW w:w="822" w:type="dxa"/>
            <w:tcBorders>
              <w:top w:val="single" w:sz="4" w:space="0" w:color="000080"/>
              <w:left w:val="nil"/>
              <w:bottom w:val="single" w:sz="4" w:space="0" w:color="000080"/>
              <w:right w:val="nil"/>
            </w:tcBorders>
            <w:vAlign w:val="center"/>
            <w:hideMark/>
          </w:tcPr>
          <w:p w14:paraId="12B26A17" w14:textId="77777777" w:rsidR="00CC6315" w:rsidRDefault="00CC6315" w:rsidP="001B7E07">
            <w:pPr>
              <w:pStyle w:val="lsTable"/>
            </w:pPr>
            <w:r>
              <w:t xml:space="preserve">10.520 </w:t>
            </w:r>
            <w:r>
              <w:br/>
              <w:t>(2.97)</w:t>
            </w:r>
          </w:p>
        </w:tc>
        <w:tc>
          <w:tcPr>
            <w:tcW w:w="1206" w:type="dxa"/>
            <w:tcBorders>
              <w:top w:val="single" w:sz="4" w:space="0" w:color="000080"/>
              <w:left w:val="nil"/>
              <w:bottom w:val="single" w:sz="4" w:space="0" w:color="000080"/>
              <w:right w:val="nil"/>
            </w:tcBorders>
            <w:vAlign w:val="bottom"/>
          </w:tcPr>
          <w:p w14:paraId="619CA0DC" w14:textId="77777777" w:rsidR="00CC6315" w:rsidRDefault="00CC6315" w:rsidP="001B7E07">
            <w:pPr>
              <w:pStyle w:val="lsTable"/>
            </w:pPr>
            <w:r>
              <w:t>-0.125</w:t>
            </w:r>
          </w:p>
          <w:p w14:paraId="50D41414" w14:textId="77777777" w:rsidR="00CC6315" w:rsidRDefault="00CC6315" w:rsidP="001B7E07">
            <w:pPr>
              <w:pStyle w:val="lsTable"/>
            </w:pPr>
          </w:p>
        </w:tc>
        <w:tc>
          <w:tcPr>
            <w:tcW w:w="1160" w:type="dxa"/>
            <w:tcBorders>
              <w:top w:val="single" w:sz="4" w:space="0" w:color="000080"/>
              <w:left w:val="nil"/>
              <w:bottom w:val="single" w:sz="4" w:space="0" w:color="000080"/>
              <w:right w:val="nil"/>
            </w:tcBorders>
            <w:vAlign w:val="center"/>
            <w:hideMark/>
          </w:tcPr>
          <w:p w14:paraId="73131C47" w14:textId="77777777" w:rsidR="00CC6315" w:rsidRDefault="00CC6315" w:rsidP="001B7E07">
            <w:pPr>
              <w:pStyle w:val="lsTable"/>
              <w:rPr>
                <w:rFonts w:ascii="Calibri" w:hAnsi="Calibri"/>
                <w:color w:val="00000A"/>
              </w:rPr>
            </w:pPr>
            <w:r>
              <w:t>0.161</w:t>
            </w:r>
          </w:p>
        </w:tc>
        <w:tc>
          <w:tcPr>
            <w:tcW w:w="903" w:type="dxa"/>
            <w:tcBorders>
              <w:top w:val="single" w:sz="4" w:space="0" w:color="000080"/>
              <w:left w:val="nil"/>
              <w:bottom w:val="single" w:sz="4" w:space="0" w:color="000080"/>
              <w:right w:val="nil"/>
            </w:tcBorders>
            <w:vAlign w:val="center"/>
          </w:tcPr>
          <w:p w14:paraId="3F30C7E7" w14:textId="77777777" w:rsidR="00CC6315" w:rsidRDefault="00CC6315" w:rsidP="001B7E07">
            <w:pPr>
              <w:pStyle w:val="lsTable"/>
            </w:pPr>
            <w:r>
              <w:t>0.871</w:t>
            </w:r>
          </w:p>
          <w:p w14:paraId="4D71C95A" w14:textId="77777777" w:rsidR="00CC6315" w:rsidRDefault="00CC6315" w:rsidP="001B7E07">
            <w:pPr>
              <w:pStyle w:val="lsTable"/>
            </w:pPr>
          </w:p>
        </w:tc>
        <w:tc>
          <w:tcPr>
            <w:tcW w:w="1017" w:type="dxa"/>
            <w:tcBorders>
              <w:top w:val="single" w:sz="4" w:space="0" w:color="000080"/>
              <w:left w:val="nil"/>
              <w:bottom w:val="single" w:sz="4" w:space="0" w:color="000080"/>
              <w:right w:val="nil"/>
            </w:tcBorders>
            <w:vAlign w:val="center"/>
          </w:tcPr>
          <w:p w14:paraId="214652C5" w14:textId="77777777" w:rsidR="00CC6315" w:rsidRDefault="00CC6315" w:rsidP="001B7E07">
            <w:pPr>
              <w:pStyle w:val="lsTable"/>
            </w:pPr>
            <w:r>
              <w:t>-0.939 1.106</w:t>
            </w:r>
          </w:p>
          <w:p w14:paraId="21E21793" w14:textId="77777777" w:rsidR="00CC6315" w:rsidRDefault="00CC6315" w:rsidP="001B7E07">
            <w:pPr>
              <w:pStyle w:val="lsTable"/>
            </w:pPr>
          </w:p>
        </w:tc>
        <w:tc>
          <w:tcPr>
            <w:tcW w:w="791" w:type="dxa"/>
            <w:tcBorders>
              <w:top w:val="single" w:sz="4" w:space="0" w:color="000080"/>
              <w:left w:val="nil"/>
              <w:bottom w:val="single" w:sz="4" w:space="0" w:color="000080"/>
              <w:right w:val="nil"/>
            </w:tcBorders>
            <w:vAlign w:val="center"/>
          </w:tcPr>
          <w:p w14:paraId="79AF2B3B" w14:textId="77777777" w:rsidR="00CC6315" w:rsidRDefault="00CC6315" w:rsidP="001B7E07">
            <w:pPr>
              <w:pStyle w:val="lsTable"/>
              <w:rPr>
                <w:color w:val="00000A"/>
              </w:rPr>
            </w:pPr>
            <w:r>
              <w:t>0.03</w:t>
            </w:r>
          </w:p>
          <w:p w14:paraId="501A658D" w14:textId="77777777" w:rsidR="00CC6315" w:rsidRDefault="00CC6315" w:rsidP="001B7E07">
            <w:pPr>
              <w:pStyle w:val="lsTable"/>
              <w:rPr>
                <w:lang w:eastAsia="es-CO"/>
              </w:rPr>
            </w:pPr>
          </w:p>
        </w:tc>
      </w:tr>
    </w:tbl>
    <w:p w14:paraId="6AB346D2" w14:textId="77777777" w:rsidR="00CC6315" w:rsidRDefault="00CC6315" w:rsidP="00CC6315">
      <w:pPr>
        <w:keepNext w:val="0"/>
        <w:widowControl/>
        <w:suppressAutoHyphens w:val="0"/>
        <w:spacing w:after="0" w:line="240" w:lineRule="auto"/>
        <w:rPr>
          <w:rFonts w:eastAsia="Times New Roman" w:cs="Times New Roman"/>
          <w:lang w:eastAsia="en-US" w:bidi="ar-SA"/>
        </w:rPr>
      </w:pPr>
      <w:r>
        <w:rPr>
          <w:rFonts w:cs="Times New Roman"/>
          <w:i/>
          <w:color w:val="000000"/>
          <w:szCs w:val="20"/>
          <w:lang w:val="en-GB"/>
        </w:rPr>
        <w:t>Table 8: Analysis of between-group differences in holistic ratings by two evaluators (Welch’s T-Test)</w:t>
      </w:r>
      <w:r>
        <w:rPr>
          <w:rFonts w:eastAsia="Times New Roman" w:cs="Times New Roman"/>
          <w:lang w:eastAsia="en-US" w:bidi="ar-SA"/>
        </w:rPr>
        <w:t xml:space="preserve"> </w:t>
      </w:r>
    </w:p>
    <w:p w14:paraId="5535FE0E" w14:textId="2DC8077A" w:rsidR="001B7E07" w:rsidRDefault="001B7E07" w:rsidP="001B7E07">
      <w:pPr>
        <w:pStyle w:val="lsSection1"/>
      </w:pPr>
      <w:r>
        <w:t>Discussion and conclusions</w:t>
      </w:r>
    </w:p>
    <w:p w14:paraId="6A96B019" w14:textId="77777777" w:rsidR="001B7E07" w:rsidRDefault="001B7E07" w:rsidP="001B7E07">
      <w:pPr>
        <w:rPr>
          <w:lang w:eastAsia="zh-CN"/>
        </w:rPr>
      </w:pPr>
      <w:r>
        <w:rPr>
          <w:lang w:val="en-GB"/>
        </w:rPr>
        <w:t xml:space="preserve">This study has sought to understand whether the differential accumulated time of EFL-exposure (expressed in number of hours of L2 learning) has an impact on writing performance in two immersion programmes,  HI+ and  HI. They are different in the accumulated number of hours at all points throughout the programme, and clearly at the end, at learners’ 17 years of age, when the HI+ programme has accumulated 8,760  hours, while the HI programme 7,002. </w:t>
      </w:r>
    </w:p>
    <w:p w14:paraId="31EE8E64" w14:textId="77777777" w:rsidR="001B7E07" w:rsidRDefault="001B7E07" w:rsidP="001B7E07">
      <w:r>
        <w:rPr>
          <w:lang w:val="en-GB"/>
        </w:rPr>
        <w:t xml:space="preserve">CAF measures and holistic ratings of writing samples were scrutinised with a cross-sectional design in which learners were measured </w:t>
      </w:r>
      <w:r>
        <w:rPr>
          <w:lang w:val="en-GB"/>
        </w:rPr>
        <w:lastRenderedPageBreak/>
        <w:t>throughout the programme, on a yearly basis, starting at age 12. Concerning CAF, four measures out of nine (</w:t>
      </w:r>
      <w:r>
        <w:rPr>
          <w:lang w:eastAsia="es-CO" w:bidi="ar-SA"/>
        </w:rPr>
        <w:t xml:space="preserve">IndepCS, CoordCR, DepCS, Guiraud, D, TotalErr/100, GrErr/100, WS, </w:t>
      </w:r>
      <w:r>
        <w:rPr>
          <w:lang w:val="en-GB" w:eastAsia="es-CO" w:bidi="ar-SA"/>
        </w:rPr>
        <w:t>WM</w:t>
      </w:r>
      <w:r>
        <w:rPr>
          <w:lang w:val="en-GB"/>
        </w:rPr>
        <w:t xml:space="preserve">) were found to be statistically different between programmes but not all in favour of HI+.  As regards complexity, IndepCS and DepCS  were significantly lower for the HI+ group;  for accuracy, GrErr/100 were statistically higher for the HI+ group;  for fluency, WS, again, was statistically lower for the HI+ group. In terms of lexical complexity and the holistic ratings, no significant differences were found between the two programmes. </w:t>
      </w:r>
    </w:p>
    <w:p w14:paraId="27D96DF8" w14:textId="77777777" w:rsidR="001B7E07" w:rsidRDefault="001B7E07" w:rsidP="001B7E07">
      <w:r>
        <w:rPr>
          <w:color w:val="000000"/>
          <w:lang w:val="en-GB"/>
        </w:rPr>
        <w:t xml:space="preserve">Overall, it would seem to be the case that the two programmes are not substantially different in terms of learners’ outcomes in EFL written performance. However, it cannot be said that they are entirely the same either. Indeed, the HI+ programme reveals lower levels in the domains of syntactic complexity and fluency, but higher levels for accuracy, and equal levels for lexical complexity.  This has been also found in studies on the effects of a CLIL course in English added to conventional formal instruction contrasted with a group only taking formal instruction, as the latter outperformed the former, although not significantly (Pérez-Vidal &amp; Roquet 2015). </w:t>
      </w:r>
    </w:p>
    <w:p w14:paraId="5B5C7C30" w14:textId="77777777" w:rsidR="001B7E07" w:rsidRDefault="001B7E07" w:rsidP="001B7E07">
      <w:r>
        <w:rPr>
          <w:lang w:val="en-GB"/>
        </w:rPr>
        <w:t xml:space="preserve">Consequently, given its mixed results, this study </w:t>
      </w:r>
      <w:r>
        <w:rPr>
          <w:color w:val="000000"/>
          <w:lang w:val="en-GB"/>
        </w:rPr>
        <w:t xml:space="preserve">partly </w:t>
      </w:r>
      <w:r>
        <w:rPr>
          <w:lang w:val="en-GB"/>
        </w:rPr>
        <w:t>questions the early assertions made by Carroll (1962) and Stern (1985) in the direction that more L2-exposure time would directly lead to more skilled language use. Our approach to the interpretation of these findings is in terms of time distribution of each of the two programmes, between learners’ ages 12 and 17, as presented in Table 2 and Figure 1. In the case of HI+, learners undergo a decrease of L2-exposure time which goes from 672 hours a year to 612, and then to 480 (see Figure 1). This is not the case for HI pupils, who  receive fewer hours of target language exposure per year, 504, yet at a steady rhythm. Additionally, the reduction in exposure is placed one year earlier for the HI+ group, that is at age 15,  than for the HI group, at age 16.</w:t>
      </w:r>
    </w:p>
    <w:p w14:paraId="06152704" w14:textId="77777777" w:rsidR="001B7E07" w:rsidRDefault="001B7E07" w:rsidP="001B7E07">
      <w:r>
        <w:rPr>
          <w:rFonts w:eastAsia="Times New Roman"/>
          <w:lang w:val="en-GB"/>
        </w:rPr>
        <w:t xml:space="preserve"> </w:t>
      </w:r>
      <w:r>
        <w:rPr>
          <w:lang w:val="en-GB"/>
        </w:rPr>
        <w:t>On the one hand, such a contrast in the distribution of L2 exposure time in the two programmes allows us to suggest that gradual exposure to the L2 (HI programme) might explain the similarity in results with HI+, with more accumulated amount of L2 exposure yet less consistent in its distribution.</w:t>
      </w:r>
    </w:p>
    <w:p w14:paraId="7486754E" w14:textId="77777777" w:rsidR="001B7E07" w:rsidRDefault="001B7E07" w:rsidP="001B7E07">
      <w:r>
        <w:rPr>
          <w:lang w:val="en-GB"/>
        </w:rPr>
        <w:t xml:space="preserve">However, such a constant exposure experienced by the HI learners may also have had a less positive consequence; that is, the HI </w:t>
      </w:r>
      <w:r>
        <w:rPr>
          <w:lang w:val="en-GB"/>
        </w:rPr>
        <w:lastRenderedPageBreak/>
        <w:t xml:space="preserve">learners’ relative lower scores in terms of grammatical accuracy. </w:t>
      </w:r>
      <w:r>
        <w:rPr>
          <w:color w:val="000000"/>
          <w:lang w:val="en-GB"/>
        </w:rPr>
        <w:t xml:space="preserve">In this sense, the notion of </w:t>
      </w:r>
      <w:r>
        <w:rPr>
          <w:i/>
          <w:color w:val="000000"/>
          <w:lang w:val="en-GB"/>
        </w:rPr>
        <w:t>stabilisation</w:t>
      </w:r>
      <w:r>
        <w:rPr>
          <w:color w:val="000000"/>
          <w:lang w:val="en-GB"/>
        </w:rPr>
        <w:t>, or</w:t>
      </w:r>
      <w:r>
        <w:rPr>
          <w:i/>
          <w:color w:val="000000"/>
          <w:lang w:val="en-GB"/>
        </w:rPr>
        <w:t xml:space="preserve"> plateauing</w:t>
      </w:r>
      <w:r>
        <w:rPr>
          <w:color w:val="000000"/>
          <w:lang w:val="en-GB"/>
        </w:rPr>
        <w:t xml:space="preserve">, proposed by </w:t>
      </w:r>
      <w:r>
        <w:rPr>
          <w:lang w:val="en-GB"/>
        </w:rPr>
        <w:t xml:space="preserve">Long (2003) </w:t>
      </w:r>
      <w:r>
        <w:rPr>
          <w:color w:val="000000"/>
          <w:lang w:val="en-GB"/>
        </w:rPr>
        <w:t xml:space="preserve">might be relevant. Indeed, </w:t>
      </w:r>
      <w:r>
        <w:rPr>
          <w:lang w:val="en-GB"/>
        </w:rPr>
        <w:t xml:space="preserve">a closer analysis of the learners’ performance suggests a plateau </w:t>
      </w:r>
      <w:r>
        <w:rPr>
          <w:color w:val="000000"/>
          <w:lang w:val="en-GB"/>
        </w:rPr>
        <w:t>effect mainly concerning</w:t>
      </w:r>
      <w:r>
        <w:rPr>
          <w:lang w:val="en-GB"/>
        </w:rPr>
        <w:t xml:space="preserve"> grammatical accuracy, in the case of the HI programme predominantly observed in conjugation and agreement errors, a finding which has already </w:t>
      </w:r>
      <w:r>
        <w:rPr>
          <w:color w:val="000000"/>
          <w:lang w:val="en-GB"/>
        </w:rPr>
        <w:t xml:space="preserve">been identified in immersion learners in the literature </w:t>
      </w:r>
      <w:r>
        <w:rPr>
          <w:lang w:val="en-GB"/>
        </w:rPr>
        <w:t>(Rifkin 2005, Hart, Lapkin &amp; Swain 1991). HI’s outcomes in accuracy could be interpreted as a level of "maintenance" achieved in this programme. These findings can be relative to the regular and steady amount of exposure for HI students in primary and between ages 12 and 15 in secondary school, as exposed in Figure 1.</w:t>
      </w:r>
    </w:p>
    <w:p w14:paraId="654F1BA8" w14:textId="77777777" w:rsidR="001B7E07" w:rsidRDefault="001B7E07" w:rsidP="001B7E07">
      <w:r>
        <w:rPr>
          <w:lang w:val="en-GB"/>
        </w:rPr>
        <w:t xml:space="preserve">On this note, Bournot-Trites’ (2007) findings are only partially confirmed in our case. In her study, no significant differences in writing quality were found between two groups of secondary immersion students with different L2-French intensity. In addition, Bournot-Trites’ study reveals a plateau effect in the field of grammar accuracy (particularly tense markers) and lexical diversity, where she observes: "it seems that after a certain threshold of competence in [L2], the increase in the time spent in this language in the class does not improve much the quality of the written production of pupils" (p.20).  </w:t>
      </w:r>
    </w:p>
    <w:p w14:paraId="26E4F2A5" w14:textId="77777777" w:rsidR="001B7E07" w:rsidRDefault="001B7E07" w:rsidP="001B7E07">
      <w:r>
        <w:rPr>
          <w:color w:val="000000"/>
          <w:lang w:val="en-GB"/>
        </w:rPr>
        <w:t xml:space="preserve">Likewise, the similarity of the two programmes in terms of lexical complexity could also be explained in terms of input exposure. It would seem that neither programme offers complementary hours of exposure outside of the classroom which would aid learners to make progress in such a domain. </w:t>
      </w:r>
    </w:p>
    <w:p w14:paraId="383D6C06" w14:textId="77777777" w:rsidR="001B7E07" w:rsidRDefault="001B7E07" w:rsidP="001B7E07">
      <w:r>
        <w:rPr>
          <w:color w:val="000000"/>
          <w:lang w:val="en-GB"/>
        </w:rPr>
        <w:t xml:space="preserve">Concerning the lower levels of fluency found in the HI+ group, they could be attributed either to the programme’s didactic approach, or to task effects which remain to be explored in future research.  </w:t>
      </w:r>
    </w:p>
    <w:p w14:paraId="2765F1FB" w14:textId="77777777" w:rsidR="001B7E07" w:rsidRDefault="001B7E07" w:rsidP="001B7E07">
      <w:r>
        <w:rPr>
          <w:lang w:val="en-GB"/>
        </w:rPr>
        <w:t xml:space="preserve">Some limitations of this study need to be acknowledged. First the unbalance in the sample size where the HI+ programme includes a larger number of subjects than HI, which is represented by fewer subjects. Second, task conditions as well as task variety (in terms of complexity and text genres) need to be reconsidered. Further research might include different types of tasks and writing genres with different cognitive demands. We should additionally underscore that the HI programme-related positive results, which refer to denser, richer texts, may be associated to the emphasis on literacy in the HI’s curriculum described in section 4.1.1. The task might have been more familiar to </w:t>
      </w:r>
      <w:r>
        <w:rPr>
          <w:lang w:val="en-GB"/>
        </w:rPr>
        <w:lastRenderedPageBreak/>
        <w:t xml:space="preserve">HI students and therefore yielded to slightly more syntactically complex and organised texts. </w:t>
      </w:r>
    </w:p>
    <w:p w14:paraId="7096A9AF" w14:textId="0D00EED2" w:rsidR="001B7E07" w:rsidRPr="001B7E07" w:rsidRDefault="001B7E07" w:rsidP="001B7E07">
      <w:r>
        <w:rPr>
          <w:lang w:val="en-GB"/>
        </w:rPr>
        <w:t>To conclude, the present study has confirmed that the examination of the time factor in L2-acquisition in formal educational settings remains a rather complex endeavour due to a number of methodological constraints and issues. It is difficult to assess different programmes at exactly the same times (in terms of age, L2 exposure, curriculum years), and to control for programme features.  Future research is needed to pursue research in bilingual schools or immersion programmes in non-English speaking contexts and to explore performance differences among different age groups, with a mixed methods approach including the holistic analyses suggested.</w:t>
      </w:r>
    </w:p>
    <w:p w14:paraId="121A723A" w14:textId="10C577E1" w:rsidR="00CC6315" w:rsidRDefault="001B7E07" w:rsidP="001B7E07">
      <w:pPr>
        <w:pStyle w:val="lsSection1"/>
        <w:numPr>
          <w:ilvl w:val="0"/>
          <w:numId w:val="0"/>
        </w:numPr>
        <w:ind w:left="360"/>
      </w:pPr>
      <w:r>
        <w:t>Acknowledgments</w:t>
      </w:r>
    </w:p>
    <w:p w14:paraId="0294B8BA" w14:textId="38EEE748" w:rsidR="001B7E07" w:rsidRPr="001B7E07" w:rsidRDefault="001B7E07" w:rsidP="001B7E07">
      <w:r>
        <w:rPr>
          <w:lang w:val="en-GB"/>
        </w:rPr>
        <w:t>The authors are grateful to the anonymous reviewer as well as to Gabriele Pallotti for their insightful comments and contributions to this chapter. Also we would like to thank Cylcia Bolibaugh for her statistical advice. Isabel would like to thank Alejandra Plata and Alejandro Mejia from Uniandes for their help with earlier versions of this text.</w:t>
      </w:r>
    </w:p>
    <w:p w14:paraId="464B6AD9" w14:textId="04985F2D" w:rsidR="00CC6315" w:rsidRDefault="001B7E07" w:rsidP="001B7E07">
      <w:pPr>
        <w:pStyle w:val="lsSection1"/>
        <w:numPr>
          <w:ilvl w:val="0"/>
          <w:numId w:val="0"/>
        </w:numPr>
        <w:ind w:left="360"/>
      </w:pPr>
      <w:r>
        <w:t>References</w:t>
      </w:r>
    </w:p>
    <w:p w14:paraId="521D0032" w14:textId="77777777" w:rsidR="001B7E07" w:rsidRDefault="001B7E07" w:rsidP="001B7E07">
      <w:pPr>
        <w:ind w:left="720" w:hanging="720"/>
        <w:rPr>
          <w:rFonts w:eastAsia="Times New Roman" w:cs="Times New Roman"/>
          <w:lang w:eastAsia="zh-CN" w:bidi="ar-SA"/>
        </w:rPr>
      </w:pPr>
      <w:r>
        <w:fldChar w:fldCharType="begin"/>
      </w:r>
      <w:r>
        <w:instrText>ADDIN Mendeley Bibliography CSL_BIBLIOGRAPHY</w:instrText>
      </w:r>
      <w:r>
        <w:fldChar w:fldCharType="separate"/>
      </w:r>
      <w:r>
        <w:rPr>
          <w:lang w:val="en-GB"/>
        </w:rPr>
        <w:t>Bardovi-Harlig, Kathleen. 1992. A Second Look at T-Unit Analysis: Reconsidering the Sentenc</w:t>
      </w:r>
      <w:r>
        <w:rPr>
          <w:i/>
          <w:iCs/>
        </w:rPr>
        <w:t>e. TESOL Quarte</w:t>
      </w:r>
      <w:r>
        <w:t>r</w:t>
      </w:r>
      <w:r>
        <w:rPr>
          <w:iCs/>
        </w:rPr>
        <w:t>ly</w:t>
      </w:r>
      <w:r>
        <w:t xml:space="preserve"> 26(2). 390–395.</w:t>
      </w:r>
      <w:r>
        <w:fldChar w:fldCharType="end"/>
      </w:r>
    </w:p>
    <w:p w14:paraId="3D9D5382" w14:textId="77777777" w:rsidR="001B7E07" w:rsidRDefault="001B7E07" w:rsidP="001B7E07">
      <w:pPr>
        <w:ind w:left="720" w:hanging="720"/>
      </w:pPr>
      <w:r>
        <w:rPr>
          <w:lang w:val="fr-FR"/>
        </w:rPr>
        <w:t xml:space="preserve">Bournot-Trites, Monique. 2007. Qualité de l’écrit au niveau intermédiaire en immersion française : effet d’un programme intensif </w:t>
      </w:r>
      <w:bookmarkStart w:id="0" w:name="_GoBack"/>
      <w:bookmarkEnd w:id="0"/>
      <w:r>
        <w:rPr>
          <w:lang w:val="fr-FR"/>
        </w:rPr>
        <w:t xml:space="preserve">et hypothèse d’un effet de plateau. </w:t>
      </w:r>
      <w:r>
        <w:rPr>
          <w:i/>
          <w:iCs/>
          <w:lang w:val="fr-FR"/>
        </w:rPr>
        <w:t>Canadian Journal of Applied Linguistics / Revue canadienne de linguistique appliquée</w:t>
      </w:r>
      <w:r>
        <w:rPr>
          <w:lang w:val="fr-FR"/>
        </w:rPr>
        <w:t xml:space="preserve"> 10(1). </w:t>
      </w:r>
      <w:r>
        <w:t>7-23.</w:t>
      </w:r>
    </w:p>
    <w:p w14:paraId="579977CB" w14:textId="77777777" w:rsidR="001B7E07" w:rsidRDefault="001B7E07" w:rsidP="001B7E07">
      <w:pPr>
        <w:ind w:left="720" w:hanging="720"/>
      </w:pPr>
      <w:r>
        <w:t xml:space="preserve">Bonilla Carvajal, Camilo Andrés &amp; Isabel Tejada-Sánchez. 2016. </w:t>
      </w:r>
      <w:r>
        <w:rPr>
          <w:lang w:val="en-GB"/>
        </w:rPr>
        <w:t xml:space="preserve">Unanswered questions in Colombia’s language education policy. </w:t>
      </w:r>
      <w:r>
        <w:rPr>
          <w:i/>
          <w:lang w:val="en-GB"/>
        </w:rPr>
        <w:t>PROFILE Issues in Teachers’ Professional Development</w:t>
      </w:r>
      <w:r>
        <w:rPr>
          <w:lang w:val="en-GB"/>
        </w:rPr>
        <w:t xml:space="preserve"> 18(1). 185-201. </w:t>
      </w:r>
    </w:p>
    <w:p w14:paraId="35959138" w14:textId="77777777" w:rsidR="001B7E07" w:rsidRDefault="001B7E07" w:rsidP="001B7E07">
      <w:pPr>
        <w:ind w:left="720" w:hanging="720"/>
      </w:pPr>
      <w:r>
        <w:rPr>
          <w:lang w:val="en-GB"/>
        </w:rPr>
        <w:t xml:space="preserve">Bulté, Bram &amp; Alex Housen. 2014. Conceptualizing and measuring short-term changes in L2 writing complexity. </w:t>
      </w:r>
      <w:r>
        <w:rPr>
          <w:i/>
          <w:lang w:val="en-GB"/>
        </w:rPr>
        <w:t xml:space="preserve">Journal of Second Language Writing </w:t>
      </w:r>
      <w:r>
        <w:rPr>
          <w:lang w:val="en-GB"/>
        </w:rPr>
        <w:t>26. 42–65.</w:t>
      </w:r>
    </w:p>
    <w:p w14:paraId="45F0EF74" w14:textId="77777777" w:rsidR="001B7E07" w:rsidRDefault="001B7E07" w:rsidP="001B7E07">
      <w:pPr>
        <w:ind w:left="720" w:hanging="720"/>
      </w:pPr>
      <w:r>
        <w:rPr>
          <w:lang w:val="en-GB"/>
        </w:rPr>
        <w:t xml:space="preserve">Bulté, Bram &amp; Alex Housen. 2012. </w:t>
      </w:r>
      <w:r>
        <w:rPr>
          <w:bCs/>
          <w:lang w:val="en-GB"/>
        </w:rPr>
        <w:t xml:space="preserve">Defining and Operationalising L2 </w:t>
      </w:r>
      <w:r>
        <w:rPr>
          <w:bCs/>
          <w:lang w:val="en-GB"/>
        </w:rPr>
        <w:lastRenderedPageBreak/>
        <w:t xml:space="preserve">complexity. In A. </w:t>
      </w:r>
      <w:r>
        <w:rPr>
          <w:lang w:val="en-GB"/>
        </w:rPr>
        <w:t xml:space="preserve">Housen, F. Kuiken &amp; I. Vedder (eds.), </w:t>
      </w:r>
      <w:r>
        <w:rPr>
          <w:i/>
          <w:lang w:val="en-GB"/>
        </w:rPr>
        <w:t>Dimensions of L2 Performance and Proficiency: Complexity,</w:t>
      </w:r>
      <w:r>
        <w:rPr>
          <w:i/>
          <w:iCs/>
          <w:lang w:val="en-GB"/>
        </w:rPr>
        <w:t xml:space="preserve"> Accuracy and Fluency in SLA</w:t>
      </w:r>
      <w:r>
        <w:rPr>
          <w:lang w:val="en-GB"/>
        </w:rPr>
        <w:t>, 21–46. Amsterdam/Philadelphia: Benjamins.</w:t>
      </w:r>
    </w:p>
    <w:p w14:paraId="471F1460" w14:textId="77777777" w:rsidR="001B7E07" w:rsidRDefault="001B7E07" w:rsidP="001B7E07">
      <w:pPr>
        <w:ind w:left="720" w:hanging="720"/>
      </w:pPr>
      <w:r>
        <w:rPr>
          <w:lang w:val="en-GB"/>
        </w:rPr>
        <w:t xml:space="preserve">Carroll, John Bissell. 1962. </w:t>
      </w:r>
      <w:r>
        <w:rPr>
          <w:i/>
          <w:lang w:val="en-GB"/>
        </w:rPr>
        <w:t>The Prediction of Success in Intensive Foreign Language Training</w:t>
      </w:r>
      <w:r>
        <w:rPr>
          <w:lang w:val="en-GB"/>
        </w:rPr>
        <w:t xml:space="preserve"> (Reprint from Training Research and Education), 87-136. Pittsburgh: University of Pittsburgh Press.</w:t>
      </w:r>
    </w:p>
    <w:p w14:paraId="0E5D7B8C" w14:textId="77777777" w:rsidR="001B7E07" w:rsidRDefault="001B7E07" w:rsidP="001B7E07">
      <w:pPr>
        <w:ind w:left="720" w:hanging="720"/>
      </w:pPr>
      <w:r>
        <w:rPr>
          <w:lang w:val="en-GB"/>
        </w:rPr>
        <w:t xml:space="preserve">Collins, Laura, Randall H. Halter, Patsy M. Lightbown &amp; Nina Spada. 1999. Time and the Distribution of Time in L2 Instruction. </w:t>
      </w:r>
      <w:r>
        <w:rPr>
          <w:i/>
          <w:iCs/>
          <w:lang w:val="en-GB"/>
        </w:rPr>
        <w:t>TESOL Quarterly</w:t>
      </w:r>
      <w:r>
        <w:rPr>
          <w:lang w:val="en-GB"/>
        </w:rPr>
        <w:t xml:space="preserve"> </w:t>
      </w:r>
      <w:r>
        <w:rPr>
          <w:iCs/>
          <w:lang w:val="en-GB"/>
        </w:rPr>
        <w:t>33</w:t>
      </w:r>
      <w:r>
        <w:rPr>
          <w:lang w:val="en-GB"/>
        </w:rPr>
        <w:t xml:space="preserve">(4). 655. </w:t>
      </w:r>
    </w:p>
    <w:p w14:paraId="33596714" w14:textId="77777777" w:rsidR="001B7E07" w:rsidRDefault="001B7E07" w:rsidP="001B7E07">
      <w:pPr>
        <w:ind w:left="720" w:hanging="720"/>
      </w:pPr>
      <w:r>
        <w:rPr>
          <w:lang w:val="en-GB"/>
        </w:rPr>
        <w:t xml:space="preserve">Collins, Laura &amp; Joanna White. 2011. An Intensive Look at Intensity and Language Learning. </w:t>
      </w:r>
      <w:r>
        <w:rPr>
          <w:i/>
          <w:iCs/>
          <w:lang w:val="en-GB"/>
        </w:rPr>
        <w:t>TESOL Quarterly: A Journal for Teachers of English to Speakers of Other Languages and of Standard English as a Second Dialect</w:t>
      </w:r>
      <w:r>
        <w:rPr>
          <w:lang w:val="en-GB"/>
        </w:rPr>
        <w:t xml:space="preserve"> </w:t>
      </w:r>
      <w:r>
        <w:rPr>
          <w:iCs/>
          <w:lang w:val="en-GB"/>
        </w:rPr>
        <w:t>45</w:t>
      </w:r>
      <w:r>
        <w:rPr>
          <w:lang w:val="en-GB"/>
        </w:rPr>
        <w:t xml:space="preserve">(1). 106–133. </w:t>
      </w:r>
    </w:p>
    <w:p w14:paraId="07D42D1B" w14:textId="77777777" w:rsidR="001B7E07" w:rsidRDefault="001B7E07" w:rsidP="001B7E07">
      <w:pPr>
        <w:ind w:left="720" w:hanging="720"/>
      </w:pPr>
      <w:r>
        <w:t xml:space="preserve">Council of Europe. 2001. </w:t>
      </w:r>
      <w:r>
        <w:rPr>
          <w:i/>
        </w:rPr>
        <w:t>Common European framework of reference for languages: learning, teaching, assessment</w:t>
      </w:r>
      <w:r>
        <w:t>. Cambridge: Press Syndicate of the University of Cambridge.</w:t>
      </w:r>
    </w:p>
    <w:p w14:paraId="71D3192E" w14:textId="77777777" w:rsidR="001B7E07" w:rsidRDefault="001B7E07" w:rsidP="001B7E07">
      <w:pPr>
        <w:ind w:left="720" w:hanging="720"/>
      </w:pPr>
      <w:r>
        <w:t xml:space="preserve">Crystal, David. 1982. Profiling Linguistic Disability. London: Edward Arnold. </w:t>
      </w:r>
    </w:p>
    <w:p w14:paraId="4A79F8A4" w14:textId="77777777" w:rsidR="001B7E07" w:rsidRDefault="001B7E07" w:rsidP="001B7E07">
      <w:pPr>
        <w:ind w:left="720" w:hanging="720"/>
      </w:pPr>
      <w:r>
        <w:t xml:space="preserve">Dalton-Puffer, Christiane, Tarja Nikula, &amp; Ute Smit (eds.). 2010. </w:t>
      </w:r>
      <w:r>
        <w:rPr>
          <w:i/>
        </w:rPr>
        <w:t xml:space="preserve">Language Use and Language Learning in CLIL Classrooms. </w:t>
      </w:r>
      <w:r>
        <w:t>Amsterdam: John Benjamins.</w:t>
      </w:r>
    </w:p>
    <w:p w14:paraId="44447A07" w14:textId="77777777" w:rsidR="001B7E07" w:rsidRDefault="001B7E07" w:rsidP="001B7E07">
      <w:pPr>
        <w:ind w:left="720" w:hanging="720"/>
      </w:pPr>
      <w:r>
        <w:rPr>
          <w:lang w:val="en-GB"/>
        </w:rPr>
        <w:t xml:space="preserve">Day, Elaine M. &amp; Stan Shapson. 1988. A Comparison Study of Early and Late French Immersion Programs in British Columbia. </w:t>
      </w:r>
      <w:r>
        <w:rPr>
          <w:i/>
          <w:iCs/>
          <w:lang w:val="fr-FR"/>
        </w:rPr>
        <w:t>Canadian Journal of Education / Revue canadienne de l’éducation</w:t>
      </w:r>
      <w:r>
        <w:rPr>
          <w:lang w:val="fr-FR"/>
        </w:rPr>
        <w:t xml:space="preserve"> </w:t>
      </w:r>
      <w:r>
        <w:rPr>
          <w:iCs/>
          <w:lang w:val="fr-FR"/>
        </w:rPr>
        <w:t>13</w:t>
      </w:r>
      <w:r>
        <w:rPr>
          <w:lang w:val="fr-FR"/>
        </w:rPr>
        <w:t xml:space="preserve">(2). 290–305. </w:t>
      </w:r>
    </w:p>
    <w:p w14:paraId="120A3F34" w14:textId="77777777" w:rsidR="001B7E07" w:rsidRDefault="001B7E07" w:rsidP="001B7E07">
      <w:pPr>
        <w:ind w:left="720" w:hanging="720"/>
      </w:pPr>
      <w:r>
        <w:rPr>
          <w:lang w:val="fr-FR"/>
        </w:rPr>
        <w:t xml:space="preserve">De Mejia, Anne-Marie. </w:t>
      </w:r>
      <w:r>
        <w:t xml:space="preserve">2002. </w:t>
      </w:r>
      <w:r>
        <w:rPr>
          <w:i/>
          <w:iCs/>
          <w:lang w:val="en-GB"/>
        </w:rPr>
        <w:t xml:space="preserve">Power, Prestige and Bilingualism: International Perspectives on Elite Bilingual Education </w:t>
      </w:r>
      <w:r>
        <w:rPr>
          <w:iCs/>
          <w:lang w:val="en-GB"/>
        </w:rPr>
        <w:t>(Bilingual Education and Bilingualism)</w:t>
      </w:r>
      <w:r>
        <w:rPr>
          <w:lang w:val="en-GB"/>
        </w:rPr>
        <w:t>, 344. Clevedon: Multilingual Matters.</w:t>
      </w:r>
    </w:p>
    <w:p w14:paraId="2E276D82" w14:textId="77777777" w:rsidR="001B7E07" w:rsidRDefault="001B7E07" w:rsidP="001B7E07">
      <w:pPr>
        <w:ind w:left="720" w:hanging="720"/>
      </w:pPr>
      <w:r>
        <w:t>Del Rio e.a.</w:t>
      </w:r>
    </w:p>
    <w:p w14:paraId="39A0CFDF" w14:textId="77777777" w:rsidR="001B7E07" w:rsidRDefault="001B7E07" w:rsidP="001B7E07">
      <w:pPr>
        <w:ind w:left="720" w:hanging="720"/>
      </w:pPr>
      <w:r>
        <w:t xml:space="preserve">Ellis, Rod &amp; Gary Barkhuizen. 2005. </w:t>
      </w:r>
      <w:r>
        <w:rPr>
          <w:i/>
        </w:rPr>
        <w:t>Analysing Learner Language</w:t>
      </w:r>
      <w:r>
        <w:t>, 404. Oxford: Oxford University Press.</w:t>
      </w:r>
    </w:p>
    <w:p w14:paraId="695367F7" w14:textId="77777777" w:rsidR="001B7E07" w:rsidRDefault="001B7E07" w:rsidP="001B7E07">
      <w:pPr>
        <w:ind w:left="720" w:hanging="720"/>
      </w:pPr>
      <w:r>
        <w:rPr>
          <w:lang w:val="en-GB"/>
        </w:rPr>
        <w:t xml:space="preserve">Friedl, Gabriele &amp; Margit Auer. 2007. “Assessment Scale for Writing.” </w:t>
      </w:r>
      <w:r>
        <w:rPr>
          <w:lang w:val="de-AT"/>
        </w:rPr>
        <w:t xml:space="preserve">Erläuterungen zur Novellierung der </w:t>
      </w:r>
      <w:r>
        <w:rPr>
          <w:lang w:val="de-AT"/>
        </w:rPr>
        <w:lastRenderedPageBreak/>
        <w:t xml:space="preserve">Reifeprufungsverordnung fur AHS, lebende Fremdsprachen. Novelle der Reifeprufungsverordnung gütlig ab dem Sommertermin 2009. 98. Wien/St. Pölten. Retrieved from: </w:t>
      </w:r>
      <w:hyperlink r:id="rId10" w:history="1">
        <w:r>
          <w:rPr>
            <w:rStyle w:val="Hipervnculo1"/>
            <w:szCs w:val="20"/>
            <w:lang w:val="de-AT"/>
          </w:rPr>
          <w:t>http://docplayer.org/11483802-Novelle-der-reifepruefungsverordnung-2007-gueltig-ab-dem-sommertermin-2009-unter-beruecksichtigung-der-rpvo-novelle-2008.html</w:t>
        </w:r>
      </w:hyperlink>
      <w:r>
        <w:rPr>
          <w:lang w:val="de-AT"/>
        </w:rPr>
        <w:t xml:space="preserve"> </w:t>
      </w:r>
    </w:p>
    <w:p w14:paraId="3FC85349" w14:textId="77777777" w:rsidR="001B7E07" w:rsidRDefault="001B7E07" w:rsidP="001B7E07">
      <w:pPr>
        <w:ind w:left="720" w:hanging="720"/>
      </w:pPr>
      <w:r>
        <w:rPr>
          <w:lang w:val="de-AT"/>
        </w:rPr>
        <w:t xml:space="preserve">Gensesee, Fred &amp; M.H. Stanley. 1976. The Development of English Writing Skills in French immersion School Programs. </w:t>
      </w:r>
      <w:r>
        <w:rPr>
          <w:i/>
          <w:lang w:val="de-AT"/>
        </w:rPr>
        <w:t>Canadian Journal of Education/ Revue canadienne de l’éducation</w:t>
      </w:r>
      <w:r>
        <w:rPr>
          <w:lang w:val="de-AT"/>
        </w:rPr>
        <w:t xml:space="preserve"> 1(3). 1-17.</w:t>
      </w:r>
    </w:p>
    <w:p w14:paraId="032FE839" w14:textId="77777777" w:rsidR="001B7E07" w:rsidRDefault="001B7E07" w:rsidP="001B7E07">
      <w:pPr>
        <w:ind w:left="720" w:hanging="720"/>
      </w:pPr>
      <w:r>
        <w:rPr>
          <w:lang w:val="en-GB"/>
        </w:rPr>
        <w:t xml:space="preserve">Genesee, Fred. 1978. Scholastic effects of French immersion: An overview after ten years. </w:t>
      </w:r>
      <w:r>
        <w:rPr>
          <w:i/>
          <w:iCs/>
          <w:lang w:val="en-GB"/>
        </w:rPr>
        <w:t>Interchange</w:t>
      </w:r>
      <w:r>
        <w:rPr>
          <w:lang w:val="en-GB"/>
        </w:rPr>
        <w:t xml:space="preserve"> </w:t>
      </w:r>
      <w:r>
        <w:rPr>
          <w:iCs/>
          <w:lang w:val="en-GB"/>
        </w:rPr>
        <w:t>9</w:t>
      </w:r>
      <w:r>
        <w:rPr>
          <w:lang w:val="en-GB"/>
        </w:rPr>
        <w:t xml:space="preserve">(4). 20–29. </w:t>
      </w:r>
    </w:p>
    <w:p w14:paraId="5FEC77DF" w14:textId="77777777" w:rsidR="001B7E07" w:rsidRDefault="001B7E07" w:rsidP="001B7E07">
      <w:pPr>
        <w:ind w:left="720" w:hanging="720"/>
      </w:pPr>
      <w:r>
        <w:rPr>
          <w:lang w:val="en-GB"/>
        </w:rPr>
        <w:t xml:space="preserve">Genesee, Fred. 2013. Insights into Bilingual Education from Research on Immersion Programmes in Canada. In C. Abello-Contesse, P. M. Chandler, M. D. López-Jiménez &amp; R. Chacón-Beltrán (eds.), </w:t>
      </w:r>
      <w:r>
        <w:rPr>
          <w:i/>
          <w:iCs/>
          <w:lang w:val="en-GB"/>
        </w:rPr>
        <w:t>Bilingual and Multilingual Education in the 21st Century: Building on Experience (Bilingual Education and Bilingualism)</w:t>
      </w:r>
      <w:r>
        <w:rPr>
          <w:lang w:val="en-GB"/>
        </w:rPr>
        <w:t xml:space="preserve">,  24–41. </w:t>
      </w:r>
      <w:r>
        <w:rPr>
          <w:lang w:val="fr-FR"/>
        </w:rPr>
        <w:t xml:space="preserve">Bristol: Multilingual Matters. </w:t>
      </w:r>
    </w:p>
    <w:p w14:paraId="0DBF8374" w14:textId="77777777" w:rsidR="001B7E07" w:rsidRDefault="001B7E07" w:rsidP="001B7E07">
      <w:pPr>
        <w:ind w:left="720" w:hanging="720"/>
      </w:pPr>
      <w:r>
        <w:rPr>
          <w:lang w:val="fr-FR"/>
        </w:rPr>
        <w:t xml:space="preserve">Germain, Claude, Joan Netten &amp; Serge Séguin. 2004. L'évaluation de la production écrite en français intensif: Critères et resultats. </w:t>
      </w:r>
      <w:r>
        <w:rPr>
          <w:i/>
          <w:lang w:val="fr-FR"/>
        </w:rPr>
        <w:t xml:space="preserve">The Canadian Modern Language Review </w:t>
      </w:r>
      <w:r>
        <w:rPr>
          <w:lang w:val="fr-FR"/>
        </w:rPr>
        <w:t>60(3). 333-353.</w:t>
      </w:r>
    </w:p>
    <w:p w14:paraId="0722B0AB" w14:textId="77777777" w:rsidR="001B7E07" w:rsidRDefault="001B7E07" w:rsidP="001B7E07">
      <w:pPr>
        <w:ind w:left="720" w:hanging="720"/>
      </w:pPr>
      <w:r>
        <w:rPr>
          <w:lang w:val="fr-FR"/>
        </w:rPr>
        <w:t xml:space="preserve">Greenbaum, Sidney &amp; Randolph Quirk. 1990. </w:t>
      </w:r>
      <w:r>
        <w:rPr>
          <w:i/>
          <w:iCs/>
          <w:lang w:val="en-GB"/>
        </w:rPr>
        <w:t>A Student’s Grammar of the English Language</w:t>
      </w:r>
      <w:r>
        <w:rPr>
          <w:lang w:val="en-GB"/>
        </w:rPr>
        <w:t xml:space="preserve">, 490. Harlow: Longman. </w:t>
      </w:r>
    </w:p>
    <w:p w14:paraId="58E03416" w14:textId="77777777" w:rsidR="001B7E07" w:rsidRDefault="001B7E07" w:rsidP="001B7E07">
      <w:pPr>
        <w:ind w:left="720" w:hanging="720"/>
      </w:pPr>
      <w:r>
        <w:rPr>
          <w:lang w:val="en-GB"/>
        </w:rPr>
        <w:t>Grosjean, Fran</w:t>
      </w:r>
      <w:r>
        <w:rPr>
          <w:shd w:val="clear" w:color="auto" w:fill="FFFFFF"/>
        </w:rPr>
        <w:t>çois</w:t>
      </w:r>
      <w:r>
        <w:rPr>
          <w:lang w:val="en-GB"/>
        </w:rPr>
        <w:t xml:space="preserve">. 2010. </w:t>
      </w:r>
      <w:r>
        <w:rPr>
          <w:i/>
          <w:iCs/>
          <w:lang w:val="en-GB"/>
        </w:rPr>
        <w:t>Bilingual: Life and Reality</w:t>
      </w:r>
      <w:r>
        <w:rPr>
          <w:lang w:val="en-GB"/>
        </w:rPr>
        <w:t>, 304. Cambridge: Harvard University Press.</w:t>
      </w:r>
    </w:p>
    <w:p w14:paraId="2C3B1107" w14:textId="77777777" w:rsidR="001B7E07" w:rsidRDefault="001B7E07" w:rsidP="001B7E07">
      <w:pPr>
        <w:ind w:left="720" w:hanging="720"/>
      </w:pPr>
      <w:r>
        <w:rPr>
          <w:color w:val="000000"/>
        </w:rPr>
        <w:t>Gunnarsson, Cecilia. 2012.  The development of complexity, accuracy</w:t>
      </w:r>
      <w:r>
        <w:t xml:space="preserve"> and fluency in the written production of L2 French. </w:t>
      </w:r>
      <w:r>
        <w:rPr>
          <w:bCs/>
          <w:lang w:val="en-GB"/>
        </w:rPr>
        <w:t xml:space="preserve">In A. </w:t>
      </w:r>
      <w:r>
        <w:rPr>
          <w:lang w:val="en-GB"/>
        </w:rPr>
        <w:t xml:space="preserve">Housen, F. Kuiken &amp; I. Vedder (eds.), </w:t>
      </w:r>
      <w:r>
        <w:rPr>
          <w:i/>
          <w:lang w:val="en-GB"/>
        </w:rPr>
        <w:t>Dimensions of L2 Performance and Proficiency: Complexity,</w:t>
      </w:r>
      <w:r>
        <w:rPr>
          <w:i/>
          <w:iCs/>
          <w:lang w:val="en-GB"/>
        </w:rPr>
        <w:t xml:space="preserve"> Accuracy and Fluency in SLA</w:t>
      </w:r>
      <w:r>
        <w:rPr>
          <w:lang w:val="en-GB"/>
        </w:rPr>
        <w:t>,</w:t>
      </w:r>
      <w:r>
        <w:t xml:space="preserve"> 247 – 276</w:t>
      </w:r>
      <w:r>
        <w:rPr>
          <w:lang w:val="en-GB"/>
        </w:rPr>
        <w:t>. Amsterdam/Philadelphia: Benjamins.</w:t>
      </w:r>
    </w:p>
    <w:p w14:paraId="7108F5A2" w14:textId="77777777" w:rsidR="001B7E07" w:rsidRDefault="001B7E07" w:rsidP="001B7E07">
      <w:pPr>
        <w:ind w:left="720" w:hanging="720"/>
      </w:pPr>
      <w:r>
        <w:rPr>
          <w:lang w:val="en-GB"/>
        </w:rPr>
        <w:t xml:space="preserve">Harklau, Linda. 2002. The role of writing in classroom second language acquisition. </w:t>
      </w:r>
      <w:r>
        <w:rPr>
          <w:i/>
          <w:iCs/>
          <w:lang w:val="en-GB"/>
        </w:rPr>
        <w:t>Journal of Second Language Writing</w:t>
      </w:r>
      <w:r>
        <w:rPr>
          <w:lang w:val="en-GB"/>
        </w:rPr>
        <w:t xml:space="preserve"> </w:t>
      </w:r>
      <w:r>
        <w:rPr>
          <w:iCs/>
          <w:lang w:val="en-GB"/>
        </w:rPr>
        <w:t>11</w:t>
      </w:r>
      <w:r>
        <w:rPr>
          <w:lang w:val="en-GB"/>
        </w:rPr>
        <w:t xml:space="preserve">(4). 329–350. </w:t>
      </w:r>
    </w:p>
    <w:p w14:paraId="7FC43B9D" w14:textId="77777777" w:rsidR="001B7E07" w:rsidRDefault="001B7E07" w:rsidP="001B7E07">
      <w:pPr>
        <w:ind w:left="720" w:hanging="720"/>
      </w:pPr>
      <w:r>
        <w:rPr>
          <w:lang w:val="en-GB"/>
        </w:rPr>
        <w:t xml:space="preserve">Harley, Birgit. 1992. Patterns of second language development in </w:t>
      </w:r>
      <w:r>
        <w:rPr>
          <w:lang w:val="en-GB"/>
        </w:rPr>
        <w:lastRenderedPageBreak/>
        <w:t xml:space="preserve">French immersion. </w:t>
      </w:r>
      <w:r>
        <w:rPr>
          <w:i/>
          <w:iCs/>
          <w:lang w:val="en-GB"/>
        </w:rPr>
        <w:t>French Language Studies</w:t>
      </w:r>
      <w:r>
        <w:rPr>
          <w:lang w:val="en-GB"/>
        </w:rPr>
        <w:t xml:space="preserve"> </w:t>
      </w:r>
      <w:r>
        <w:rPr>
          <w:iCs/>
          <w:lang w:val="en-GB"/>
        </w:rPr>
        <w:t>2(2)</w:t>
      </w:r>
      <w:r>
        <w:rPr>
          <w:lang w:val="en-GB"/>
        </w:rPr>
        <w:t>. 159–183.</w:t>
      </w:r>
    </w:p>
    <w:p w14:paraId="262FE84D" w14:textId="77777777" w:rsidR="001B7E07" w:rsidRDefault="001B7E07" w:rsidP="001B7E07">
      <w:pPr>
        <w:ind w:left="720" w:hanging="720"/>
      </w:pPr>
      <w:r>
        <w:rPr>
          <w:color w:val="000000"/>
          <w:lang w:val="en-GB"/>
        </w:rPr>
        <w:t xml:space="preserve">Hart, Doug, Sharon Lapkin &amp; Merrill Swain. 1991. Secondary Level Immersion French Skills: A Possible Plateau Effect. In L. Malavé &amp; G. Duquette (eds.), </w:t>
      </w:r>
      <w:r>
        <w:rPr>
          <w:i/>
          <w:iCs/>
          <w:color w:val="000000"/>
          <w:lang w:val="en-GB"/>
        </w:rPr>
        <w:t>Language, Culture and Cognition: A Collection of Studies in First and Second Language Acquisition</w:t>
      </w:r>
      <w:r>
        <w:rPr>
          <w:color w:val="000000"/>
          <w:lang w:val="en-GB"/>
        </w:rPr>
        <w:t>, 250–265. Clevedon: Multilingual Matters.</w:t>
      </w:r>
    </w:p>
    <w:p w14:paraId="16EFABF7" w14:textId="77777777" w:rsidR="001B7E07" w:rsidRDefault="001B7E07" w:rsidP="001B7E07">
      <w:pPr>
        <w:ind w:left="720" w:hanging="720"/>
      </w:pPr>
      <w:r>
        <w:rPr>
          <w:lang w:val="en-GB"/>
        </w:rPr>
        <w:t xml:space="preserve">Housen, Alex &amp; Folkert Kuiken (2009). Special issue: Complexity, accuracy, fluency (CAF) in second language acquisition. </w:t>
      </w:r>
      <w:r>
        <w:rPr>
          <w:i/>
          <w:lang w:val="en-GB"/>
        </w:rPr>
        <w:t>Applied Linguistics</w:t>
      </w:r>
      <w:r>
        <w:rPr>
          <w:lang w:val="en-GB"/>
        </w:rPr>
        <w:t xml:space="preserve"> 30(4).</w:t>
      </w:r>
    </w:p>
    <w:p w14:paraId="03A4DBFB" w14:textId="77777777" w:rsidR="001B7E07" w:rsidRDefault="001B7E07" w:rsidP="001B7E07">
      <w:pPr>
        <w:ind w:left="720" w:hanging="720"/>
      </w:pPr>
      <w:r>
        <w:rPr>
          <w:lang w:val="en-GB"/>
        </w:rPr>
        <w:t xml:space="preserve">Housen, Alex. 2012. Time and amount of L2 contact Inside and Outside the School - Insights from European Schools. In C. Muñoz (ed.), </w:t>
      </w:r>
      <w:r>
        <w:rPr>
          <w:i/>
          <w:iCs/>
          <w:lang w:val="en-GB"/>
        </w:rPr>
        <w:t>Intensive exposure experiences in second language learning</w:t>
      </w:r>
      <w:r>
        <w:rPr>
          <w:lang w:val="en-GB"/>
        </w:rPr>
        <w:t>, 111–138. Bristol: Multilingual Matters.</w:t>
      </w:r>
    </w:p>
    <w:p w14:paraId="6697D6F7" w14:textId="77777777" w:rsidR="001B7E07" w:rsidRDefault="001B7E07" w:rsidP="001B7E07">
      <w:pPr>
        <w:ind w:left="720" w:hanging="720"/>
      </w:pPr>
      <w:r>
        <w:t xml:space="preserve">Housen, Alex, Folkert Kuiken &amp; Ineke Vedder. 2012. </w:t>
      </w:r>
      <w:r>
        <w:rPr>
          <w:lang w:val="en-GB"/>
        </w:rPr>
        <w:t xml:space="preserve">Complexity, accuracy and fluency. Definitions, measurement and research. In A. Housen, F. Kuiken &amp; I. Vedder (eds.), </w:t>
      </w:r>
      <w:r>
        <w:rPr>
          <w:i/>
          <w:lang w:val="en-GB"/>
        </w:rPr>
        <w:t>Dimensions of L2 Performance and Proficiency: Complexity,</w:t>
      </w:r>
      <w:r>
        <w:rPr>
          <w:i/>
          <w:iCs/>
          <w:lang w:val="en-GB"/>
        </w:rPr>
        <w:t xml:space="preserve"> Accuracy and Fluency in SLA</w:t>
      </w:r>
      <w:r>
        <w:rPr>
          <w:lang w:val="en-GB"/>
        </w:rPr>
        <w:t>, 1–20. Amsterdam/Philadelphia: Benjamins.</w:t>
      </w:r>
    </w:p>
    <w:p w14:paraId="6A1EB711" w14:textId="77777777" w:rsidR="001B7E07" w:rsidRDefault="001B7E07" w:rsidP="001B7E07">
      <w:pPr>
        <w:ind w:left="720" w:hanging="720"/>
      </w:pPr>
      <w:r>
        <w:rPr>
          <w:lang w:val="en-GB"/>
        </w:rPr>
        <w:t xml:space="preserve">Keaton, Buster. 1927. </w:t>
      </w:r>
      <w:r>
        <w:rPr>
          <w:i/>
          <w:lang w:val="en-GB"/>
        </w:rPr>
        <w:t>College</w:t>
      </w:r>
      <w:r>
        <w:rPr>
          <w:lang w:val="en-GB"/>
        </w:rPr>
        <w:t>. Directed by James W. Horne &amp; Buster Keaton. Los Angeles: Joseph M. Schenck Productions.</w:t>
      </w:r>
    </w:p>
    <w:p w14:paraId="3761F240" w14:textId="77777777" w:rsidR="001B7E07" w:rsidRDefault="001B7E07" w:rsidP="001B7E07">
      <w:pPr>
        <w:ind w:left="720" w:hanging="720"/>
      </w:pPr>
      <w:r>
        <w:rPr>
          <w:lang w:val="en-GB"/>
        </w:rPr>
        <w:t xml:space="preserve">Hunt, Kellog W. 1965. A synopsis of clause-to-sentence length factors. </w:t>
      </w:r>
      <w:r>
        <w:rPr>
          <w:i/>
          <w:lang w:val="en-GB"/>
        </w:rPr>
        <w:t>The English Journal</w:t>
      </w:r>
      <w:r>
        <w:rPr>
          <w:lang w:val="en-GB"/>
        </w:rPr>
        <w:t xml:space="preserve"> 54(4). 300-309.</w:t>
      </w:r>
    </w:p>
    <w:p w14:paraId="43974A61" w14:textId="77777777" w:rsidR="001B7E07" w:rsidRDefault="001B7E07" w:rsidP="001B7E07">
      <w:pPr>
        <w:ind w:left="720" w:hanging="720"/>
      </w:pPr>
      <w:r>
        <w:rPr>
          <w:color w:val="000000"/>
          <w:lang w:val="en-GB"/>
        </w:rPr>
        <w:t xml:space="preserve">Johnson, Robert Keith &amp; Merrill Swain. (1997). </w:t>
      </w:r>
      <w:r>
        <w:rPr>
          <w:i/>
          <w:iCs/>
          <w:color w:val="000000"/>
          <w:lang w:val="en-GB"/>
        </w:rPr>
        <w:t>Immersion education : international perspectives</w:t>
      </w:r>
      <w:r>
        <w:rPr>
          <w:color w:val="000000"/>
          <w:lang w:val="en-GB"/>
        </w:rPr>
        <w:t xml:space="preserve"> (</w:t>
      </w:r>
      <w:r>
        <w:rPr>
          <w:iCs/>
          <w:color w:val="000000"/>
          <w:lang w:val="en-GB"/>
        </w:rPr>
        <w:t>The Cambridge applied linguistics series), 315</w:t>
      </w:r>
      <w:r>
        <w:rPr>
          <w:color w:val="000000"/>
          <w:lang w:val="en-GB"/>
        </w:rPr>
        <w:t xml:space="preserve">. </w:t>
      </w:r>
      <w:r>
        <w:rPr>
          <w:color w:val="000000"/>
        </w:rPr>
        <w:t>Cambridge: Cambridge University Press.</w:t>
      </w:r>
    </w:p>
    <w:p w14:paraId="1E0D4FDF" w14:textId="77777777" w:rsidR="001B7E07" w:rsidRDefault="001B7E07" w:rsidP="001B7E07">
      <w:pPr>
        <w:ind w:left="720" w:hanging="720"/>
      </w:pPr>
      <w:r>
        <w:t xml:space="preserve">Juan-Garau, Maria &amp; Joana Salazar-Noguera. 2015. </w:t>
      </w:r>
      <w:r>
        <w:rPr>
          <w:i/>
          <w:iCs/>
        </w:rPr>
        <w:t>Content-based Language Learning in Multilingual Educational Environments</w:t>
      </w:r>
      <w:r>
        <w:t xml:space="preserve">. Berlin: Springer. </w:t>
      </w:r>
    </w:p>
    <w:p w14:paraId="7FBDCF50" w14:textId="77777777" w:rsidR="001B7E07" w:rsidRDefault="001B7E07" w:rsidP="001B7E07">
      <w:pPr>
        <w:ind w:left="720" w:hanging="720"/>
      </w:pPr>
      <w:r>
        <w:rPr>
          <w:lang w:val="fr-FR"/>
        </w:rPr>
        <w:t xml:space="preserve">Lambert, Monique. 1997. En route vers le bilinguisme. </w:t>
      </w:r>
      <w:r>
        <w:rPr>
          <w:i/>
          <w:lang w:val="fr-FR"/>
        </w:rPr>
        <w:t>Acquisition et interaction en langue étrangère</w:t>
      </w:r>
      <w:r>
        <w:rPr>
          <w:lang w:val="fr-FR"/>
        </w:rPr>
        <w:t xml:space="preserve"> 9. </w:t>
      </w:r>
      <w:r>
        <w:t xml:space="preserve">Online: </w:t>
      </w:r>
      <w:hyperlink r:id="rId11" w:history="1">
        <w:r>
          <w:rPr>
            <w:rStyle w:val="Hipervnculo1"/>
          </w:rPr>
          <w:t>http://aile.revues.org/732</w:t>
        </w:r>
      </w:hyperlink>
      <w:r>
        <w:t xml:space="preserve"> </w:t>
      </w:r>
    </w:p>
    <w:p w14:paraId="2FC71DD5" w14:textId="77777777" w:rsidR="001B7E07" w:rsidRDefault="001B7E07" w:rsidP="001B7E07">
      <w:pPr>
        <w:ind w:left="720" w:hanging="720"/>
      </w:pPr>
      <w:r>
        <w:rPr>
          <w:lang w:val="en-GB"/>
        </w:rPr>
        <w:t xml:space="preserve">Lambert, Wallace E. &amp; Richard G. Tucker. 1972. </w:t>
      </w:r>
      <w:r>
        <w:rPr>
          <w:i/>
          <w:iCs/>
          <w:lang w:val="en-GB"/>
        </w:rPr>
        <w:t>The bilingual education of children. The St. Lambert experiment.</w:t>
      </w:r>
      <w:r>
        <w:rPr>
          <w:lang w:val="en-GB"/>
        </w:rPr>
        <w:t xml:space="preserve"> Rowley: </w:t>
      </w:r>
      <w:r>
        <w:rPr>
          <w:lang w:val="en-GB"/>
        </w:rPr>
        <w:lastRenderedPageBreak/>
        <w:t>Newbury House Publishers.</w:t>
      </w:r>
    </w:p>
    <w:p w14:paraId="04D05245" w14:textId="77777777" w:rsidR="001B7E07" w:rsidRDefault="001B7E07" w:rsidP="001B7E07">
      <w:pPr>
        <w:ind w:left="720" w:hanging="720"/>
      </w:pPr>
      <w:r>
        <w:t>Larsen-Free</w:t>
      </w:r>
      <w:r>
        <w:rPr>
          <w:lang w:val="en-GB"/>
        </w:rPr>
        <w:t xml:space="preserve">man, Diane. 1978. An ESL Index of Development. </w:t>
      </w:r>
      <w:r>
        <w:rPr>
          <w:i/>
          <w:iCs/>
        </w:rPr>
        <w:t>TESOL Quarterly</w:t>
      </w:r>
      <w:r>
        <w:t xml:space="preserve"> </w:t>
      </w:r>
      <w:r>
        <w:rPr>
          <w:iCs/>
        </w:rPr>
        <w:t>12</w:t>
      </w:r>
      <w:r>
        <w:t>(4). 439–448.</w:t>
      </w:r>
    </w:p>
    <w:p w14:paraId="46F0C508" w14:textId="77777777" w:rsidR="001B7E07" w:rsidRDefault="001B7E07" w:rsidP="001B7E07">
      <w:pPr>
        <w:ind w:left="720" w:hanging="720"/>
      </w:pPr>
      <w:r>
        <w:t>Lazaruk, Walter Andrew. 2007. Av</w:t>
      </w:r>
      <w:r>
        <w:rPr>
          <w:lang w:val="fr-FR"/>
        </w:rPr>
        <w:t xml:space="preserve">antages linguistiques, scolaires et cognitifs de l’immersion française. </w:t>
      </w:r>
      <w:r>
        <w:rPr>
          <w:i/>
          <w:iCs/>
        </w:rPr>
        <w:t>Canadian Journal of Education / Revue canadienne de l’éducation</w:t>
      </w:r>
      <w:r>
        <w:t xml:space="preserve"> </w:t>
      </w:r>
      <w:r>
        <w:rPr>
          <w:iCs/>
        </w:rPr>
        <w:t>63</w:t>
      </w:r>
      <w:r>
        <w:t xml:space="preserve">(5). </w:t>
      </w:r>
      <w:r>
        <w:rPr>
          <w:lang w:val="en-GB"/>
        </w:rPr>
        <w:t>629–654.</w:t>
      </w:r>
    </w:p>
    <w:p w14:paraId="1DC3A4F1" w14:textId="77777777" w:rsidR="001B7E07" w:rsidRDefault="001B7E07" w:rsidP="001B7E07">
      <w:pPr>
        <w:ind w:left="720" w:hanging="720"/>
      </w:pPr>
      <w:r>
        <w:rPr>
          <w:lang w:val="en-GB"/>
        </w:rPr>
        <w:t>Lightbown, Patsy M. 2012.</w:t>
      </w:r>
      <w:r>
        <w:rPr>
          <w:lang w:val="en-GB" w:eastAsia="es-CO"/>
        </w:rPr>
        <w:t xml:space="preserve"> Intensive L2 Instruction in Canada: Why not Immersion?.</w:t>
      </w:r>
      <w:r>
        <w:rPr>
          <w:lang w:val="en-GB"/>
        </w:rPr>
        <w:t xml:space="preserve"> In C. Muñoz (ed.), </w:t>
      </w:r>
      <w:r>
        <w:rPr>
          <w:i/>
          <w:iCs/>
          <w:lang w:val="en-GB"/>
        </w:rPr>
        <w:t>Intensive exposure experiences in second language learning</w:t>
      </w:r>
      <w:r>
        <w:rPr>
          <w:lang w:val="en-GB"/>
        </w:rPr>
        <w:t>, 3–23. Bristol: Multilingual Matters.</w:t>
      </w:r>
    </w:p>
    <w:p w14:paraId="759B6DA4" w14:textId="77777777" w:rsidR="001B7E07" w:rsidRDefault="001B7E07" w:rsidP="001B7E07">
      <w:pPr>
        <w:ind w:left="720" w:hanging="720"/>
      </w:pPr>
      <w:r>
        <w:rPr>
          <w:lang w:val="en-GB"/>
        </w:rPr>
        <w:t xml:space="preserve">Long, Michael H. 2003. Stabilization and Fossilization in Interlanguage Development. In C.J. Doughty &amp; M. H. Long (eds.), </w:t>
      </w:r>
      <w:r>
        <w:rPr>
          <w:i/>
          <w:iCs/>
          <w:lang w:val="en-GB"/>
        </w:rPr>
        <w:t xml:space="preserve">The Handbook of Second Language Acquisition, </w:t>
      </w:r>
      <w:r>
        <w:rPr>
          <w:iCs/>
          <w:lang w:val="en-GB"/>
        </w:rPr>
        <w:t>487-535</w:t>
      </w:r>
      <w:r>
        <w:rPr>
          <w:lang w:val="en-GB"/>
        </w:rPr>
        <w:t xml:space="preserve">. Oxford: Blackwell Publishing Ltd. </w:t>
      </w:r>
    </w:p>
    <w:p w14:paraId="66CA2057" w14:textId="77777777" w:rsidR="001B7E07" w:rsidRDefault="001B7E07" w:rsidP="001B7E07">
      <w:pPr>
        <w:ind w:left="720" w:hanging="720"/>
      </w:pPr>
      <w:r>
        <w:rPr>
          <w:lang w:val="en-GB"/>
        </w:rPr>
        <w:t xml:space="preserve">MacWhinney, Brian. 2000. </w:t>
      </w:r>
      <w:r>
        <w:rPr>
          <w:i/>
          <w:iCs/>
          <w:lang w:val="en-GB"/>
        </w:rPr>
        <w:t>The CHILDES Project: Tools for Analyzing Talk.</w:t>
      </w:r>
      <w:r>
        <w:rPr>
          <w:lang w:val="en-GB"/>
        </w:rPr>
        <w:t xml:space="preserve"> Mahwah: </w:t>
      </w:r>
      <w:r>
        <w:rPr>
          <w:color w:val="333333"/>
          <w:shd w:val="clear" w:color="auto" w:fill="FFFFFF"/>
        </w:rPr>
        <w:t>Psychology Press</w:t>
      </w:r>
      <w:r>
        <w:rPr>
          <w:lang w:val="en-GB"/>
        </w:rPr>
        <w:t>.</w:t>
      </w:r>
    </w:p>
    <w:p w14:paraId="73479BDE" w14:textId="77777777" w:rsidR="001B7E07" w:rsidRDefault="001B7E07" w:rsidP="001B7E07">
      <w:pPr>
        <w:ind w:left="720" w:hanging="720"/>
      </w:pPr>
      <w:r>
        <w:rPr>
          <w:rStyle w:val="Strong"/>
          <w:b w:val="0"/>
          <w:color w:val="000000"/>
          <w:szCs w:val="20"/>
        </w:rPr>
        <w:t>Malvern</w:t>
      </w:r>
      <w:r>
        <w:rPr>
          <w:b/>
          <w:color w:val="000000"/>
        </w:rPr>
        <w:t xml:space="preserve">, </w:t>
      </w:r>
      <w:r>
        <w:rPr>
          <w:color w:val="000000"/>
        </w:rPr>
        <w:t>David</w:t>
      </w:r>
      <w:r>
        <w:rPr>
          <w:b/>
          <w:color w:val="000000"/>
        </w:rPr>
        <w:t xml:space="preserve"> </w:t>
      </w:r>
      <w:r>
        <w:rPr>
          <w:color w:val="000000"/>
        </w:rPr>
        <w:t>D.,</w:t>
      </w:r>
      <w:r>
        <w:rPr>
          <w:b/>
          <w:color w:val="000000"/>
        </w:rPr>
        <w:t> </w:t>
      </w:r>
      <w:r>
        <w:rPr>
          <w:rStyle w:val="Strong"/>
          <w:b w:val="0"/>
          <w:color w:val="000000"/>
          <w:szCs w:val="20"/>
        </w:rPr>
        <w:t>Brian J. Richards</w:t>
      </w:r>
      <w:r>
        <w:rPr>
          <w:b/>
          <w:color w:val="000000"/>
        </w:rPr>
        <w:t>, </w:t>
      </w:r>
      <w:r>
        <w:rPr>
          <w:rStyle w:val="Strong"/>
          <w:b w:val="0"/>
          <w:color w:val="000000"/>
          <w:szCs w:val="20"/>
        </w:rPr>
        <w:t>Ngoni Chipere</w:t>
      </w:r>
      <w:r>
        <w:rPr>
          <w:b/>
          <w:color w:val="000000"/>
        </w:rPr>
        <w:t xml:space="preserve"> </w:t>
      </w:r>
      <w:r>
        <w:rPr>
          <w:color w:val="000000"/>
        </w:rPr>
        <w:t>&amp;</w:t>
      </w:r>
      <w:r>
        <w:rPr>
          <w:b/>
          <w:color w:val="000000"/>
        </w:rPr>
        <w:t xml:space="preserve"> </w:t>
      </w:r>
      <w:r>
        <w:rPr>
          <w:color w:val="000000"/>
        </w:rPr>
        <w:t xml:space="preserve">Pilar Duran. 2004. </w:t>
      </w:r>
      <w:r>
        <w:rPr>
          <w:bCs/>
          <w:i/>
          <w:color w:val="000000"/>
          <w:spacing w:val="5"/>
          <w:lang w:val="en-GB"/>
        </w:rPr>
        <w:t>Lexical Diversity and Language Development</w:t>
      </w:r>
      <w:r>
        <w:rPr>
          <w:bCs/>
          <w:color w:val="000000"/>
          <w:spacing w:val="5"/>
          <w:lang w:val="en-GB"/>
        </w:rPr>
        <w:t xml:space="preserve"> (</w:t>
      </w:r>
      <w:r>
        <w:rPr>
          <w:bCs/>
          <w:color w:val="000000"/>
          <w:lang w:val="en-GB"/>
        </w:rPr>
        <w:t xml:space="preserve">Quantification and Assessment). New York: Palgrave Macmillan. </w:t>
      </w:r>
    </w:p>
    <w:p w14:paraId="1D3393EE" w14:textId="77777777" w:rsidR="001B7E07" w:rsidRDefault="001B7E07" w:rsidP="001B7E07">
      <w:pPr>
        <w:ind w:left="720" w:hanging="720"/>
      </w:pPr>
      <w:r>
        <w:t>Malvern, David D. &amp; Brian J. Richards. 2000. Validation of a New Measure of Lexical Diversity. In M. Beers, B. v. d. Bogaerde, G. Bol, J. de Jong &amp; C. Rooijmans (eds.),</w:t>
      </w:r>
      <w:r>
        <w:rPr>
          <w:i/>
        </w:rPr>
        <w:t xml:space="preserve"> From Sound to Sentence: Studies on First Language Acquisition, </w:t>
      </w:r>
      <w:r>
        <w:t>81-96</w:t>
      </w:r>
      <w:r>
        <w:rPr>
          <w:i/>
        </w:rPr>
        <w:t xml:space="preserve">. </w:t>
      </w:r>
      <w:r>
        <w:t>Groningen: Centre for Language and Cognition.</w:t>
      </w:r>
    </w:p>
    <w:p w14:paraId="5EBEC3BC" w14:textId="77777777" w:rsidR="001B7E07" w:rsidRDefault="001B7E07" w:rsidP="001B7E07">
      <w:pPr>
        <w:ind w:left="720" w:hanging="720"/>
      </w:pPr>
      <w:r>
        <w:rPr>
          <w:lang w:val="en-GB"/>
        </w:rPr>
        <w:t xml:space="preserve">Manchón, Rosa M. 2009. </w:t>
      </w:r>
      <w:r>
        <w:rPr>
          <w:i/>
          <w:iCs/>
          <w:lang w:val="en-GB"/>
        </w:rPr>
        <w:t>Writing in Foreign Language Contexts: Learning, Teaching, and Research</w:t>
      </w:r>
      <w:r>
        <w:rPr>
          <w:lang w:val="en-GB"/>
        </w:rPr>
        <w:t xml:space="preserve">. Bristol: Multilingual Matters. </w:t>
      </w:r>
    </w:p>
    <w:p w14:paraId="5767FEED" w14:textId="77777777" w:rsidR="001B7E07" w:rsidRDefault="001B7E07" w:rsidP="001B7E07">
      <w:pPr>
        <w:ind w:left="720" w:hanging="720"/>
      </w:pPr>
      <w:r>
        <w:rPr>
          <w:lang w:val="en-GB"/>
        </w:rPr>
        <w:t xml:space="preserve">Manchón, Rosa M. 2013. The Psycholinguistics of Bilingual Writing: Mapping the Terrain. In F. Grosjean &amp; P. Li (eds.), </w:t>
      </w:r>
      <w:r>
        <w:rPr>
          <w:i/>
          <w:iCs/>
          <w:lang w:val="en-GB"/>
        </w:rPr>
        <w:t>The Psycholinguistics of Bilingualism</w:t>
      </w:r>
      <w:r>
        <w:rPr>
          <w:lang w:val="en-GB"/>
        </w:rPr>
        <w:t>, 102–116. Malden: Wiley-Blackwell.</w:t>
      </w:r>
    </w:p>
    <w:p w14:paraId="4BABBF0F" w14:textId="77777777" w:rsidR="001B7E07" w:rsidRDefault="001B7E07" w:rsidP="001B7E07">
      <w:pPr>
        <w:ind w:left="720" w:hanging="720"/>
      </w:pPr>
      <w:r>
        <w:rPr>
          <w:color w:val="222222"/>
          <w:shd w:val="clear" w:color="auto" w:fill="FFFFFF"/>
        </w:rPr>
        <w:t>Meara, Paul &amp; Irma MIralpeix. 2017. Tools for researching vocabulary. Clevedon: Multilingual Matters. </w:t>
      </w:r>
    </w:p>
    <w:p w14:paraId="16CD910C" w14:textId="77777777" w:rsidR="001B7E07" w:rsidRDefault="001B7E07" w:rsidP="001B7E07">
      <w:pPr>
        <w:ind w:left="720" w:hanging="720"/>
      </w:pPr>
      <w:r>
        <w:rPr>
          <w:lang w:val="en-GB"/>
        </w:rPr>
        <w:t xml:space="preserve">Muñoz, Carmen. 2012. </w:t>
      </w:r>
      <w:r>
        <w:rPr>
          <w:i/>
          <w:iCs/>
          <w:lang w:val="en-GB"/>
        </w:rPr>
        <w:t>Intensive exposure experiences in second language learning</w:t>
      </w:r>
      <w:r>
        <w:rPr>
          <w:lang w:val="en-GB"/>
        </w:rPr>
        <w:t xml:space="preserve">. </w:t>
      </w:r>
      <w:r>
        <w:rPr>
          <w:i/>
          <w:iCs/>
          <w:lang w:val="en-GB"/>
        </w:rPr>
        <w:t>Second language acquisition</w:t>
      </w:r>
      <w:r>
        <w:rPr>
          <w:lang w:val="en-GB"/>
        </w:rPr>
        <w:t xml:space="preserve">, 258. Bristol: </w:t>
      </w:r>
      <w:r>
        <w:rPr>
          <w:lang w:val="en-GB"/>
        </w:rPr>
        <w:lastRenderedPageBreak/>
        <w:t>Multilingual Matters.</w:t>
      </w:r>
    </w:p>
    <w:p w14:paraId="674230BB" w14:textId="77777777" w:rsidR="001B7E07" w:rsidRDefault="001B7E07" w:rsidP="001B7E07">
      <w:pPr>
        <w:ind w:left="720" w:hanging="720"/>
      </w:pPr>
      <w:r>
        <w:t xml:space="preserve">Norris, John M. &amp; Lourdes Ortega. </w:t>
      </w:r>
      <w:r>
        <w:rPr>
          <w:lang w:val="en-GB"/>
        </w:rPr>
        <w:t xml:space="preserve">2009. Towards an Organic Approach to Investigating CAF in Instructed SLA: The Case of Complexity. </w:t>
      </w:r>
      <w:r>
        <w:rPr>
          <w:i/>
          <w:iCs/>
          <w:lang w:val="en-GB"/>
        </w:rPr>
        <w:t>Applied Linguistics</w:t>
      </w:r>
      <w:r>
        <w:rPr>
          <w:lang w:val="en-GB"/>
        </w:rPr>
        <w:t xml:space="preserve"> </w:t>
      </w:r>
      <w:r>
        <w:rPr>
          <w:iCs/>
          <w:lang w:val="en-GB"/>
        </w:rPr>
        <w:t>30</w:t>
      </w:r>
      <w:r>
        <w:rPr>
          <w:lang w:val="en-GB"/>
        </w:rPr>
        <w:t xml:space="preserve">(4). 555–578. </w:t>
      </w:r>
    </w:p>
    <w:p w14:paraId="715458B0" w14:textId="77777777" w:rsidR="001B7E07" w:rsidRDefault="001B7E07" w:rsidP="001B7E07">
      <w:pPr>
        <w:ind w:left="720" w:hanging="720"/>
      </w:pPr>
      <w:r>
        <w:rPr>
          <w:lang w:val="en-GB"/>
        </w:rPr>
        <w:t xml:space="preserve">Ortega, Lourdes. 2003. Syntactic Complexity Measures and their Relationship to L2 Proficiency: A Research Synthesis of College level L2 Writing. </w:t>
      </w:r>
      <w:r>
        <w:rPr>
          <w:i/>
          <w:lang w:val="en-GB"/>
        </w:rPr>
        <w:t>Applied linguistics</w:t>
      </w:r>
      <w:r>
        <w:rPr>
          <w:lang w:val="en-GB"/>
        </w:rPr>
        <w:t xml:space="preserve"> 24(4). 492.</w:t>
      </w:r>
    </w:p>
    <w:p w14:paraId="4BDB4136" w14:textId="77777777" w:rsidR="001B7E07" w:rsidRDefault="001B7E07" w:rsidP="001B7E07">
      <w:pPr>
        <w:ind w:left="720" w:hanging="720"/>
      </w:pPr>
      <w:r>
        <w:rPr>
          <w:color w:val="000000"/>
          <w:lang w:val="en-GB"/>
        </w:rPr>
        <w:t xml:space="preserve">Ortega, Lourdes. 2012. Epilogue: Exploring L2 Writing-SLA Interfaces. </w:t>
      </w:r>
      <w:r>
        <w:rPr>
          <w:i/>
          <w:iCs/>
          <w:color w:val="000000"/>
          <w:lang w:val="en-GB"/>
        </w:rPr>
        <w:t>Journal of Second Language Writing</w:t>
      </w:r>
      <w:r>
        <w:rPr>
          <w:color w:val="000000"/>
          <w:lang w:val="en-GB"/>
        </w:rPr>
        <w:t xml:space="preserve"> </w:t>
      </w:r>
      <w:r>
        <w:rPr>
          <w:iCs/>
          <w:color w:val="000000"/>
          <w:lang w:val="en-GB"/>
        </w:rPr>
        <w:t>21</w:t>
      </w:r>
      <w:r>
        <w:rPr>
          <w:color w:val="000000"/>
          <w:lang w:val="en-GB"/>
        </w:rPr>
        <w:t xml:space="preserve">(4). 404–415. </w:t>
      </w:r>
    </w:p>
    <w:p w14:paraId="35619666" w14:textId="77777777" w:rsidR="001B7E07" w:rsidRDefault="001B7E07" w:rsidP="001B7E07">
      <w:pPr>
        <w:ind w:left="720" w:hanging="720"/>
      </w:pPr>
      <w:r>
        <w:rPr>
          <w:lang w:val="en-GB"/>
        </w:rPr>
        <w:t xml:space="preserve">Pallotti, Gabriele. 2015. A simple view of linguistic complexity. </w:t>
      </w:r>
      <w:r>
        <w:rPr>
          <w:i/>
          <w:lang w:val="en-GB"/>
        </w:rPr>
        <w:t xml:space="preserve">Second Language Research </w:t>
      </w:r>
      <w:r>
        <w:rPr>
          <w:lang w:val="en-GB"/>
        </w:rPr>
        <w:t xml:space="preserve">31(1). 117-134. </w:t>
      </w:r>
    </w:p>
    <w:p w14:paraId="7BD3A277" w14:textId="77777777" w:rsidR="001B7E07" w:rsidRDefault="001B7E07" w:rsidP="001B7E07">
      <w:pPr>
        <w:ind w:left="720" w:hanging="720"/>
      </w:pPr>
      <w:r>
        <w:rPr>
          <w:lang w:val="en-GB"/>
        </w:rPr>
        <w:t>Plonsky, Luke &amp; Frederick L. Oswald. 2014.</w:t>
      </w:r>
      <w:r>
        <w:rPr>
          <w:bCs/>
          <w:lang w:eastAsia="es-CO"/>
        </w:rPr>
        <w:t xml:space="preserve"> How Big Is “Big”? Interpreting Effect Sizes in L2 Research. Methodological Review Article,</w:t>
      </w:r>
      <w:r>
        <w:rPr>
          <w:lang w:eastAsia="es-CO"/>
        </w:rPr>
        <w:t xml:space="preserve"> </w:t>
      </w:r>
      <w:r>
        <w:rPr>
          <w:i/>
          <w:lang w:eastAsia="es-CO"/>
        </w:rPr>
        <w:t xml:space="preserve">Language Learning </w:t>
      </w:r>
      <w:r>
        <w:rPr>
          <w:lang w:eastAsia="es-CO"/>
        </w:rPr>
        <w:t xml:space="preserve">64(4). 878–912. </w:t>
      </w:r>
    </w:p>
    <w:p w14:paraId="010CA027" w14:textId="77777777" w:rsidR="001B7E07" w:rsidRDefault="001B7E07" w:rsidP="001B7E07">
      <w:pPr>
        <w:ind w:left="720" w:hanging="720"/>
      </w:pPr>
      <w:r>
        <w:rPr>
          <w:lang w:val="en-GB"/>
        </w:rPr>
        <w:t xml:space="preserve">Pérez-Vidal, Carmen. 2015. Perspectives and lessons from the challenge of CLIL experiences. In C. Abello-Contesse, P.M. Chandler, M.D. López-Jiménez &amp; R. Chacón-Beltrán (eds.), </w:t>
      </w:r>
      <w:r>
        <w:rPr>
          <w:i/>
          <w:lang w:val="en-GB"/>
        </w:rPr>
        <w:t>Bilingual and Multilingual Education in the 21</w:t>
      </w:r>
      <w:r>
        <w:rPr>
          <w:i/>
          <w:vertAlign w:val="superscript"/>
          <w:lang w:val="en-GB"/>
        </w:rPr>
        <w:t>st</w:t>
      </w:r>
      <w:r>
        <w:rPr>
          <w:i/>
          <w:lang w:val="en-GB"/>
        </w:rPr>
        <w:t xml:space="preserve"> Century: Building on experience, </w:t>
      </w:r>
      <w:r>
        <w:rPr>
          <w:lang w:val="en-GB"/>
        </w:rPr>
        <w:t>59-85</w:t>
      </w:r>
      <w:r>
        <w:rPr>
          <w:i/>
          <w:lang w:val="en-GB"/>
        </w:rPr>
        <w:t xml:space="preserve">. </w:t>
      </w:r>
      <w:r>
        <w:rPr>
          <w:lang w:val="en-GB"/>
        </w:rPr>
        <w:t>Clevedon: Multilingual Matters</w:t>
      </w:r>
      <w:bookmarkStart w:id="1" w:name="_Hlk500301349"/>
      <w:r>
        <w:rPr>
          <w:lang w:val="en-GB"/>
        </w:rPr>
        <w:t xml:space="preserve">. </w:t>
      </w:r>
      <w:bookmarkEnd w:id="1"/>
    </w:p>
    <w:p w14:paraId="5C68A174" w14:textId="77777777" w:rsidR="001B7E07" w:rsidRDefault="001B7E07" w:rsidP="001B7E07">
      <w:pPr>
        <w:ind w:left="720" w:hanging="720"/>
      </w:pPr>
      <w:r>
        <w:rPr>
          <w:color w:val="000000"/>
        </w:rPr>
        <w:t xml:space="preserve">Polio, Charlene. </w:t>
      </w:r>
      <w:r>
        <w:rPr>
          <w:color w:val="000000"/>
          <w:lang w:val="en-GB"/>
        </w:rPr>
        <w:t xml:space="preserve">1997. Measures of Linguistic Accuracy in Second Language Writing Research. </w:t>
      </w:r>
      <w:r>
        <w:rPr>
          <w:i/>
          <w:iCs/>
          <w:color w:val="000000"/>
          <w:lang w:val="en-GB"/>
        </w:rPr>
        <w:t>Language Learning</w:t>
      </w:r>
      <w:r>
        <w:rPr>
          <w:color w:val="000000"/>
          <w:lang w:val="en-GB"/>
        </w:rPr>
        <w:t xml:space="preserve"> </w:t>
      </w:r>
      <w:r>
        <w:rPr>
          <w:iCs/>
          <w:color w:val="000000"/>
          <w:lang w:val="en-GB"/>
        </w:rPr>
        <w:t>47</w:t>
      </w:r>
      <w:r>
        <w:rPr>
          <w:color w:val="000000"/>
          <w:lang w:val="en-GB"/>
        </w:rPr>
        <w:t xml:space="preserve">(1). 101–143. </w:t>
      </w:r>
    </w:p>
    <w:p w14:paraId="3506BC34" w14:textId="77777777" w:rsidR="001B7E07" w:rsidRDefault="001B7E07" w:rsidP="001B7E07">
      <w:pPr>
        <w:ind w:left="720" w:hanging="720"/>
      </w:pPr>
      <w:r>
        <w:rPr>
          <w:color w:val="000000"/>
          <w:shd w:val="clear" w:color="auto" w:fill="FFFFFF"/>
        </w:rPr>
        <w:t xml:space="preserve">Polio, Charlene. 2001. Research methodology in second language writing: The case of text-based studies. In T. Silva &amp; P. Matsuda. (eds.), </w:t>
      </w:r>
      <w:r>
        <w:rPr>
          <w:i/>
          <w:color w:val="000000"/>
          <w:shd w:val="clear" w:color="auto" w:fill="FFFFFF"/>
        </w:rPr>
        <w:t>On second language writing</w:t>
      </w:r>
      <w:r>
        <w:rPr>
          <w:color w:val="000000"/>
          <w:shd w:val="clear" w:color="auto" w:fill="FFFFFF"/>
        </w:rPr>
        <w:t>, 91-116. Mahwah, NJ: Erlbaum.</w:t>
      </w:r>
    </w:p>
    <w:p w14:paraId="5E6EECC2" w14:textId="77777777" w:rsidR="001B7E07" w:rsidRDefault="001B7E07" w:rsidP="001B7E07">
      <w:pPr>
        <w:ind w:left="720" w:hanging="720"/>
      </w:pPr>
      <w:r>
        <w:rPr>
          <w:color w:val="000000"/>
          <w:shd w:val="clear" w:color="auto" w:fill="FFFFFF"/>
        </w:rPr>
        <w:t xml:space="preserve">Quirk, Randolph, Sidney Greenbaum, Geoffrey Leech &amp; Jan Svartvik. 1985. </w:t>
      </w:r>
      <w:r>
        <w:rPr>
          <w:rStyle w:val="HTMLCite"/>
          <w:color w:val="000000"/>
          <w:szCs w:val="20"/>
          <w:shd w:val="clear" w:color="auto" w:fill="FFFFFF"/>
        </w:rPr>
        <w:t xml:space="preserve">A Comprehensive Grammar of the English Language, </w:t>
      </w:r>
      <w:r>
        <w:rPr>
          <w:rStyle w:val="HTMLCite"/>
          <w:i w:val="0"/>
          <w:color w:val="000000"/>
          <w:szCs w:val="20"/>
          <w:shd w:val="clear" w:color="auto" w:fill="FFFFFF"/>
        </w:rPr>
        <w:t>78</w:t>
      </w:r>
      <w:r>
        <w:rPr>
          <w:color w:val="000000"/>
          <w:shd w:val="clear" w:color="auto" w:fill="FFFFFF"/>
        </w:rPr>
        <w:t>. London: Longman.</w:t>
      </w:r>
    </w:p>
    <w:p w14:paraId="607DAE75" w14:textId="77777777" w:rsidR="001B7E07" w:rsidRDefault="001B7E07" w:rsidP="001B7E07">
      <w:pPr>
        <w:ind w:left="720" w:hanging="720"/>
      </w:pPr>
      <w:r>
        <w:rPr>
          <w:lang w:val="en-GB"/>
        </w:rPr>
        <w:t xml:space="preserve">Read, John. 2000. </w:t>
      </w:r>
      <w:r>
        <w:rPr>
          <w:i/>
          <w:iCs/>
          <w:lang w:val="en-GB"/>
        </w:rPr>
        <w:t>Assessing Vocabulary</w:t>
      </w:r>
      <w:r>
        <w:rPr>
          <w:lang w:val="en-GB"/>
        </w:rPr>
        <w:t>. Cambridge: Cambridge University Press.</w:t>
      </w:r>
    </w:p>
    <w:p w14:paraId="509AB27E" w14:textId="77777777" w:rsidR="001B7E07" w:rsidRDefault="001B7E07" w:rsidP="001B7E07">
      <w:pPr>
        <w:ind w:left="720" w:hanging="720"/>
      </w:pPr>
      <w:r>
        <w:rPr>
          <w:lang w:val="en-GB"/>
        </w:rPr>
        <w:t xml:space="preserve">Rifkin, Benjamin. 2005. A Ceiling Effect in Traditional Classroom Foreign Language Instruction: Data from Russian. </w:t>
      </w:r>
      <w:r>
        <w:rPr>
          <w:i/>
          <w:iCs/>
          <w:lang w:val="en-GB"/>
        </w:rPr>
        <w:t xml:space="preserve">The Modern </w:t>
      </w:r>
      <w:r>
        <w:rPr>
          <w:i/>
          <w:iCs/>
          <w:lang w:val="en-GB"/>
        </w:rPr>
        <w:lastRenderedPageBreak/>
        <w:t>Language Journal</w:t>
      </w:r>
      <w:r>
        <w:rPr>
          <w:lang w:val="en-GB"/>
        </w:rPr>
        <w:t xml:space="preserve"> </w:t>
      </w:r>
      <w:r>
        <w:rPr>
          <w:iCs/>
          <w:lang w:val="en-GB"/>
        </w:rPr>
        <w:t>89</w:t>
      </w:r>
      <w:r>
        <w:rPr>
          <w:lang w:val="en-GB"/>
        </w:rPr>
        <w:t xml:space="preserve">(1). 3–18. </w:t>
      </w:r>
    </w:p>
    <w:p w14:paraId="59BE6C81" w14:textId="77777777" w:rsidR="001B7E07" w:rsidRDefault="001B7E07" w:rsidP="001B7E07">
      <w:pPr>
        <w:ind w:left="720" w:hanging="720"/>
      </w:pPr>
      <w:r>
        <w:t xml:space="preserve">Roquet, Helena &amp; Carmen Pérez-Vidal. 2015. The linguistic impact of a CLIL Science Programme: An analysis measuring relative gains. </w:t>
      </w:r>
      <w:r>
        <w:rPr>
          <w:i/>
        </w:rPr>
        <w:t>System</w:t>
      </w:r>
      <w:r>
        <w:t xml:space="preserve"> 54. 80-90. </w:t>
      </w:r>
    </w:p>
    <w:p w14:paraId="79557DCE" w14:textId="77777777" w:rsidR="001B7E07" w:rsidRDefault="001B7E07" w:rsidP="001B7E07">
      <w:pPr>
        <w:ind w:left="720" w:hanging="720"/>
      </w:pPr>
      <w:r>
        <w:t xml:space="preserve">Roquet, Helena &amp; Carmen Pérez-Vidal. 2015. Do productive skills improve in Content and Language Integrated Learning Contexts?: The case of writing. </w:t>
      </w:r>
      <w:r>
        <w:rPr>
          <w:i/>
        </w:rPr>
        <w:t xml:space="preserve">Applied Linguistics, 1-24. </w:t>
      </w:r>
    </w:p>
    <w:p w14:paraId="5FC84C15" w14:textId="77777777" w:rsidR="001B7E07" w:rsidRDefault="001B7E07" w:rsidP="001B7E07">
      <w:pPr>
        <w:ind w:left="720" w:hanging="720"/>
      </w:pPr>
      <w:r>
        <w:rPr>
          <w:lang w:val="en-GB"/>
        </w:rPr>
        <w:t xml:space="preserve">Serrano, Raquel. 2007. </w:t>
      </w:r>
      <w:r>
        <w:rPr>
          <w:i/>
          <w:iCs/>
          <w:lang w:val="en-GB"/>
        </w:rPr>
        <w:t>Time Distribution and the Acquisition of English as a Foreign Language</w:t>
      </w:r>
      <w:r>
        <w:rPr>
          <w:iCs/>
          <w:lang w:val="en-GB"/>
        </w:rPr>
        <w:t xml:space="preserve">. </w:t>
      </w:r>
      <w:r>
        <w:rPr>
          <w:iCs/>
          <w:lang w:val="es-CO"/>
        </w:rPr>
        <w:t>Barcelona: Universitat de Barcelona PhD Thesis</w:t>
      </w:r>
      <w:r>
        <w:rPr>
          <w:lang w:val="es-CO"/>
        </w:rPr>
        <w:t>.</w:t>
      </w:r>
    </w:p>
    <w:p w14:paraId="221BB266" w14:textId="77777777" w:rsidR="001B7E07" w:rsidRDefault="001B7E07" w:rsidP="001B7E07">
      <w:pPr>
        <w:ind w:left="720" w:hanging="720"/>
      </w:pPr>
      <w:r>
        <w:rPr>
          <w:lang w:val="es-CO"/>
        </w:rPr>
        <w:t xml:space="preserve">Serrano, Raquel, Àngel Llanes &amp; Elsa Tragant. </w:t>
      </w:r>
      <w:r>
        <w:t xml:space="preserve">2011. </w:t>
      </w:r>
      <w:r>
        <w:rPr>
          <w:lang w:val="en-GB"/>
        </w:rPr>
        <w:t xml:space="preserve">Analyzing the effect of context of second language learning: Domestic intensive and semi-intensive courses vs. study abroad in Europe. </w:t>
      </w:r>
      <w:r>
        <w:rPr>
          <w:i/>
          <w:iCs/>
          <w:lang w:val="en-GB"/>
        </w:rPr>
        <w:t>System</w:t>
      </w:r>
      <w:r>
        <w:rPr>
          <w:lang w:val="en-GB"/>
        </w:rPr>
        <w:t xml:space="preserve"> </w:t>
      </w:r>
      <w:r>
        <w:rPr>
          <w:iCs/>
          <w:lang w:val="en-GB"/>
        </w:rPr>
        <w:t>39</w:t>
      </w:r>
      <w:r>
        <w:rPr>
          <w:lang w:val="en-GB"/>
        </w:rPr>
        <w:t xml:space="preserve">(2). 133–143. </w:t>
      </w:r>
    </w:p>
    <w:p w14:paraId="1B97B4B2" w14:textId="77777777" w:rsidR="001B7E07" w:rsidRDefault="001B7E07" w:rsidP="001B7E07">
      <w:pPr>
        <w:ind w:left="720" w:hanging="720"/>
      </w:pPr>
      <w:r>
        <w:rPr>
          <w:lang w:val="en-GB"/>
        </w:rPr>
        <w:t xml:space="preserve">Serrano, Raquel &amp; Carmen Muñoz. 2007. Same hours, different time distribution: Any difference in EFL?. </w:t>
      </w:r>
      <w:r>
        <w:rPr>
          <w:i/>
          <w:iCs/>
          <w:lang w:val="en-GB"/>
        </w:rPr>
        <w:t>System</w:t>
      </w:r>
      <w:r>
        <w:rPr>
          <w:lang w:val="en-GB"/>
        </w:rPr>
        <w:t xml:space="preserve"> </w:t>
      </w:r>
      <w:r>
        <w:rPr>
          <w:iCs/>
          <w:lang w:val="en-GB"/>
        </w:rPr>
        <w:t>35</w:t>
      </w:r>
      <w:r>
        <w:rPr>
          <w:lang w:val="en-GB"/>
        </w:rPr>
        <w:t xml:space="preserve">(3). 305–321. </w:t>
      </w:r>
    </w:p>
    <w:p w14:paraId="25FBC8A3" w14:textId="77777777" w:rsidR="001B7E07" w:rsidRDefault="001B7E07" w:rsidP="001B7E07">
      <w:pPr>
        <w:ind w:left="720" w:hanging="720"/>
      </w:pPr>
      <w:r>
        <w:rPr>
          <w:color w:val="000000"/>
        </w:rPr>
        <w:t xml:space="preserve">Silva, Tony &amp; Paul Kei Matsuda (eds.). </w:t>
      </w:r>
      <w:r>
        <w:rPr>
          <w:color w:val="000000"/>
          <w:lang w:val="en-GB"/>
        </w:rPr>
        <w:t>2005. On Second Language Writing. Mahwah: Routledge.</w:t>
      </w:r>
    </w:p>
    <w:p w14:paraId="474CE2FE" w14:textId="77777777" w:rsidR="001B7E07" w:rsidRDefault="001B7E07" w:rsidP="001B7E07">
      <w:pPr>
        <w:ind w:left="720" w:hanging="720"/>
      </w:pPr>
      <w:r>
        <w:rPr>
          <w:color w:val="000000"/>
          <w:shd w:val="clear" w:color="auto" w:fill="FFFFFF"/>
        </w:rPr>
        <w:t>Skehan, Peter &amp; Pauline Foster. 1999. The Influence of Task Structure and Processing Conditions on Narrative Retellings</w:t>
      </w:r>
      <w:r>
        <w:rPr>
          <w:i/>
          <w:color w:val="000000"/>
          <w:shd w:val="clear" w:color="auto" w:fill="FFFFFF"/>
        </w:rPr>
        <w:t>. Language Learning</w:t>
      </w:r>
      <w:r>
        <w:rPr>
          <w:color w:val="000000"/>
          <w:shd w:val="clear" w:color="auto" w:fill="FFFFFF"/>
        </w:rPr>
        <w:t xml:space="preserve"> 49. 93–120. </w:t>
      </w:r>
    </w:p>
    <w:p w14:paraId="6BACF294" w14:textId="77777777" w:rsidR="001B7E07" w:rsidRDefault="001B7E07" w:rsidP="001B7E07">
      <w:pPr>
        <w:ind w:left="720" w:hanging="720"/>
      </w:pPr>
      <w:r>
        <w:rPr>
          <w:lang w:val="en-GB"/>
        </w:rPr>
        <w:t xml:space="preserve">Skehan, Peter. 2009. </w:t>
      </w:r>
      <w:r>
        <w:rPr>
          <w:color w:val="000000"/>
          <w:lang w:val="en-GB"/>
        </w:rPr>
        <w:t>Modelling Second Language Performance: Integrating Complexity, Accuracy, Fluency, and Lexis</w:t>
      </w:r>
      <w:r>
        <w:rPr>
          <w:lang w:val="en-GB"/>
        </w:rPr>
        <w:t xml:space="preserve">. </w:t>
      </w:r>
      <w:r>
        <w:rPr>
          <w:i/>
          <w:lang w:val="en-GB"/>
        </w:rPr>
        <w:t xml:space="preserve">Applied Linguistics </w:t>
      </w:r>
      <w:r>
        <w:rPr>
          <w:lang w:val="en-GB"/>
        </w:rPr>
        <w:t>30</w:t>
      </w:r>
      <w:r>
        <w:rPr>
          <w:i/>
          <w:lang w:val="en-GB"/>
        </w:rPr>
        <w:t>(4).</w:t>
      </w:r>
      <w:r>
        <w:rPr>
          <w:rStyle w:val="apple-converted-space"/>
          <w:rFonts w:eastAsia="MS Gothic"/>
          <w:color w:val="000000"/>
          <w:szCs w:val="20"/>
          <w:lang w:val="en-GB"/>
        </w:rPr>
        <w:t xml:space="preserve"> </w:t>
      </w:r>
      <w:r>
        <w:rPr>
          <w:rStyle w:val="slug-pages"/>
          <w:color w:val="000000"/>
          <w:szCs w:val="20"/>
          <w:lang w:val="en-GB"/>
        </w:rPr>
        <w:t>510-532.</w:t>
      </w:r>
    </w:p>
    <w:p w14:paraId="64E2FC78" w14:textId="77777777" w:rsidR="001B7E07" w:rsidRDefault="001B7E07" w:rsidP="001B7E07">
      <w:pPr>
        <w:ind w:left="720" w:hanging="720"/>
      </w:pPr>
      <w:r>
        <w:rPr>
          <w:rStyle w:val="slug-pages"/>
          <w:color w:val="000000"/>
          <w:szCs w:val="20"/>
          <w:lang w:val="en-GB"/>
        </w:rPr>
        <w:t xml:space="preserve">Stern, Hans H. 1985. The time factor and the Compact Course Development. </w:t>
      </w:r>
      <w:r>
        <w:rPr>
          <w:i/>
          <w:lang w:eastAsia="es-CO"/>
        </w:rPr>
        <w:t xml:space="preserve">TESL Canada </w:t>
      </w:r>
      <w:r>
        <w:rPr>
          <w:i/>
          <w:iCs/>
          <w:lang w:eastAsia="es-CO"/>
        </w:rPr>
        <w:t xml:space="preserve">Journal/Revue Tesl du Canada </w:t>
      </w:r>
      <w:r>
        <w:rPr>
          <w:iCs/>
          <w:lang w:eastAsia="es-CO"/>
        </w:rPr>
        <w:t>3</w:t>
      </w:r>
      <w:r>
        <w:rPr>
          <w:lang w:eastAsia="es-CO"/>
        </w:rPr>
        <w:t>(1). 13-29.</w:t>
      </w:r>
    </w:p>
    <w:p w14:paraId="72FC663A" w14:textId="77777777" w:rsidR="001B7E07" w:rsidRDefault="001B7E07" w:rsidP="001B7E07">
      <w:pPr>
        <w:ind w:left="720" w:hanging="720"/>
      </w:pPr>
      <w:r>
        <w:rPr>
          <w:lang w:val="en-GB" w:eastAsia="es-CO"/>
        </w:rPr>
        <w:t xml:space="preserve">Swain, Merrill. 1981. Time and timing in bilingual education. </w:t>
      </w:r>
      <w:r>
        <w:rPr>
          <w:i/>
          <w:iCs/>
          <w:lang w:val="en-GB" w:eastAsia="es-CO"/>
        </w:rPr>
        <w:t>Language Learning</w:t>
      </w:r>
      <w:r>
        <w:rPr>
          <w:lang w:val="en-GB" w:eastAsia="es-CO"/>
        </w:rPr>
        <w:t xml:space="preserve"> 31(1). 115.</w:t>
      </w:r>
    </w:p>
    <w:p w14:paraId="57EAA8B8" w14:textId="77777777" w:rsidR="001B7E07" w:rsidRDefault="001B7E07" w:rsidP="001B7E07">
      <w:pPr>
        <w:ind w:left="720" w:hanging="720"/>
      </w:pPr>
      <w:r>
        <w:rPr>
          <w:lang w:val="en-GB"/>
        </w:rPr>
        <w:t xml:space="preserve">Swain, Merrill. 2000. French Immersion Research in Canada: Recent Contributions to SLA and Applied Linguistics. </w:t>
      </w:r>
      <w:r>
        <w:rPr>
          <w:i/>
          <w:iCs/>
        </w:rPr>
        <w:t>Annual Review of Applied Linguistics</w:t>
      </w:r>
      <w:r>
        <w:t xml:space="preserve"> </w:t>
      </w:r>
      <w:r>
        <w:rPr>
          <w:iCs/>
        </w:rPr>
        <w:t>20</w:t>
      </w:r>
      <w:r>
        <w:t xml:space="preserve">. 199–212. </w:t>
      </w:r>
    </w:p>
    <w:p w14:paraId="6057792D" w14:textId="77777777" w:rsidR="001B7E07" w:rsidRDefault="001B7E07" w:rsidP="001B7E07">
      <w:pPr>
        <w:ind w:left="720" w:hanging="720"/>
      </w:pPr>
      <w:r>
        <w:t xml:space="preserve">Tejada-Sanchez. Martha Isabel. 2014. </w:t>
      </w:r>
      <w:r>
        <w:rPr>
          <w:lang w:val="fr-FR"/>
        </w:rPr>
        <w:t xml:space="preserve">L'acquisition de l'anglais et l'exposition intensive en contexte d'immersion scolaire en Colombie. Unpublished doctoral dissertation. Barcelona/Paris: </w:t>
      </w:r>
      <w:r>
        <w:rPr>
          <w:lang w:val="fr-FR"/>
        </w:rPr>
        <w:lastRenderedPageBreak/>
        <w:t xml:space="preserve">Universitat Pompeu Fabra - Université Paris 8 PhD Thesis. </w:t>
      </w:r>
    </w:p>
    <w:p w14:paraId="16D0A77D" w14:textId="77777777" w:rsidR="001B7E07" w:rsidRDefault="001B7E07" w:rsidP="001B7E07">
      <w:pPr>
        <w:ind w:left="720" w:hanging="720"/>
      </w:pPr>
      <w:r>
        <w:rPr>
          <w:lang w:val="es-CO"/>
        </w:rPr>
        <w:t xml:space="preserve">Torras, María Rosa, Teresa Navés, Maria Luz Celaya &amp; Carmen Pérez-Vidal. </w:t>
      </w:r>
      <w:r>
        <w:t xml:space="preserve">2006. </w:t>
      </w:r>
      <w:r>
        <w:rPr>
          <w:lang w:val="en-GB"/>
        </w:rPr>
        <w:t xml:space="preserve">Age and IL development in writing. In C. Muñoz (ed.), </w:t>
      </w:r>
      <w:r>
        <w:rPr>
          <w:i/>
          <w:lang w:val="en-GB"/>
        </w:rPr>
        <w:t>Age and the Rate of Foreign Language Learning</w:t>
      </w:r>
      <w:r>
        <w:rPr>
          <w:lang w:val="en-GB"/>
        </w:rPr>
        <w:t>, 156-182. Clevedon: Multilingual Matters.</w:t>
      </w:r>
    </w:p>
    <w:p w14:paraId="5DB62EB7" w14:textId="77777777" w:rsidR="001B7E07" w:rsidRDefault="001B7E07" w:rsidP="001B7E07">
      <w:pPr>
        <w:ind w:left="720" w:hanging="720"/>
      </w:pPr>
      <w:r>
        <w:rPr>
          <w:lang w:val="en-GB"/>
        </w:rPr>
        <w:t xml:space="preserve">Turnbull, Miles, Sharon Lapkin, Doug Hart &amp; Merrill Swain. 1998. Time on task and immersion graduates’ French proficiency. In S. Lapkin (ed.), </w:t>
      </w:r>
      <w:r>
        <w:rPr>
          <w:i/>
          <w:iCs/>
          <w:lang w:val="en-GB"/>
        </w:rPr>
        <w:t>French second language education in Canada: Empirical studies</w:t>
      </w:r>
      <w:r>
        <w:rPr>
          <w:lang w:val="en-GB"/>
        </w:rPr>
        <w:t>, 31–55. Toronto: University of Toronto Press.</w:t>
      </w:r>
    </w:p>
    <w:p w14:paraId="312B072F" w14:textId="77777777" w:rsidR="001B7E07" w:rsidRDefault="001B7E07" w:rsidP="001B7E07">
      <w:pPr>
        <w:ind w:left="720" w:hanging="720"/>
      </w:pPr>
      <w:r>
        <w:rPr>
          <w:color w:val="000000"/>
          <w:lang w:val="en-GB"/>
        </w:rPr>
        <w:t>Vyatkina, Nina. 2012.</w:t>
      </w:r>
      <w:r>
        <w:rPr>
          <w:lang w:val="en-GB" w:eastAsia="es-CO"/>
        </w:rPr>
        <w:t xml:space="preserve"> The Development of Second Language Writing Complexity in Groups and Individuals: A Longitudinal Learner Corpus Study.</w:t>
      </w:r>
      <w:r>
        <w:rPr>
          <w:i/>
          <w:lang w:val="en-GB" w:eastAsia="es-CO"/>
        </w:rPr>
        <w:t xml:space="preserve"> </w:t>
      </w:r>
      <w:r>
        <w:rPr>
          <w:i/>
          <w:lang w:eastAsia="es-CO"/>
        </w:rPr>
        <w:t xml:space="preserve">The Modern Language Journal </w:t>
      </w:r>
      <w:r>
        <w:rPr>
          <w:lang w:eastAsia="es-CO"/>
        </w:rPr>
        <w:t>96(4). 576-598.</w:t>
      </w:r>
    </w:p>
    <w:p w14:paraId="5ABF74B5" w14:textId="77777777" w:rsidR="001B7E07" w:rsidRDefault="001B7E07" w:rsidP="001B7E07">
      <w:pPr>
        <w:ind w:left="720" w:hanging="720"/>
      </w:pPr>
      <w:r>
        <w:rPr>
          <w:lang w:val="en-GB"/>
        </w:rPr>
        <w:t xml:space="preserve">Weigle, Sara (Cushing). 2002. </w:t>
      </w:r>
      <w:r>
        <w:rPr>
          <w:i/>
          <w:iCs/>
          <w:lang w:val="en-GB"/>
        </w:rPr>
        <w:t>Assessing Writing</w:t>
      </w:r>
      <w:r>
        <w:rPr>
          <w:lang w:val="en-GB"/>
        </w:rPr>
        <w:t>. 284. Cambridge: Cambridge University Press.</w:t>
      </w:r>
    </w:p>
    <w:p w14:paraId="7DED2D66" w14:textId="77777777" w:rsidR="001B7E07" w:rsidRDefault="001B7E07" w:rsidP="001B7E07">
      <w:pPr>
        <w:ind w:left="720" w:hanging="720"/>
      </w:pPr>
      <w:r>
        <w:t>Wesche, Marjorie Bingham. 1989. Les diplômés de l’immersion: implications dans le domaine de l'en</w:t>
      </w:r>
      <w:r>
        <w:rPr>
          <w:lang w:val="fr-FR"/>
        </w:rPr>
        <w:t xml:space="preserve">seignement du français. </w:t>
      </w:r>
      <w:r>
        <w:rPr>
          <w:i/>
          <w:iCs/>
          <w:lang w:val="fr-FR"/>
        </w:rPr>
        <w:t xml:space="preserve">The Canadian Journal of Higher Education </w:t>
      </w:r>
      <w:r>
        <w:rPr>
          <w:iCs/>
          <w:lang w:val="fr-FR"/>
        </w:rPr>
        <w:t>19</w:t>
      </w:r>
      <w:r>
        <w:rPr>
          <w:lang w:val="fr-FR"/>
        </w:rPr>
        <w:t>(3). 30–41.</w:t>
      </w:r>
    </w:p>
    <w:p w14:paraId="0EF3A69B" w14:textId="77777777" w:rsidR="001B7E07" w:rsidRDefault="001B7E07" w:rsidP="001B7E07">
      <w:pPr>
        <w:ind w:left="720" w:hanging="720"/>
      </w:pPr>
      <w:r>
        <w:rPr>
          <w:lang w:val="fr-FR"/>
        </w:rPr>
        <w:t xml:space="preserve">Wesche, Marjorie Bingham. 2002. </w:t>
      </w:r>
      <w:r>
        <w:rPr>
          <w:lang w:val="en-GB"/>
        </w:rPr>
        <w:t xml:space="preserve">Early French Immersion: How Has the Original Canadian Model Stood the Test of Time. In P. Burmeister, T. Piske, &amp; A. Rohde (eds.), </w:t>
      </w:r>
      <w:r>
        <w:rPr>
          <w:i/>
          <w:iCs/>
          <w:lang w:val="en-GB"/>
        </w:rPr>
        <w:t xml:space="preserve">An Integrated View of Language Development. </w:t>
      </w:r>
      <w:r>
        <w:rPr>
          <w:i/>
          <w:iCs/>
          <w:lang w:val="de-AT"/>
        </w:rPr>
        <w:t xml:space="preserve">Papers in Honor of Henning Wode, </w:t>
      </w:r>
      <w:r>
        <w:rPr>
          <w:iCs/>
          <w:lang w:val="de-AT"/>
        </w:rPr>
        <w:t xml:space="preserve">23. Trier: WVT </w:t>
      </w:r>
      <w:r>
        <w:rPr>
          <w:lang w:val="de-AT"/>
        </w:rPr>
        <w:t>Wissenschaftlicher Verlag Trier.</w:t>
      </w:r>
    </w:p>
    <w:p w14:paraId="344B4839" w14:textId="77777777" w:rsidR="001B7E07" w:rsidRDefault="001B7E07" w:rsidP="001B7E07">
      <w:pPr>
        <w:ind w:left="720" w:hanging="720"/>
      </w:pPr>
      <w:r>
        <w:rPr>
          <w:lang w:val="en-GB"/>
        </w:rPr>
        <w:t xml:space="preserve">Williams, Jessica. 2012. The potential role(s) of writing in second language development. </w:t>
      </w:r>
      <w:r>
        <w:rPr>
          <w:i/>
          <w:iCs/>
          <w:lang w:val="en-GB"/>
        </w:rPr>
        <w:t>Journal of Second Language Writing</w:t>
      </w:r>
      <w:r>
        <w:rPr>
          <w:lang w:val="en-GB"/>
        </w:rPr>
        <w:t xml:space="preserve"> </w:t>
      </w:r>
      <w:r>
        <w:rPr>
          <w:iCs/>
          <w:lang w:val="en-GB"/>
        </w:rPr>
        <w:t>21</w:t>
      </w:r>
      <w:r>
        <w:rPr>
          <w:lang w:val="en-GB"/>
        </w:rPr>
        <w:t xml:space="preserve">(4). 321–331. </w:t>
      </w:r>
    </w:p>
    <w:p w14:paraId="6487F4D2" w14:textId="471E8A39" w:rsidR="001B7E07" w:rsidRPr="001B7E07" w:rsidRDefault="001B7E07" w:rsidP="001B7E07">
      <w:pPr>
        <w:ind w:left="720" w:hanging="720"/>
      </w:pPr>
      <w:r>
        <w:rPr>
          <w:lang w:val="en-GB"/>
        </w:rPr>
        <w:t xml:space="preserve">Wolfe-Quintero, Kate, Shunji Inagaki &amp; Kim Hae-Young. 1998. </w:t>
      </w:r>
      <w:r>
        <w:rPr>
          <w:i/>
          <w:iCs/>
          <w:lang w:val="en-GB"/>
        </w:rPr>
        <w:t>Second Language Development in Writing: Measures of Fluency, Accuracy, and Complexity</w:t>
      </w:r>
      <w:r>
        <w:rPr>
          <w:lang w:val="en-GB"/>
        </w:rPr>
        <w:t xml:space="preserve">, 208. Manoa: National Foreign Language Resource Center - University of Hawaii at </w:t>
      </w:r>
      <w:r>
        <w:rPr>
          <w:lang w:val="en-GB"/>
        </w:rPr>
        <w:lastRenderedPageBreak/>
        <w:t>Manoa.</w:t>
      </w:r>
    </w:p>
    <w:p w14:paraId="28EEC79B" w14:textId="6B6C3AE1" w:rsidR="00CC6315" w:rsidRDefault="00CC6315" w:rsidP="00CC6315"/>
    <w:p w14:paraId="321BC512" w14:textId="6E641CC7" w:rsidR="00CC6315" w:rsidRDefault="00CC6315" w:rsidP="00CC6315"/>
    <w:p w14:paraId="11B0E4F3" w14:textId="77777777" w:rsidR="00CC6315" w:rsidRPr="00CC6315" w:rsidRDefault="00CC6315" w:rsidP="00CC6315"/>
    <w:p w14:paraId="3F25A04A" w14:textId="77777777" w:rsidR="00F42BE4" w:rsidRPr="004F186D" w:rsidRDefault="00F42BE4" w:rsidP="00D557AC"/>
    <w:sectPr w:rsidR="00F42BE4" w:rsidRPr="004F186D"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195457" w14:textId="77777777" w:rsidR="00CC6315" w:rsidRDefault="00CC6315">
      <w:pPr>
        <w:spacing w:after="0" w:line="240" w:lineRule="auto"/>
      </w:pPr>
      <w:r>
        <w:separator/>
      </w:r>
    </w:p>
  </w:endnote>
  <w:endnote w:type="continuationSeparator" w:id="0">
    <w:p w14:paraId="58BD9B8B" w14:textId="77777777" w:rsidR="00CC6315" w:rsidRDefault="00CC6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auto"/>
    <w:pitch w:val="variable"/>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DejaVu Sans">
    <w:charset w:val="00"/>
    <w:family w:val="swiss"/>
    <w:pitch w:val="variable"/>
  </w:font>
  <w:font w:name="TimesNewRomanPSMT">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56FB2" w14:textId="77777777" w:rsidR="00CC6315" w:rsidRDefault="00CC6315">
      <w:r>
        <w:separator/>
      </w:r>
    </w:p>
  </w:footnote>
  <w:footnote w:type="continuationSeparator" w:id="0">
    <w:p w14:paraId="1DDEC380" w14:textId="77777777" w:rsidR="00CC6315" w:rsidRDefault="00CC6315">
      <w:r>
        <w:continuationSeparator/>
      </w:r>
    </w:p>
  </w:footnote>
  <w:footnote w:id="1">
    <w:p w14:paraId="6EAABBB6" w14:textId="77777777" w:rsidR="00CC6315" w:rsidRDefault="00CC6315" w:rsidP="00D557AC">
      <w:r>
        <w:rPr>
          <w:rStyle w:val="Caratterinotaapidipagina"/>
        </w:rPr>
        <w:footnoteRef/>
      </w:r>
      <w:r>
        <w:rPr>
          <w:rFonts w:eastAsia="Times New Roman" w:cs="Times New Roman"/>
        </w:rPr>
        <w:tab/>
        <w:t xml:space="preserve"> </w:t>
      </w:r>
      <w:r>
        <w:rPr>
          <w:sz w:val="20"/>
          <w:szCs w:val="20"/>
          <w:lang w:val="en-GB"/>
        </w:rPr>
        <w:t xml:space="preserve">The designation of these programmes has been adopted from Collins et al. (1999), Bournot-Trites (2007), and Collins and White (2011). </w:t>
      </w:r>
    </w:p>
    <w:p w14:paraId="26F02FBD" w14:textId="77777777" w:rsidR="00CC6315" w:rsidRDefault="00CC6315" w:rsidP="00D557AC">
      <w:pPr>
        <w:pStyle w:val="FootnoteText"/>
      </w:pPr>
    </w:p>
  </w:footnote>
  <w:footnote w:id="2">
    <w:p w14:paraId="2A89019A" w14:textId="77777777" w:rsidR="00CC6315" w:rsidRDefault="00CC6315" w:rsidP="00D557AC">
      <w:pPr>
        <w:pStyle w:val="FootnoteText"/>
      </w:pPr>
      <w:r>
        <w:rPr>
          <w:rStyle w:val="Caratterinotaapidipagina"/>
        </w:rPr>
        <w:footnoteRef/>
      </w:r>
      <w:r>
        <w:rPr>
          <w:sz w:val="22"/>
        </w:rPr>
        <w:tab/>
        <w:t xml:space="preserve"> The </w:t>
      </w:r>
      <w:r>
        <w:rPr>
          <w:i/>
          <w:sz w:val="22"/>
        </w:rPr>
        <w:t>International Baccalaureate</w:t>
      </w:r>
      <w:r>
        <w:rPr>
          <w:sz w:val="22"/>
        </w:rPr>
        <w:t xml:space="preserve"> certification (IB). </w:t>
      </w:r>
      <w:r>
        <w:rPr>
          <w:sz w:val="22"/>
          <w:szCs w:val="22"/>
          <w:lang w:val="en-GB"/>
        </w:rPr>
        <w:t>In order to reach such a goal, these students from HI+ must follow the program for another year, grade 12, which was not considered in this study.</w:t>
      </w:r>
    </w:p>
  </w:footnote>
  <w:footnote w:id="3">
    <w:p w14:paraId="7AB0DE52" w14:textId="77777777" w:rsidR="00CC6315" w:rsidRDefault="00CC6315" w:rsidP="00CC6315">
      <w:pPr>
        <w:spacing w:line="240" w:lineRule="auto"/>
        <w:rPr>
          <w:color w:val="00000A"/>
          <w:lang w:eastAsia="zh-CN"/>
        </w:rPr>
      </w:pPr>
      <w:r>
        <w:rPr>
          <w:rStyle w:val="Caratterinotaapidipagina"/>
        </w:rPr>
        <w:footnoteRef/>
      </w:r>
      <w:r>
        <w:tab/>
        <w:t xml:space="preserve"> </w:t>
      </w:r>
      <w:r>
        <w:rPr>
          <w:sz w:val="20"/>
          <w:szCs w:val="20"/>
          <w:lang w:val="en-GB"/>
        </w:rPr>
        <w:t>Open-ended questionnaires have been used in SLA research in order to explore raters’ assumptions and beliefs (see for example by del Rio et.al. in this volume), which could be a possibility for further research on our corpus.</w:t>
      </w:r>
      <w:r>
        <w:rPr>
          <w:lang w:val="en-GB"/>
        </w:rPr>
        <w:t xml:space="preserve"> </w:t>
      </w:r>
    </w:p>
    <w:p w14:paraId="6E4DEF8A" w14:textId="77777777" w:rsidR="00CC6315" w:rsidRDefault="00CC6315" w:rsidP="00CC631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multilevel"/>
    <w:tmpl w:val="00000003"/>
    <w:name w:val="WW8Num3"/>
    <w:lvl w:ilvl="0">
      <w:start w:val="1"/>
      <w:numFmt w:val="none"/>
      <w:suff w:val="nothing"/>
      <w:lvlText w:val=""/>
      <w:lvlJc w:val="left"/>
      <w:pPr>
        <w:tabs>
          <w:tab w:val="num" w:pos="0"/>
        </w:tabs>
        <w:ind w:left="432" w:hanging="432"/>
      </w:pPr>
      <w:rPr>
        <w:lang w:val="en-US"/>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0" w:firstLine="0"/>
      </w:pPr>
    </w:lvl>
  </w:abstractNum>
  <w:abstractNum w:abstractNumId="11"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3" w15:restartNumberingAfterBreak="0">
    <w:nsid w:val="143B6273"/>
    <w:multiLevelType w:val="multilevel"/>
    <w:tmpl w:val="50ECC31A"/>
    <w:lvl w:ilvl="0">
      <w:start w:val="1"/>
      <w:numFmt w:val="low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5" w15:restartNumberingAfterBreak="0">
    <w:nsid w:val="1EAB2A82"/>
    <w:multiLevelType w:val="multilevel"/>
    <w:tmpl w:val="D56408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F51E6E"/>
    <w:multiLevelType w:val="multilevel"/>
    <w:tmpl w:val="62001C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27F350E"/>
    <w:multiLevelType w:val="multilevel"/>
    <w:tmpl w:val="438CB9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51734E0"/>
    <w:multiLevelType w:val="multilevel"/>
    <w:tmpl w:val="64D0DE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0902FF"/>
    <w:multiLevelType w:val="multilevel"/>
    <w:tmpl w:val="4EB0401E"/>
    <w:lvl w:ilvl="0">
      <w:start w:val="5"/>
      <w:numFmt w:val="decimal"/>
      <w:lvlText w:val="%1"/>
      <w:lvlJc w:val="left"/>
      <w:pPr>
        <w:ind w:left="620" w:hanging="6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7" w15:restartNumberingAfterBreak="0">
    <w:nsid w:val="7A735C12"/>
    <w:multiLevelType w:val="multilevel"/>
    <w:tmpl w:val="CD4694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348" w:hanging="504"/>
      </w:pPr>
      <w:rPr>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6"/>
  </w:num>
  <w:num w:numId="3">
    <w:abstractNumId w:val="25"/>
  </w:num>
  <w:num w:numId="4">
    <w:abstractNumId w:val="14"/>
  </w:num>
  <w:num w:numId="5">
    <w:abstractNumId w:val="24"/>
  </w:num>
  <w:num w:numId="6">
    <w:abstractNumId w:val="16"/>
  </w:num>
  <w:num w:numId="7">
    <w:abstractNumId w:val="19"/>
  </w:num>
  <w:num w:numId="8">
    <w:abstractNumId w:val="21"/>
  </w:num>
  <w:num w:numId="9">
    <w:abstractNumId w:val="23"/>
  </w:num>
  <w:num w:numId="10">
    <w:abstractNumId w:val="28"/>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7"/>
  </w:num>
  <w:num w:numId="23">
    <w:abstractNumId w:val="18"/>
  </w:num>
  <w:num w:numId="24">
    <w:abstractNumId w:val="15"/>
  </w:num>
  <w:num w:numId="25">
    <w:abstractNumId w:val="13"/>
  </w:num>
  <w:num w:numId="26">
    <w:abstractNumId w:val="20"/>
  </w:num>
  <w:num w:numId="27">
    <w:abstractNumId w:val="28"/>
    <w:lvlOverride w:ilvl="0">
      <w:startOverride w:val="1"/>
    </w:lvlOverride>
  </w:num>
  <w:num w:numId="28">
    <w:abstractNumId w:val="28"/>
    <w:lvlOverride w:ilvl="0">
      <w:startOverride w:val="1"/>
    </w:lvlOverride>
  </w:num>
  <w:num w:numId="29">
    <w:abstractNumId w:val="27"/>
  </w:num>
  <w:num w:numId="30">
    <w:abstractNumId w:val="22"/>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F7"/>
    <w:rsid w:val="00052980"/>
    <w:rsid w:val="0006061E"/>
    <w:rsid w:val="00063B01"/>
    <w:rsid w:val="0009549F"/>
    <w:rsid w:val="000D11D2"/>
    <w:rsid w:val="000F36E9"/>
    <w:rsid w:val="000F7233"/>
    <w:rsid w:val="00105D17"/>
    <w:rsid w:val="001419D2"/>
    <w:rsid w:val="00151DB8"/>
    <w:rsid w:val="00153140"/>
    <w:rsid w:val="001A199E"/>
    <w:rsid w:val="001B7E07"/>
    <w:rsid w:val="002279AD"/>
    <w:rsid w:val="00244B6C"/>
    <w:rsid w:val="002463E6"/>
    <w:rsid w:val="002B550D"/>
    <w:rsid w:val="002C5835"/>
    <w:rsid w:val="002C758C"/>
    <w:rsid w:val="0032233C"/>
    <w:rsid w:val="00370AD0"/>
    <w:rsid w:val="003951B6"/>
    <w:rsid w:val="003F2DF3"/>
    <w:rsid w:val="00420A29"/>
    <w:rsid w:val="004744F7"/>
    <w:rsid w:val="004B24C0"/>
    <w:rsid w:val="004E3C2A"/>
    <w:rsid w:val="004F186D"/>
    <w:rsid w:val="00576F66"/>
    <w:rsid w:val="005871E8"/>
    <w:rsid w:val="005D4AE7"/>
    <w:rsid w:val="005E1F91"/>
    <w:rsid w:val="00621819"/>
    <w:rsid w:val="006276DA"/>
    <w:rsid w:val="00655CBB"/>
    <w:rsid w:val="006602F7"/>
    <w:rsid w:val="00664634"/>
    <w:rsid w:val="0077333F"/>
    <w:rsid w:val="00791DC6"/>
    <w:rsid w:val="007924D8"/>
    <w:rsid w:val="007A106B"/>
    <w:rsid w:val="00802DE8"/>
    <w:rsid w:val="00830673"/>
    <w:rsid w:val="008339EB"/>
    <w:rsid w:val="00837C58"/>
    <w:rsid w:val="00855C25"/>
    <w:rsid w:val="008B51B6"/>
    <w:rsid w:val="00906C91"/>
    <w:rsid w:val="00997124"/>
    <w:rsid w:val="009D2AB4"/>
    <w:rsid w:val="00A5100F"/>
    <w:rsid w:val="00A51EB9"/>
    <w:rsid w:val="00AD5B61"/>
    <w:rsid w:val="00AF2C34"/>
    <w:rsid w:val="00B726C8"/>
    <w:rsid w:val="00BB1422"/>
    <w:rsid w:val="00BD2618"/>
    <w:rsid w:val="00C02954"/>
    <w:rsid w:val="00C30C83"/>
    <w:rsid w:val="00C97088"/>
    <w:rsid w:val="00CC6315"/>
    <w:rsid w:val="00D0727B"/>
    <w:rsid w:val="00D30DE4"/>
    <w:rsid w:val="00D54E01"/>
    <w:rsid w:val="00D557AC"/>
    <w:rsid w:val="00DB0B74"/>
    <w:rsid w:val="00DC0B02"/>
    <w:rsid w:val="00DC7773"/>
    <w:rsid w:val="00DD1727"/>
    <w:rsid w:val="00DF02D3"/>
    <w:rsid w:val="00E01802"/>
    <w:rsid w:val="00E44F71"/>
    <w:rsid w:val="00EA471B"/>
    <w:rsid w:val="00F20FD5"/>
    <w:rsid w:val="00F42BE4"/>
    <w:rsid w:val="00FA45F7"/>
    <w:rsid w:val="00FF79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1C7284E"/>
  <w15:docId w15:val="{E44E6A50-8A46-468F-9E15-D140033F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sid w:val="00830673"/>
    <w:rPr>
      <w:position w:val="20"/>
      <w:sz w:val="13"/>
    </w:rPr>
  </w:style>
  <w:style w:type="character" w:styleId="Hyperlink">
    <w:name w:val="Hyperlink"/>
    <w:rsid w:val="00830673"/>
    <w:rPr>
      <w:color w:val="000080"/>
      <w:u w:val="single"/>
    </w:rPr>
  </w:style>
  <w:style w:type="character" w:customStyle="1" w:styleId="lsCategory">
    <w:name w:val="ls_Category"/>
    <w:qFormat/>
    <w:rsid w:val="00830673"/>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qFormat/>
    <w:rsid w:val="00830673"/>
    <w:pPr>
      <w:spacing w:after="283"/>
      <w:ind w:left="567" w:right="567"/>
    </w:pPr>
  </w:style>
  <w:style w:type="paragraph" w:styleId="Title">
    <w:name w:val="Title"/>
    <w:aliases w:val="ls_Title"/>
    <w:basedOn w:val="Normal"/>
    <w:next w:val="Normal"/>
    <w:qFormat/>
    <w:rsid w:val="005D4AE7"/>
    <w:pPr>
      <w:spacing w:before="240" w:after="120"/>
      <w:jc w:val="center"/>
    </w:pPr>
    <w:rPr>
      <w:rFonts w:ascii="Arial" w:hAnsi="Arial"/>
      <w:b/>
      <w:bCs/>
      <w:sz w:val="56"/>
      <w:szCs w:val="56"/>
    </w:rPr>
  </w:style>
  <w:style w:type="paragraph" w:styleId="Footer">
    <w:name w:val="footer"/>
    <w:basedOn w:val="Normal"/>
    <w:rsid w:val="00830673"/>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rsid w:val="00830673"/>
    <w:pPr>
      <w:suppressLineNumbers/>
      <w:spacing w:before="120" w:after="120"/>
    </w:pPr>
    <w:rPr>
      <w:i/>
      <w:iCs/>
      <w:sz w:val="20"/>
      <w:szCs w:val="20"/>
    </w:rPr>
  </w:style>
  <w:style w:type="paragraph" w:styleId="FootnoteText">
    <w:name w:val="footnote text"/>
    <w:basedOn w:val="Normal"/>
    <w:link w:val="FootnoteTextChar"/>
    <w:rsid w:val="00830673"/>
    <w:pPr>
      <w:suppressLineNumbers/>
      <w:ind w:left="339" w:hanging="339"/>
    </w:pPr>
    <w:rPr>
      <w:sz w:val="20"/>
      <w:szCs w:val="20"/>
    </w:rPr>
  </w:style>
  <w:style w:type="paragraph" w:customStyle="1" w:styleId="lsAbstract">
    <w:name w:val="ls_Abstract"/>
    <w:basedOn w:val="Normal"/>
    <w:qFormat/>
    <w:rsid w:val="00830673"/>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rsid w:val="00830673"/>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ind w:left="360"/>
    </w:p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BalloonText">
    <w:name w:val="Balloon Text"/>
    <w:basedOn w:val="Normal"/>
    <w:link w:val="BalloonTextChar"/>
    <w:uiPriority w:val="99"/>
    <w:semiHidden/>
    <w:unhideWhenUsed/>
    <w:rsid w:val="00420A29"/>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420A29"/>
    <w:rPr>
      <w:rFonts w:ascii="Segoe UI" w:eastAsia="Droid Sans Fallback" w:hAnsi="Segoe UI" w:cs="Mangal"/>
      <w:sz w:val="18"/>
      <w:szCs w:val="16"/>
      <w:lang w:val="en-US" w:eastAsia="hi-IN" w:bidi="hi-IN"/>
    </w:rPr>
  </w:style>
  <w:style w:type="paragraph" w:customStyle="1" w:styleId="Newparagraph">
    <w:name w:val="New paragraph"/>
    <w:basedOn w:val="Normal"/>
    <w:qFormat/>
    <w:rsid w:val="00DD1727"/>
    <w:pPr>
      <w:widowControl/>
      <w:suppressAutoHyphens w:val="0"/>
      <w:spacing w:after="0" w:line="480" w:lineRule="auto"/>
      <w:ind w:firstLine="720"/>
    </w:pPr>
    <w:rPr>
      <w:rFonts w:eastAsia="Times New Roman" w:cs="Times New Roman"/>
      <w:color w:val="00000A"/>
      <w:lang w:val="en-GB" w:eastAsia="en-GB" w:bidi="ar-SA"/>
    </w:rPr>
  </w:style>
  <w:style w:type="paragraph" w:styleId="ListParagraph">
    <w:name w:val="List Paragraph"/>
    <w:basedOn w:val="Normal"/>
    <w:qFormat/>
    <w:rsid w:val="0006061E"/>
    <w:pPr>
      <w:ind w:left="720"/>
      <w:contextualSpacing/>
    </w:pPr>
    <w:rPr>
      <w:rFonts w:cs="Mangal"/>
      <w:color w:val="00000A"/>
      <w:szCs w:val="21"/>
      <w:lang w:val="en-GB"/>
    </w:rPr>
  </w:style>
  <w:style w:type="paragraph" w:customStyle="1" w:styleId="Paragraph">
    <w:name w:val="Paragraph"/>
    <w:basedOn w:val="Normal"/>
    <w:qFormat/>
    <w:rsid w:val="0006061E"/>
    <w:pPr>
      <w:suppressAutoHyphens w:val="0"/>
      <w:spacing w:before="240" w:after="0" w:line="480" w:lineRule="auto"/>
    </w:pPr>
    <w:rPr>
      <w:rFonts w:eastAsia="Times New Roman" w:cs="Times New Roman"/>
      <w:color w:val="00000A"/>
      <w:lang w:val="en-GB" w:eastAsia="en-GB" w:bidi="ar-SA"/>
    </w:rPr>
  </w:style>
  <w:style w:type="paragraph" w:customStyle="1" w:styleId="Cuadrculamedia1-nfasis22">
    <w:name w:val="Cuadrícula media 1 - Énfasis 22"/>
    <w:basedOn w:val="Normal"/>
    <w:rsid w:val="004F186D"/>
    <w:pPr>
      <w:widowControl/>
      <w:suppressAutoHyphens w:val="0"/>
      <w:spacing w:after="0" w:line="240" w:lineRule="auto"/>
      <w:ind w:left="708"/>
    </w:pPr>
    <w:rPr>
      <w:rFonts w:eastAsia="Times New Roman" w:cs="Times New Roman"/>
      <w:color w:val="00000A"/>
      <w:lang w:val="fr-FR" w:eastAsia="zh-CN" w:bidi="ar-SA"/>
    </w:rPr>
  </w:style>
  <w:style w:type="character" w:customStyle="1" w:styleId="FootnoteTextChar">
    <w:name w:val="Footnote Text Char"/>
    <w:basedOn w:val="DefaultParagraphFont"/>
    <w:link w:val="FootnoteText"/>
    <w:rsid w:val="00D557AC"/>
    <w:rPr>
      <w:rFonts w:ascii="Times New Roman" w:eastAsia="Droid Sans Fallback" w:hAnsi="Times New Roman" w:cs="FreeSans"/>
      <w:sz w:val="20"/>
      <w:szCs w:val="20"/>
      <w:lang w:val="en-US" w:eastAsia="hi-IN" w:bidi="hi-IN"/>
    </w:rPr>
  </w:style>
  <w:style w:type="character" w:customStyle="1" w:styleId="Caratterinotaapidipagina">
    <w:name w:val="Caratteri nota a piè di pagina"/>
    <w:rsid w:val="00D557AC"/>
    <w:rPr>
      <w:sz w:val="13"/>
    </w:rPr>
  </w:style>
  <w:style w:type="character" w:customStyle="1" w:styleId="familyname">
    <w:name w:val="familyname"/>
    <w:rsid w:val="00F42BE4"/>
  </w:style>
  <w:style w:type="character" w:styleId="Strong">
    <w:name w:val="Strong"/>
    <w:basedOn w:val="DefaultParagraphFont"/>
    <w:qFormat/>
    <w:rsid w:val="00F42BE4"/>
    <w:rPr>
      <w:b/>
      <w:bCs/>
    </w:rPr>
  </w:style>
  <w:style w:type="paragraph" w:styleId="NoSpacing">
    <w:name w:val="No Spacing"/>
    <w:uiPriority w:val="1"/>
    <w:qFormat/>
    <w:rsid w:val="00CC6315"/>
    <w:pPr>
      <w:suppressAutoHyphens/>
      <w:spacing w:after="0" w:line="240" w:lineRule="auto"/>
    </w:pPr>
    <w:rPr>
      <w:rFonts w:ascii="Times New Roman" w:eastAsia="Times New Roman" w:hAnsi="Times New Roman" w:cs="Times New Roman"/>
      <w:color w:val="00000A"/>
      <w:sz w:val="24"/>
      <w:szCs w:val="24"/>
      <w:lang w:val="fr-FR" w:eastAsia="zh-CN"/>
    </w:rPr>
  </w:style>
  <w:style w:type="paragraph" w:styleId="HTMLPreformatted">
    <w:name w:val="HTML Preformatted"/>
    <w:basedOn w:val="Normal"/>
    <w:link w:val="HTMLPreformattedChar"/>
    <w:semiHidden/>
    <w:unhideWhenUsed/>
    <w:rsid w:val="00CC6315"/>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s-CO" w:eastAsia="zh-CN" w:bidi="ar-SA"/>
    </w:rPr>
  </w:style>
  <w:style w:type="character" w:customStyle="1" w:styleId="HTMLPreformattedChar">
    <w:name w:val="HTML Preformatted Char"/>
    <w:basedOn w:val="DefaultParagraphFont"/>
    <w:link w:val="HTMLPreformatted"/>
    <w:semiHidden/>
    <w:rsid w:val="00CC6315"/>
    <w:rPr>
      <w:rFonts w:ascii="Courier New" w:eastAsia="Times New Roman" w:hAnsi="Courier New" w:cs="Courier New"/>
      <w:sz w:val="20"/>
      <w:szCs w:val="20"/>
      <w:lang w:val="es-CO" w:eastAsia="zh-CN"/>
    </w:rPr>
  </w:style>
  <w:style w:type="paragraph" w:styleId="NormalWeb">
    <w:name w:val="Normal (Web)"/>
    <w:basedOn w:val="Normal"/>
    <w:semiHidden/>
    <w:unhideWhenUsed/>
    <w:rsid w:val="001B7E07"/>
    <w:pPr>
      <w:widowControl/>
      <w:suppressAutoHyphens w:val="0"/>
      <w:spacing w:before="280" w:after="119" w:line="240" w:lineRule="auto"/>
    </w:pPr>
    <w:rPr>
      <w:rFonts w:eastAsia="Times New Roman" w:cs="Times New Roman"/>
      <w:color w:val="00000A"/>
      <w:lang w:val="es-ES" w:eastAsia="zh-CN" w:bidi="ar-SA"/>
    </w:rPr>
  </w:style>
  <w:style w:type="character" w:customStyle="1" w:styleId="apple-converted-space">
    <w:name w:val="apple-converted-space"/>
    <w:basedOn w:val="DefaultParagraphFont"/>
    <w:rsid w:val="001B7E07"/>
  </w:style>
  <w:style w:type="character" w:customStyle="1" w:styleId="slug-pages">
    <w:name w:val="slug-pages"/>
    <w:basedOn w:val="DefaultParagraphFont"/>
    <w:rsid w:val="001B7E07"/>
  </w:style>
  <w:style w:type="character" w:customStyle="1" w:styleId="Hipervnculo1">
    <w:name w:val="Hipervínculo1"/>
    <w:rsid w:val="001B7E07"/>
    <w:rPr>
      <w:color w:val="0563C1"/>
      <w:u w:val="single"/>
    </w:rPr>
  </w:style>
  <w:style w:type="character" w:styleId="HTMLCite">
    <w:name w:val="HTML Cite"/>
    <w:basedOn w:val="DefaultParagraphFont"/>
    <w:semiHidden/>
    <w:unhideWhenUsed/>
    <w:rsid w:val="001B7E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5211">
      <w:bodyDiv w:val="1"/>
      <w:marLeft w:val="0"/>
      <w:marRight w:val="0"/>
      <w:marTop w:val="0"/>
      <w:marBottom w:val="0"/>
      <w:divBdr>
        <w:top w:val="none" w:sz="0" w:space="0" w:color="auto"/>
        <w:left w:val="none" w:sz="0" w:space="0" w:color="auto"/>
        <w:bottom w:val="none" w:sz="0" w:space="0" w:color="auto"/>
        <w:right w:val="none" w:sz="0" w:space="0" w:color="auto"/>
      </w:divBdr>
    </w:div>
    <w:div w:id="166599086">
      <w:bodyDiv w:val="1"/>
      <w:marLeft w:val="0"/>
      <w:marRight w:val="0"/>
      <w:marTop w:val="0"/>
      <w:marBottom w:val="0"/>
      <w:divBdr>
        <w:top w:val="none" w:sz="0" w:space="0" w:color="auto"/>
        <w:left w:val="none" w:sz="0" w:space="0" w:color="auto"/>
        <w:bottom w:val="none" w:sz="0" w:space="0" w:color="auto"/>
        <w:right w:val="none" w:sz="0" w:space="0" w:color="auto"/>
      </w:divBdr>
    </w:div>
    <w:div w:id="446631233">
      <w:bodyDiv w:val="1"/>
      <w:marLeft w:val="0"/>
      <w:marRight w:val="0"/>
      <w:marTop w:val="0"/>
      <w:marBottom w:val="0"/>
      <w:divBdr>
        <w:top w:val="none" w:sz="0" w:space="0" w:color="auto"/>
        <w:left w:val="none" w:sz="0" w:space="0" w:color="auto"/>
        <w:bottom w:val="none" w:sz="0" w:space="0" w:color="auto"/>
        <w:right w:val="none" w:sz="0" w:space="0" w:color="auto"/>
      </w:divBdr>
    </w:div>
    <w:div w:id="499082849">
      <w:bodyDiv w:val="1"/>
      <w:marLeft w:val="0"/>
      <w:marRight w:val="0"/>
      <w:marTop w:val="0"/>
      <w:marBottom w:val="0"/>
      <w:divBdr>
        <w:top w:val="none" w:sz="0" w:space="0" w:color="auto"/>
        <w:left w:val="none" w:sz="0" w:space="0" w:color="auto"/>
        <w:bottom w:val="none" w:sz="0" w:space="0" w:color="auto"/>
        <w:right w:val="none" w:sz="0" w:space="0" w:color="auto"/>
      </w:divBdr>
    </w:div>
    <w:div w:id="535431894">
      <w:bodyDiv w:val="1"/>
      <w:marLeft w:val="0"/>
      <w:marRight w:val="0"/>
      <w:marTop w:val="0"/>
      <w:marBottom w:val="0"/>
      <w:divBdr>
        <w:top w:val="none" w:sz="0" w:space="0" w:color="auto"/>
        <w:left w:val="none" w:sz="0" w:space="0" w:color="auto"/>
        <w:bottom w:val="none" w:sz="0" w:space="0" w:color="auto"/>
        <w:right w:val="none" w:sz="0" w:space="0" w:color="auto"/>
      </w:divBdr>
    </w:div>
    <w:div w:id="604533235">
      <w:bodyDiv w:val="1"/>
      <w:marLeft w:val="0"/>
      <w:marRight w:val="0"/>
      <w:marTop w:val="0"/>
      <w:marBottom w:val="0"/>
      <w:divBdr>
        <w:top w:val="none" w:sz="0" w:space="0" w:color="auto"/>
        <w:left w:val="none" w:sz="0" w:space="0" w:color="auto"/>
        <w:bottom w:val="none" w:sz="0" w:space="0" w:color="auto"/>
        <w:right w:val="none" w:sz="0" w:space="0" w:color="auto"/>
      </w:divBdr>
    </w:div>
    <w:div w:id="651714455">
      <w:bodyDiv w:val="1"/>
      <w:marLeft w:val="0"/>
      <w:marRight w:val="0"/>
      <w:marTop w:val="0"/>
      <w:marBottom w:val="0"/>
      <w:divBdr>
        <w:top w:val="none" w:sz="0" w:space="0" w:color="auto"/>
        <w:left w:val="none" w:sz="0" w:space="0" w:color="auto"/>
        <w:bottom w:val="none" w:sz="0" w:space="0" w:color="auto"/>
        <w:right w:val="none" w:sz="0" w:space="0" w:color="auto"/>
      </w:divBdr>
    </w:div>
    <w:div w:id="723800385">
      <w:bodyDiv w:val="1"/>
      <w:marLeft w:val="0"/>
      <w:marRight w:val="0"/>
      <w:marTop w:val="0"/>
      <w:marBottom w:val="0"/>
      <w:divBdr>
        <w:top w:val="none" w:sz="0" w:space="0" w:color="auto"/>
        <w:left w:val="none" w:sz="0" w:space="0" w:color="auto"/>
        <w:bottom w:val="none" w:sz="0" w:space="0" w:color="auto"/>
        <w:right w:val="none" w:sz="0" w:space="0" w:color="auto"/>
      </w:divBdr>
    </w:div>
    <w:div w:id="744761031">
      <w:bodyDiv w:val="1"/>
      <w:marLeft w:val="0"/>
      <w:marRight w:val="0"/>
      <w:marTop w:val="0"/>
      <w:marBottom w:val="0"/>
      <w:divBdr>
        <w:top w:val="none" w:sz="0" w:space="0" w:color="auto"/>
        <w:left w:val="none" w:sz="0" w:space="0" w:color="auto"/>
        <w:bottom w:val="none" w:sz="0" w:space="0" w:color="auto"/>
        <w:right w:val="none" w:sz="0" w:space="0" w:color="auto"/>
      </w:divBdr>
    </w:div>
    <w:div w:id="775175368">
      <w:bodyDiv w:val="1"/>
      <w:marLeft w:val="0"/>
      <w:marRight w:val="0"/>
      <w:marTop w:val="0"/>
      <w:marBottom w:val="0"/>
      <w:divBdr>
        <w:top w:val="none" w:sz="0" w:space="0" w:color="auto"/>
        <w:left w:val="none" w:sz="0" w:space="0" w:color="auto"/>
        <w:bottom w:val="none" w:sz="0" w:space="0" w:color="auto"/>
        <w:right w:val="none" w:sz="0" w:space="0" w:color="auto"/>
      </w:divBdr>
    </w:div>
    <w:div w:id="779641272">
      <w:bodyDiv w:val="1"/>
      <w:marLeft w:val="0"/>
      <w:marRight w:val="0"/>
      <w:marTop w:val="0"/>
      <w:marBottom w:val="0"/>
      <w:divBdr>
        <w:top w:val="none" w:sz="0" w:space="0" w:color="auto"/>
        <w:left w:val="none" w:sz="0" w:space="0" w:color="auto"/>
        <w:bottom w:val="none" w:sz="0" w:space="0" w:color="auto"/>
        <w:right w:val="none" w:sz="0" w:space="0" w:color="auto"/>
      </w:divBdr>
    </w:div>
    <w:div w:id="788207779">
      <w:bodyDiv w:val="1"/>
      <w:marLeft w:val="0"/>
      <w:marRight w:val="0"/>
      <w:marTop w:val="0"/>
      <w:marBottom w:val="0"/>
      <w:divBdr>
        <w:top w:val="none" w:sz="0" w:space="0" w:color="auto"/>
        <w:left w:val="none" w:sz="0" w:space="0" w:color="auto"/>
        <w:bottom w:val="none" w:sz="0" w:space="0" w:color="auto"/>
        <w:right w:val="none" w:sz="0" w:space="0" w:color="auto"/>
      </w:divBdr>
    </w:div>
    <w:div w:id="804545430">
      <w:bodyDiv w:val="1"/>
      <w:marLeft w:val="0"/>
      <w:marRight w:val="0"/>
      <w:marTop w:val="0"/>
      <w:marBottom w:val="0"/>
      <w:divBdr>
        <w:top w:val="none" w:sz="0" w:space="0" w:color="auto"/>
        <w:left w:val="none" w:sz="0" w:space="0" w:color="auto"/>
        <w:bottom w:val="none" w:sz="0" w:space="0" w:color="auto"/>
        <w:right w:val="none" w:sz="0" w:space="0" w:color="auto"/>
      </w:divBdr>
    </w:div>
    <w:div w:id="885071070">
      <w:bodyDiv w:val="1"/>
      <w:marLeft w:val="0"/>
      <w:marRight w:val="0"/>
      <w:marTop w:val="0"/>
      <w:marBottom w:val="0"/>
      <w:divBdr>
        <w:top w:val="none" w:sz="0" w:space="0" w:color="auto"/>
        <w:left w:val="none" w:sz="0" w:space="0" w:color="auto"/>
        <w:bottom w:val="none" w:sz="0" w:space="0" w:color="auto"/>
        <w:right w:val="none" w:sz="0" w:space="0" w:color="auto"/>
      </w:divBdr>
    </w:div>
    <w:div w:id="947204166">
      <w:bodyDiv w:val="1"/>
      <w:marLeft w:val="0"/>
      <w:marRight w:val="0"/>
      <w:marTop w:val="0"/>
      <w:marBottom w:val="0"/>
      <w:divBdr>
        <w:top w:val="none" w:sz="0" w:space="0" w:color="auto"/>
        <w:left w:val="none" w:sz="0" w:space="0" w:color="auto"/>
        <w:bottom w:val="none" w:sz="0" w:space="0" w:color="auto"/>
        <w:right w:val="none" w:sz="0" w:space="0" w:color="auto"/>
      </w:divBdr>
    </w:div>
    <w:div w:id="1097746852">
      <w:bodyDiv w:val="1"/>
      <w:marLeft w:val="0"/>
      <w:marRight w:val="0"/>
      <w:marTop w:val="0"/>
      <w:marBottom w:val="0"/>
      <w:divBdr>
        <w:top w:val="none" w:sz="0" w:space="0" w:color="auto"/>
        <w:left w:val="none" w:sz="0" w:space="0" w:color="auto"/>
        <w:bottom w:val="none" w:sz="0" w:space="0" w:color="auto"/>
        <w:right w:val="none" w:sz="0" w:space="0" w:color="auto"/>
      </w:divBdr>
    </w:div>
    <w:div w:id="1100951884">
      <w:bodyDiv w:val="1"/>
      <w:marLeft w:val="0"/>
      <w:marRight w:val="0"/>
      <w:marTop w:val="0"/>
      <w:marBottom w:val="0"/>
      <w:divBdr>
        <w:top w:val="none" w:sz="0" w:space="0" w:color="auto"/>
        <w:left w:val="none" w:sz="0" w:space="0" w:color="auto"/>
        <w:bottom w:val="none" w:sz="0" w:space="0" w:color="auto"/>
        <w:right w:val="none" w:sz="0" w:space="0" w:color="auto"/>
      </w:divBdr>
    </w:div>
    <w:div w:id="1190297467">
      <w:bodyDiv w:val="1"/>
      <w:marLeft w:val="0"/>
      <w:marRight w:val="0"/>
      <w:marTop w:val="0"/>
      <w:marBottom w:val="0"/>
      <w:divBdr>
        <w:top w:val="none" w:sz="0" w:space="0" w:color="auto"/>
        <w:left w:val="none" w:sz="0" w:space="0" w:color="auto"/>
        <w:bottom w:val="none" w:sz="0" w:space="0" w:color="auto"/>
        <w:right w:val="none" w:sz="0" w:space="0" w:color="auto"/>
      </w:divBdr>
    </w:div>
    <w:div w:id="1252591737">
      <w:bodyDiv w:val="1"/>
      <w:marLeft w:val="0"/>
      <w:marRight w:val="0"/>
      <w:marTop w:val="0"/>
      <w:marBottom w:val="0"/>
      <w:divBdr>
        <w:top w:val="none" w:sz="0" w:space="0" w:color="auto"/>
        <w:left w:val="none" w:sz="0" w:space="0" w:color="auto"/>
        <w:bottom w:val="none" w:sz="0" w:space="0" w:color="auto"/>
        <w:right w:val="none" w:sz="0" w:space="0" w:color="auto"/>
      </w:divBdr>
    </w:div>
    <w:div w:id="1326587165">
      <w:bodyDiv w:val="1"/>
      <w:marLeft w:val="0"/>
      <w:marRight w:val="0"/>
      <w:marTop w:val="0"/>
      <w:marBottom w:val="0"/>
      <w:divBdr>
        <w:top w:val="none" w:sz="0" w:space="0" w:color="auto"/>
        <w:left w:val="none" w:sz="0" w:space="0" w:color="auto"/>
        <w:bottom w:val="none" w:sz="0" w:space="0" w:color="auto"/>
        <w:right w:val="none" w:sz="0" w:space="0" w:color="auto"/>
      </w:divBdr>
    </w:div>
    <w:div w:id="1689794840">
      <w:bodyDiv w:val="1"/>
      <w:marLeft w:val="0"/>
      <w:marRight w:val="0"/>
      <w:marTop w:val="0"/>
      <w:marBottom w:val="0"/>
      <w:divBdr>
        <w:top w:val="none" w:sz="0" w:space="0" w:color="auto"/>
        <w:left w:val="none" w:sz="0" w:space="0" w:color="auto"/>
        <w:bottom w:val="none" w:sz="0" w:space="0" w:color="auto"/>
        <w:right w:val="none" w:sz="0" w:space="0" w:color="auto"/>
      </w:divBdr>
    </w:div>
    <w:div w:id="1707218575">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 w:id="1759668729">
      <w:bodyDiv w:val="1"/>
      <w:marLeft w:val="0"/>
      <w:marRight w:val="0"/>
      <w:marTop w:val="0"/>
      <w:marBottom w:val="0"/>
      <w:divBdr>
        <w:top w:val="none" w:sz="0" w:space="0" w:color="auto"/>
        <w:left w:val="none" w:sz="0" w:space="0" w:color="auto"/>
        <w:bottom w:val="none" w:sz="0" w:space="0" w:color="auto"/>
        <w:right w:val="none" w:sz="0" w:space="0" w:color="auto"/>
      </w:divBdr>
    </w:div>
    <w:div w:id="1793015786">
      <w:bodyDiv w:val="1"/>
      <w:marLeft w:val="0"/>
      <w:marRight w:val="0"/>
      <w:marTop w:val="0"/>
      <w:marBottom w:val="0"/>
      <w:divBdr>
        <w:top w:val="none" w:sz="0" w:space="0" w:color="auto"/>
        <w:left w:val="none" w:sz="0" w:space="0" w:color="auto"/>
        <w:bottom w:val="none" w:sz="0" w:space="0" w:color="auto"/>
        <w:right w:val="none" w:sz="0" w:space="0" w:color="auto"/>
      </w:divBdr>
    </w:div>
    <w:div w:id="1909607401">
      <w:bodyDiv w:val="1"/>
      <w:marLeft w:val="0"/>
      <w:marRight w:val="0"/>
      <w:marTop w:val="0"/>
      <w:marBottom w:val="0"/>
      <w:divBdr>
        <w:top w:val="none" w:sz="0" w:space="0" w:color="auto"/>
        <w:left w:val="none" w:sz="0" w:space="0" w:color="auto"/>
        <w:bottom w:val="none" w:sz="0" w:space="0" w:color="auto"/>
        <w:right w:val="none" w:sz="0" w:space="0" w:color="auto"/>
      </w:divBdr>
    </w:div>
    <w:div w:id="1931885517">
      <w:bodyDiv w:val="1"/>
      <w:marLeft w:val="0"/>
      <w:marRight w:val="0"/>
      <w:marTop w:val="0"/>
      <w:marBottom w:val="0"/>
      <w:divBdr>
        <w:top w:val="none" w:sz="0" w:space="0" w:color="auto"/>
        <w:left w:val="none" w:sz="0" w:space="0" w:color="auto"/>
        <w:bottom w:val="none" w:sz="0" w:space="0" w:color="auto"/>
        <w:right w:val="none" w:sz="0" w:space="0" w:color="auto"/>
      </w:divBdr>
    </w:div>
    <w:div w:id="2079591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ile.revues.org/732" TargetMode="External"/><Relationship Id="rId5" Type="http://schemas.openxmlformats.org/officeDocument/2006/relationships/footnotes" Target="footnotes.xml"/><Relationship Id="rId10" Type="http://schemas.openxmlformats.org/officeDocument/2006/relationships/hyperlink" Target="http://docplayer.org/11483802-Novelle-der-reifepruefungsverordnung-2007-gueltig-ab-dem-sommertermin-2009-unter-beruecksichtigung-der-rpvo-novelle-2008.html"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ia\Downloads\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langsci-template-MS.dotx</Template>
  <TotalTime>42</TotalTime>
  <Pages>34</Pages>
  <Words>9106</Words>
  <Characters>51906</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Freie Universitaet Berlin</Company>
  <LinksUpToDate>false</LinksUpToDate>
  <CharactersWithSpaces>60891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Ament</dc:creator>
  <cp:lastModifiedBy>Thomas-Wilhelm, Dakota J</cp:lastModifiedBy>
  <cp:revision>3</cp:revision>
  <cp:lastPrinted>2017-05-30T10:31:00Z</cp:lastPrinted>
  <dcterms:created xsi:type="dcterms:W3CDTF">2018-03-20T13:42:00Z</dcterms:created>
  <dcterms:modified xsi:type="dcterms:W3CDTF">2018-03-20T14:23:00Z</dcterms:modified>
</cp:coreProperties>
</file>