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CE08E" w14:textId="647979DE" w:rsidR="0022043C" w:rsidRPr="00F97CE8" w:rsidRDefault="00F97CE8" w:rsidP="002200B1">
      <w:pPr>
        <w:pStyle w:val="Title"/>
        <w:rPr>
          <w:lang w:val="en-US"/>
        </w:rPr>
      </w:pPr>
      <w:r w:rsidRPr="00F97CE8">
        <w:rPr>
          <w:lang w:val="en-US"/>
        </w:rPr>
        <w:t>Simultaneous interpretation of numbers and the impact of technological support</w:t>
      </w:r>
    </w:p>
    <w:p w14:paraId="4ADF5943" w14:textId="68940E9A" w:rsidR="0022043C" w:rsidRDefault="0022043C" w:rsidP="002200B1">
      <w:pPr>
        <w:pStyle w:val="Heading2"/>
        <w:numPr>
          <w:ilvl w:val="0"/>
          <w:numId w:val="5"/>
        </w:numPr>
        <w:rPr>
          <w:lang w:val="en-US"/>
        </w:rPr>
      </w:pPr>
      <w:r>
        <w:rPr>
          <w:lang w:val="en-US"/>
        </w:rPr>
        <w:t>Introduction</w:t>
      </w:r>
    </w:p>
    <w:p w14:paraId="75704996" w14:textId="6E4EBB60" w:rsidR="0035430F" w:rsidRDefault="0008264D" w:rsidP="00DE3ECA">
      <w:pPr>
        <w:rPr>
          <w:lang w:val="en-US"/>
        </w:rPr>
      </w:pPr>
      <w:r w:rsidRPr="00DB1A07">
        <w:rPr>
          <w:lang w:val="en-US"/>
        </w:rPr>
        <w:t>Translation and interpreting are often called sister disciplines, but the</w:t>
      </w:r>
      <w:r w:rsidR="00953A00" w:rsidRPr="00DB1A07">
        <w:rPr>
          <w:lang w:val="en-US"/>
        </w:rPr>
        <w:t xml:space="preserve"> integration of the</w:t>
      </w:r>
      <w:r w:rsidRPr="00DB1A07">
        <w:rPr>
          <w:lang w:val="en-US"/>
        </w:rPr>
        <w:t xml:space="preserve"> </w:t>
      </w:r>
      <w:r w:rsidR="00953A00" w:rsidRPr="00DB1A07">
        <w:rPr>
          <w:lang w:val="en-US"/>
        </w:rPr>
        <w:t>respective activities</w:t>
      </w:r>
      <w:r w:rsidRPr="00DB1A07">
        <w:rPr>
          <w:lang w:val="en-US"/>
        </w:rPr>
        <w:t xml:space="preserve"> with technology </w:t>
      </w:r>
      <w:r w:rsidR="00953A00" w:rsidRPr="00DB1A07">
        <w:rPr>
          <w:lang w:val="en-US"/>
        </w:rPr>
        <w:t xml:space="preserve">could not be more </w:t>
      </w:r>
      <w:r w:rsidR="000F19C5" w:rsidRPr="00DB1A07">
        <w:rPr>
          <w:lang w:val="en-US"/>
        </w:rPr>
        <w:t xml:space="preserve">different. Computer-assisted translation is now standard practice and machine translation becomes ever more successful to the extent that it seems plausible to some that translators will devote most of their time to post-editing </w:t>
      </w:r>
      <w:proofErr w:type="gramStart"/>
      <w:r w:rsidR="000F19C5" w:rsidRPr="00DB1A07">
        <w:rPr>
          <w:lang w:val="en-US"/>
        </w:rPr>
        <w:t>in the near future</w:t>
      </w:r>
      <w:proofErr w:type="gramEnd"/>
      <w:r w:rsidR="000F19C5" w:rsidRPr="00DB1A07">
        <w:rPr>
          <w:lang w:val="en-US"/>
        </w:rPr>
        <w:t xml:space="preserve">. </w:t>
      </w:r>
      <w:r w:rsidR="006F1DF3" w:rsidRPr="00DB1A07">
        <w:rPr>
          <w:lang w:val="en-US"/>
        </w:rPr>
        <w:t xml:space="preserve">In interpreting, by contrast, </w:t>
      </w:r>
      <w:r w:rsidR="00C21FD0" w:rsidRPr="00DB1A07">
        <w:rPr>
          <w:lang w:val="en-US"/>
        </w:rPr>
        <w:t xml:space="preserve">technological support is scarce, except </w:t>
      </w:r>
      <w:r w:rsidR="00414482">
        <w:rPr>
          <w:lang w:val="en-US"/>
        </w:rPr>
        <w:t>for electronic devices used for terminolog</w:t>
      </w:r>
      <w:r w:rsidR="00824A61">
        <w:rPr>
          <w:lang w:val="en-US"/>
        </w:rPr>
        <w:t>y</w:t>
      </w:r>
      <w:r w:rsidR="00414482">
        <w:rPr>
          <w:lang w:val="en-US"/>
        </w:rPr>
        <w:t xml:space="preserve"> support</w:t>
      </w:r>
      <w:r w:rsidR="00C21FD0" w:rsidRPr="00DB1A07">
        <w:rPr>
          <w:lang w:val="en-US"/>
        </w:rPr>
        <w:t xml:space="preserve"> </w:t>
      </w:r>
      <w:r w:rsidR="00056F5B">
        <w:rPr>
          <w:lang w:val="en-US"/>
        </w:rPr>
        <w:t xml:space="preserve">in the booth </w:t>
      </w:r>
      <w:r w:rsidR="0027401B" w:rsidRPr="00DB1A07">
        <w:rPr>
          <w:lang w:val="en-US"/>
        </w:rPr>
        <w:t>(</w:t>
      </w:r>
      <w:proofErr w:type="spellStart"/>
      <w:r w:rsidR="007356CA">
        <w:rPr>
          <w:lang w:val="en-US"/>
        </w:rPr>
        <w:t>Fantinuoli</w:t>
      </w:r>
      <w:proofErr w:type="spellEnd"/>
      <w:r w:rsidR="007356CA">
        <w:rPr>
          <w:lang w:val="en-US"/>
        </w:rPr>
        <w:t xml:space="preserve"> 2012</w:t>
      </w:r>
      <w:r w:rsidR="0027401B" w:rsidRPr="00DB1A07">
        <w:rPr>
          <w:lang w:val="en-US"/>
        </w:rPr>
        <w:t xml:space="preserve">) </w:t>
      </w:r>
      <w:r w:rsidR="00C21FD0" w:rsidRPr="00DB1A07">
        <w:rPr>
          <w:lang w:val="en-US"/>
        </w:rPr>
        <w:t xml:space="preserve">or </w:t>
      </w:r>
      <w:r w:rsidR="00DE3ECA">
        <w:rPr>
          <w:lang w:val="en-US"/>
        </w:rPr>
        <w:t>for</w:t>
      </w:r>
      <w:r w:rsidR="00A54407">
        <w:rPr>
          <w:lang w:val="en-US"/>
        </w:rPr>
        <w:t xml:space="preserve"> tak</w:t>
      </w:r>
      <w:r w:rsidR="00DE3ECA">
        <w:rPr>
          <w:lang w:val="en-US"/>
        </w:rPr>
        <w:t>ing</w:t>
      </w:r>
      <w:r w:rsidR="00A54407">
        <w:rPr>
          <w:lang w:val="en-US"/>
        </w:rPr>
        <w:t xml:space="preserve"> notes</w:t>
      </w:r>
      <w:r w:rsidR="00C21FD0" w:rsidRPr="00DB1A07">
        <w:rPr>
          <w:lang w:val="en-US"/>
        </w:rPr>
        <w:t xml:space="preserve"> in consecutive interpreting</w:t>
      </w:r>
      <w:r w:rsidR="00A54407">
        <w:rPr>
          <w:lang w:val="en-US"/>
        </w:rPr>
        <w:t xml:space="preserve"> and hybrid modes </w:t>
      </w:r>
      <w:r w:rsidR="00A54407" w:rsidRPr="00DB1A07">
        <w:rPr>
          <w:lang w:val="en-US"/>
        </w:rPr>
        <w:t>(</w:t>
      </w:r>
      <w:r w:rsidR="00A54407" w:rsidRPr="00524A1C">
        <w:rPr>
          <w:lang w:val="en-US"/>
        </w:rPr>
        <w:t>Orlando</w:t>
      </w:r>
      <w:r w:rsidR="00A54407">
        <w:rPr>
          <w:lang w:val="en-US"/>
        </w:rPr>
        <w:t xml:space="preserve"> 2014,</w:t>
      </w:r>
      <w:r w:rsidR="00C509A9">
        <w:rPr>
          <w:lang w:val="en-US"/>
        </w:rPr>
        <w:t xml:space="preserve"> </w:t>
      </w:r>
      <w:r w:rsidR="00AF7D32">
        <w:rPr>
          <w:lang w:val="en-US"/>
        </w:rPr>
        <w:t>2</w:t>
      </w:r>
      <w:r w:rsidR="00C509A9" w:rsidRPr="006F28CC">
        <w:rPr>
          <w:lang w:val="en-US"/>
        </w:rPr>
        <w:t>016,</w:t>
      </w:r>
      <w:r w:rsidR="00A54407" w:rsidRPr="006F28CC">
        <w:rPr>
          <w:lang w:val="en-US"/>
        </w:rPr>
        <w:t xml:space="preserve"> </w:t>
      </w:r>
      <w:r w:rsidR="00C509A9" w:rsidRPr="006F28CC">
        <w:rPr>
          <w:lang w:val="en-US"/>
        </w:rPr>
        <w:t>Goldsmith 2017</w:t>
      </w:r>
      <w:r w:rsidR="00A54407" w:rsidRPr="00DB1A07">
        <w:rPr>
          <w:lang w:val="en-US"/>
        </w:rPr>
        <w:t>)</w:t>
      </w:r>
      <w:r w:rsidR="00C21FD0" w:rsidRPr="00DB1A07">
        <w:rPr>
          <w:lang w:val="en-US"/>
        </w:rPr>
        <w:t xml:space="preserve">. </w:t>
      </w:r>
      <w:r w:rsidR="00070CD1" w:rsidRPr="00DB1A07">
        <w:rPr>
          <w:lang w:val="en-US"/>
        </w:rPr>
        <w:t>There are a good number o</w:t>
      </w:r>
      <w:r w:rsidR="00EE0122" w:rsidRPr="00DB1A07">
        <w:rPr>
          <w:lang w:val="en-US"/>
        </w:rPr>
        <w:t xml:space="preserve">f reasons for this discrepancy. First, </w:t>
      </w:r>
      <w:proofErr w:type="gramStart"/>
      <w:r w:rsidR="006E2DA9" w:rsidRPr="00DB1A07">
        <w:rPr>
          <w:lang w:val="en-US"/>
        </w:rPr>
        <w:t>in the area of</w:t>
      </w:r>
      <w:proofErr w:type="gramEnd"/>
      <w:r w:rsidR="006E2DA9" w:rsidRPr="00DB1A07">
        <w:rPr>
          <w:lang w:val="en-US"/>
        </w:rPr>
        <w:t xml:space="preserve"> interpreting, technology and, in particular, natural language technologies are far less developed than in the area of translation. In fact, </w:t>
      </w:r>
      <w:r w:rsidR="00E96EA7" w:rsidRPr="00DB1A07">
        <w:rPr>
          <w:lang w:val="en-US"/>
        </w:rPr>
        <w:t>automated interpreting</w:t>
      </w:r>
      <w:r w:rsidR="00C810BA" w:rsidRPr="00DB1A07">
        <w:rPr>
          <w:lang w:val="en-US"/>
        </w:rPr>
        <w:t xml:space="preserve"> </w:t>
      </w:r>
      <w:r w:rsidR="006E2DA9" w:rsidRPr="00DB1A07">
        <w:rPr>
          <w:lang w:val="en-US"/>
        </w:rPr>
        <w:t>systems that are claimed to be effective (</w:t>
      </w:r>
      <w:r w:rsidR="00C615E6">
        <w:rPr>
          <w:lang w:val="en-US"/>
        </w:rPr>
        <w:t xml:space="preserve">such as the </w:t>
      </w:r>
      <w:r w:rsidR="006E2DA9" w:rsidRPr="00DB1A07">
        <w:rPr>
          <w:lang w:val="en-US"/>
        </w:rPr>
        <w:t>Google</w:t>
      </w:r>
      <w:r w:rsidR="00922DD3" w:rsidRPr="00DB1A07">
        <w:rPr>
          <w:lang w:val="en-US"/>
        </w:rPr>
        <w:t xml:space="preserve"> Pixel Buds) </w:t>
      </w:r>
      <w:r w:rsidR="00E96EA7" w:rsidRPr="00DB1A07">
        <w:rPr>
          <w:lang w:val="en-US"/>
        </w:rPr>
        <w:t xml:space="preserve">first </w:t>
      </w:r>
      <w:r w:rsidR="00922DD3" w:rsidRPr="00DB1A07">
        <w:rPr>
          <w:lang w:val="en-US"/>
        </w:rPr>
        <w:t xml:space="preserve">transform spoken language into </w:t>
      </w:r>
      <w:r w:rsidR="002F24E1" w:rsidRPr="00DB1A07">
        <w:rPr>
          <w:lang w:val="en-US"/>
        </w:rPr>
        <w:t>some form of</w:t>
      </w:r>
      <w:r w:rsidR="00922DD3" w:rsidRPr="00DB1A07">
        <w:rPr>
          <w:lang w:val="en-US"/>
        </w:rPr>
        <w:t xml:space="preserve"> written </w:t>
      </w:r>
      <w:r w:rsidR="00DC65C4">
        <w:rPr>
          <w:lang w:val="en-US"/>
        </w:rPr>
        <w:t xml:space="preserve">or digital </w:t>
      </w:r>
      <w:r w:rsidR="00922DD3" w:rsidRPr="00DB1A07">
        <w:rPr>
          <w:lang w:val="en-US"/>
        </w:rPr>
        <w:t>code before translating it and conve</w:t>
      </w:r>
      <w:r w:rsidR="001360D2" w:rsidRPr="00DB1A07">
        <w:rPr>
          <w:lang w:val="en-US"/>
        </w:rPr>
        <w:t xml:space="preserve">rting it back to a spoken form. </w:t>
      </w:r>
      <w:r w:rsidR="00D327EC" w:rsidRPr="00DB1A07">
        <w:rPr>
          <w:lang w:val="en-US"/>
        </w:rPr>
        <w:t>A</w:t>
      </w:r>
      <w:r w:rsidR="001360D2" w:rsidRPr="00DB1A07">
        <w:rPr>
          <w:lang w:val="en-US"/>
        </w:rPr>
        <w:t>utoma</w:t>
      </w:r>
      <w:r w:rsidR="00230F75" w:rsidRPr="00DB1A07">
        <w:rPr>
          <w:lang w:val="en-US"/>
        </w:rPr>
        <w:t>tic interpreting</w:t>
      </w:r>
      <w:r w:rsidR="00D327EC" w:rsidRPr="00DB1A07">
        <w:rPr>
          <w:lang w:val="en-US"/>
        </w:rPr>
        <w:t xml:space="preserve"> therefore</w:t>
      </w:r>
      <w:r w:rsidR="00230F75" w:rsidRPr="00DB1A07">
        <w:rPr>
          <w:lang w:val="en-US"/>
        </w:rPr>
        <w:t xml:space="preserve"> </w:t>
      </w:r>
      <w:r w:rsidR="001360D2" w:rsidRPr="00DB1A07">
        <w:rPr>
          <w:lang w:val="en-US"/>
        </w:rPr>
        <w:t>depends on advances made on the translation front</w:t>
      </w:r>
      <w:r w:rsidR="00D327EC" w:rsidRPr="00DB1A07">
        <w:rPr>
          <w:lang w:val="en-US"/>
        </w:rPr>
        <w:t xml:space="preserve"> and </w:t>
      </w:r>
      <w:r w:rsidR="000C0FEB" w:rsidRPr="00DB1A07">
        <w:rPr>
          <w:lang w:val="en-US"/>
        </w:rPr>
        <w:t>on the availability of accurate speech-to-text and text-to-speech software</w:t>
      </w:r>
      <w:r w:rsidR="001360D2" w:rsidRPr="00DB1A07">
        <w:rPr>
          <w:lang w:val="en-US"/>
        </w:rPr>
        <w:t xml:space="preserve">. </w:t>
      </w:r>
      <w:r w:rsidR="002F24E1" w:rsidRPr="00DB1A07">
        <w:rPr>
          <w:lang w:val="en-US"/>
        </w:rPr>
        <w:t>Second, it is well known that spoken language does not come in nicely</w:t>
      </w:r>
      <w:r w:rsidR="002F24E1">
        <w:rPr>
          <w:lang w:val="en-US"/>
        </w:rPr>
        <w:t xml:space="preserve"> packed g</w:t>
      </w:r>
      <w:r w:rsidR="005D61F0">
        <w:rPr>
          <w:lang w:val="en-US"/>
        </w:rPr>
        <w:t>rammatical sentences but is rife</w:t>
      </w:r>
      <w:r w:rsidR="002F24E1">
        <w:rPr>
          <w:lang w:val="en-US"/>
        </w:rPr>
        <w:t xml:space="preserve"> with hesitations, unfinished sequences, repairs, etc. </w:t>
      </w:r>
      <w:r w:rsidR="00AB05C2">
        <w:rPr>
          <w:lang w:val="en-US"/>
        </w:rPr>
        <w:t xml:space="preserve">which are much harder for an automatic translation system to handle than for a human brain. </w:t>
      </w:r>
      <w:r w:rsidR="0035430F">
        <w:rPr>
          <w:lang w:val="en-US"/>
        </w:rPr>
        <w:t>Replacing the</w:t>
      </w:r>
      <w:r w:rsidR="000F65DB">
        <w:rPr>
          <w:lang w:val="en-US"/>
        </w:rPr>
        <w:t xml:space="preserve"> human</w:t>
      </w:r>
      <w:r w:rsidR="0035430F">
        <w:rPr>
          <w:lang w:val="en-US"/>
        </w:rPr>
        <w:t xml:space="preserve"> interpreter</w:t>
      </w:r>
      <w:r w:rsidR="000F65DB">
        <w:rPr>
          <w:lang w:val="en-US"/>
        </w:rPr>
        <w:t xml:space="preserve"> with a</w:t>
      </w:r>
      <w:r w:rsidR="000C0FEB">
        <w:rPr>
          <w:lang w:val="en-US"/>
        </w:rPr>
        <w:t xml:space="preserve"> reliable</w:t>
      </w:r>
      <w:r w:rsidR="000F65DB">
        <w:rPr>
          <w:lang w:val="en-US"/>
        </w:rPr>
        <w:t xml:space="preserve"> automatic one will require </w:t>
      </w:r>
      <w:r w:rsidR="00350A6D">
        <w:rPr>
          <w:lang w:val="en-US"/>
        </w:rPr>
        <w:t xml:space="preserve">additional progress </w:t>
      </w:r>
      <w:r w:rsidR="00207D1D">
        <w:rPr>
          <w:lang w:val="en-US"/>
        </w:rPr>
        <w:t xml:space="preserve">in the analysis of human language in context. </w:t>
      </w:r>
      <w:r w:rsidR="00F1567C">
        <w:rPr>
          <w:lang w:val="en-US"/>
        </w:rPr>
        <w:t>Finally</w:t>
      </w:r>
      <w:r w:rsidR="00DC5B62">
        <w:rPr>
          <w:lang w:val="en-US"/>
        </w:rPr>
        <w:t xml:space="preserve">, </w:t>
      </w:r>
      <w:r w:rsidR="00B41901">
        <w:rPr>
          <w:lang w:val="en-US"/>
        </w:rPr>
        <w:t>even technology-</w:t>
      </w:r>
      <w:r w:rsidR="00FA011A">
        <w:rPr>
          <w:lang w:val="en-US"/>
        </w:rPr>
        <w:t xml:space="preserve">supported </w:t>
      </w:r>
      <w:r w:rsidR="00FF76CB">
        <w:rPr>
          <w:lang w:val="en-US"/>
        </w:rPr>
        <w:t xml:space="preserve">human </w:t>
      </w:r>
      <w:r w:rsidR="00FA011A">
        <w:rPr>
          <w:lang w:val="en-US"/>
        </w:rPr>
        <w:t xml:space="preserve">interpreting </w:t>
      </w:r>
      <w:r w:rsidR="00663642">
        <w:rPr>
          <w:lang w:val="en-US"/>
        </w:rPr>
        <w:t xml:space="preserve">is slow in developing, as </w:t>
      </w:r>
      <w:r w:rsidR="00532ECB">
        <w:rPr>
          <w:lang w:val="en-US"/>
        </w:rPr>
        <w:t xml:space="preserve">there is little agreement among scholars on the question whether additional sources of information in the booth are </w:t>
      </w:r>
      <w:proofErr w:type="gramStart"/>
      <w:r w:rsidR="00532ECB">
        <w:rPr>
          <w:lang w:val="en-US"/>
        </w:rPr>
        <w:t>really helpful</w:t>
      </w:r>
      <w:proofErr w:type="gramEnd"/>
      <w:r w:rsidR="00532ECB">
        <w:rPr>
          <w:lang w:val="en-US"/>
        </w:rPr>
        <w:t xml:space="preserve"> or rather distract the interpreter</w:t>
      </w:r>
      <w:r w:rsidR="00231A2B">
        <w:rPr>
          <w:lang w:val="en-US"/>
        </w:rPr>
        <w:t xml:space="preserve">. There is </w:t>
      </w:r>
      <w:r w:rsidR="00780BF9">
        <w:rPr>
          <w:lang w:val="en-US"/>
        </w:rPr>
        <w:t xml:space="preserve">also </w:t>
      </w:r>
      <w:r w:rsidR="00231A2B">
        <w:rPr>
          <w:lang w:val="en-US"/>
        </w:rPr>
        <w:t xml:space="preserve">evidence of a certain aversion </w:t>
      </w:r>
      <w:r w:rsidR="00C615E6">
        <w:rPr>
          <w:lang w:val="en-US"/>
        </w:rPr>
        <w:t>to</w:t>
      </w:r>
      <w:r w:rsidR="00231A2B">
        <w:rPr>
          <w:lang w:val="en-US"/>
        </w:rPr>
        <w:t xml:space="preserve"> technology among interpreters (</w:t>
      </w:r>
      <w:proofErr w:type="spellStart"/>
      <w:r w:rsidR="00231A2B">
        <w:rPr>
          <w:lang w:val="en-US"/>
        </w:rPr>
        <w:t>Corpas</w:t>
      </w:r>
      <w:proofErr w:type="spellEnd"/>
      <w:r w:rsidR="00231A2B">
        <w:rPr>
          <w:lang w:val="en-US"/>
        </w:rPr>
        <w:t xml:space="preserve"> Pastor &amp; Fern 2016)</w:t>
      </w:r>
      <w:r w:rsidR="00C310A0">
        <w:rPr>
          <w:lang w:val="en-US"/>
        </w:rPr>
        <w:t xml:space="preserve">, which is likely to delay the adoption </w:t>
      </w:r>
      <w:r w:rsidR="00435FC3">
        <w:rPr>
          <w:lang w:val="en-US"/>
        </w:rPr>
        <w:t xml:space="preserve">and use </w:t>
      </w:r>
      <w:r w:rsidR="00C310A0">
        <w:rPr>
          <w:lang w:val="en-US"/>
        </w:rPr>
        <w:t>of technological support for some time</w:t>
      </w:r>
      <w:r w:rsidR="00532ECB">
        <w:rPr>
          <w:lang w:val="en-US"/>
        </w:rPr>
        <w:t xml:space="preserve">. </w:t>
      </w:r>
    </w:p>
    <w:p w14:paraId="6FC3EF0F" w14:textId="33192F0F" w:rsidR="00AA333C" w:rsidRDefault="00F1567C" w:rsidP="00F60C45">
      <w:pPr>
        <w:rPr>
          <w:lang w:val="en-US"/>
        </w:rPr>
      </w:pPr>
      <w:r>
        <w:rPr>
          <w:lang w:val="en-US"/>
        </w:rPr>
        <w:t xml:space="preserve">The slow </w:t>
      </w:r>
      <w:r w:rsidR="0027401B">
        <w:rPr>
          <w:lang w:val="en-US"/>
        </w:rPr>
        <w:t xml:space="preserve">progress of technology in interpreting is not for lack of challenges. </w:t>
      </w:r>
      <w:r w:rsidR="002E15AD">
        <w:rPr>
          <w:lang w:val="en-US"/>
        </w:rPr>
        <w:t xml:space="preserve">Simultaneous interpreting is a cognitively demanding task </w:t>
      </w:r>
      <w:r w:rsidR="001B5B66">
        <w:rPr>
          <w:lang w:val="en-US"/>
        </w:rPr>
        <w:t xml:space="preserve">consisting of a variety of processing tasks which </w:t>
      </w:r>
      <w:proofErr w:type="gramStart"/>
      <w:r w:rsidR="001B5B66">
        <w:rPr>
          <w:lang w:val="en-US"/>
        </w:rPr>
        <w:t>have to</w:t>
      </w:r>
      <w:proofErr w:type="gramEnd"/>
      <w:r w:rsidR="001B5B66">
        <w:rPr>
          <w:lang w:val="en-US"/>
        </w:rPr>
        <w:t xml:space="preserve"> be carried out in parallel</w:t>
      </w:r>
      <w:r w:rsidR="009350A4">
        <w:rPr>
          <w:lang w:val="en-US"/>
        </w:rPr>
        <w:t xml:space="preserve"> (</w:t>
      </w:r>
      <w:proofErr w:type="spellStart"/>
      <w:r w:rsidR="009350A4" w:rsidRPr="00F47E3C">
        <w:rPr>
          <w:lang w:val="en-US"/>
        </w:rPr>
        <w:t>Gile</w:t>
      </w:r>
      <w:proofErr w:type="spellEnd"/>
      <w:r w:rsidR="009350A4" w:rsidRPr="00F47E3C">
        <w:rPr>
          <w:lang w:val="en-US"/>
        </w:rPr>
        <w:t xml:space="preserve"> 1995; </w:t>
      </w:r>
      <w:proofErr w:type="spellStart"/>
      <w:r w:rsidR="009350A4" w:rsidRPr="00F47E3C">
        <w:rPr>
          <w:lang w:val="en-US"/>
        </w:rPr>
        <w:t>Seeber</w:t>
      </w:r>
      <w:proofErr w:type="spellEnd"/>
      <w:r w:rsidR="009350A4" w:rsidRPr="00F47E3C">
        <w:rPr>
          <w:lang w:val="en-US"/>
        </w:rPr>
        <w:t xml:space="preserve"> 2011</w:t>
      </w:r>
      <w:r w:rsidR="009350A4">
        <w:rPr>
          <w:lang w:val="en-US"/>
        </w:rPr>
        <w:t>)</w:t>
      </w:r>
      <w:r w:rsidR="001B5B66">
        <w:rPr>
          <w:lang w:val="en-US"/>
        </w:rPr>
        <w:t xml:space="preserve">. </w:t>
      </w:r>
      <w:r w:rsidR="005763D7">
        <w:rPr>
          <w:lang w:val="en-US"/>
        </w:rPr>
        <w:t>Some sub-tasks are felt by most interpreters to be particularly challenging: the interpretation of numbers, of names, of enumerations, etc.</w:t>
      </w:r>
      <w:r w:rsidR="009350A4">
        <w:rPr>
          <w:lang w:val="en-US"/>
        </w:rPr>
        <w:t xml:space="preserve"> (</w:t>
      </w:r>
      <w:proofErr w:type="spellStart"/>
      <w:r w:rsidR="009350A4">
        <w:rPr>
          <w:lang w:val="en-US"/>
        </w:rPr>
        <w:t>Gile</w:t>
      </w:r>
      <w:proofErr w:type="spellEnd"/>
      <w:r w:rsidR="009350A4">
        <w:rPr>
          <w:lang w:val="en-US"/>
        </w:rPr>
        <w:t xml:space="preserve"> 2009</w:t>
      </w:r>
      <w:r w:rsidR="00F47E3C">
        <w:rPr>
          <w:lang w:val="en-US"/>
        </w:rPr>
        <w:t>).</w:t>
      </w:r>
      <w:r w:rsidR="009350A4">
        <w:rPr>
          <w:lang w:val="en-US"/>
        </w:rPr>
        <w:t xml:space="preserve"> </w:t>
      </w:r>
      <w:r w:rsidR="009B0E2E">
        <w:rPr>
          <w:lang w:val="en-US"/>
        </w:rPr>
        <w:t>T</w:t>
      </w:r>
      <w:r w:rsidR="002E3082">
        <w:rPr>
          <w:lang w:val="en-US"/>
        </w:rPr>
        <w:t>his paper will focus</w:t>
      </w:r>
      <w:r w:rsidR="00FE6F88">
        <w:rPr>
          <w:lang w:val="en-US"/>
        </w:rPr>
        <w:t xml:space="preserve"> on numbers and on the effects of (simulated) technological support for the interpretation of numbers.</w:t>
      </w:r>
      <w:r w:rsidR="00AA333C">
        <w:rPr>
          <w:lang w:val="en-US"/>
        </w:rPr>
        <w:t xml:space="preserve"> The main</w:t>
      </w:r>
      <w:r w:rsidR="00F359D4">
        <w:rPr>
          <w:lang w:val="en-US"/>
        </w:rPr>
        <w:t xml:space="preserve"> research</w:t>
      </w:r>
      <w:r w:rsidR="00AA333C">
        <w:rPr>
          <w:lang w:val="en-US"/>
        </w:rPr>
        <w:t xml:space="preserve"> question is whether displaying numbers on a screen in the conference room, immediately after they are articulated by the speaker, increases the accuracy of numbers in the target text. </w:t>
      </w:r>
      <w:r w:rsidR="00F60C45">
        <w:rPr>
          <w:lang w:val="en-US"/>
        </w:rPr>
        <w:t>This experimental pilot study</w:t>
      </w:r>
      <w:r w:rsidR="00AA333C">
        <w:rPr>
          <w:lang w:val="en-US"/>
        </w:rPr>
        <w:t xml:space="preserve"> thus aim</w:t>
      </w:r>
      <w:r w:rsidR="00F60C45">
        <w:rPr>
          <w:lang w:val="en-US"/>
        </w:rPr>
        <w:t>s</w:t>
      </w:r>
      <w:r w:rsidR="00AA333C">
        <w:rPr>
          <w:lang w:val="en-US"/>
        </w:rPr>
        <w:t xml:space="preserve"> </w:t>
      </w:r>
      <w:r w:rsidR="00F60C45">
        <w:rPr>
          <w:lang w:val="en-US"/>
        </w:rPr>
        <w:t>to determine</w:t>
      </w:r>
      <w:r w:rsidR="00AA333C">
        <w:rPr>
          <w:lang w:val="en-US"/>
        </w:rPr>
        <w:t xml:space="preserve"> if limited technological support, which </w:t>
      </w:r>
      <w:r w:rsidR="007E768D">
        <w:rPr>
          <w:lang w:val="en-US"/>
        </w:rPr>
        <w:t>would consist of automatic number recognition in the source text and the display of a numerical transcription</w:t>
      </w:r>
      <w:r w:rsidR="00AA333C">
        <w:rPr>
          <w:lang w:val="en-US"/>
        </w:rPr>
        <w:t>, is at all helpful in interpreting.</w:t>
      </w:r>
    </w:p>
    <w:p w14:paraId="693FC5D9" w14:textId="323E5218" w:rsidR="00AB05C2" w:rsidRDefault="00FF6090" w:rsidP="002200B1">
      <w:pPr>
        <w:pStyle w:val="Heading2"/>
        <w:numPr>
          <w:ilvl w:val="0"/>
          <w:numId w:val="5"/>
        </w:numPr>
        <w:rPr>
          <w:lang w:val="en-US"/>
        </w:rPr>
      </w:pPr>
      <w:r>
        <w:rPr>
          <w:lang w:val="en-US"/>
        </w:rPr>
        <w:t>Numbers in interpreting</w:t>
      </w:r>
    </w:p>
    <w:p w14:paraId="4E9606D3" w14:textId="08169757" w:rsidR="0015348A" w:rsidRDefault="00B85ABE">
      <w:pPr>
        <w:rPr>
          <w:lang w:val="en-US"/>
        </w:rPr>
      </w:pPr>
      <w:r>
        <w:rPr>
          <w:lang w:val="en-US"/>
        </w:rPr>
        <w:t>There is a very broad consensus among interpreters that numbers are particularly difficult to interpret. Yet, research on the topic of interpr</w:t>
      </w:r>
      <w:r w:rsidR="00894445">
        <w:rPr>
          <w:lang w:val="en-US"/>
        </w:rPr>
        <w:t>eting numbers is rather limited (</w:t>
      </w:r>
      <w:r w:rsidR="0009028F">
        <w:rPr>
          <w:lang w:val="en-US"/>
        </w:rPr>
        <w:t xml:space="preserve">Mead </w:t>
      </w:r>
      <w:r w:rsidR="00781243" w:rsidRPr="00524A1C">
        <w:rPr>
          <w:lang w:val="en-US"/>
        </w:rPr>
        <w:t>2015:287)</w:t>
      </w:r>
      <w:r w:rsidR="00894445">
        <w:rPr>
          <w:lang w:val="en-US"/>
        </w:rPr>
        <w:t xml:space="preserve">. </w:t>
      </w:r>
      <w:r w:rsidR="00B71B7A">
        <w:rPr>
          <w:lang w:val="en-US"/>
        </w:rPr>
        <w:t>Starting with Braun</w:t>
      </w:r>
      <w:r w:rsidR="004653D0">
        <w:rPr>
          <w:lang w:val="en-US"/>
        </w:rPr>
        <w:t xml:space="preserve"> &amp; </w:t>
      </w:r>
      <w:proofErr w:type="spellStart"/>
      <w:r w:rsidR="004653D0">
        <w:rPr>
          <w:lang w:val="en-US"/>
        </w:rPr>
        <w:t>Clarici</w:t>
      </w:r>
      <w:proofErr w:type="spellEnd"/>
      <w:r w:rsidR="004653D0">
        <w:rPr>
          <w:lang w:val="en-US"/>
        </w:rPr>
        <w:t xml:space="preserve"> (1996)</w:t>
      </w:r>
      <w:r w:rsidR="00B71B7A">
        <w:rPr>
          <w:lang w:val="en-US"/>
        </w:rPr>
        <w:t xml:space="preserve">, </w:t>
      </w:r>
      <w:r w:rsidR="00B41B42">
        <w:rPr>
          <w:lang w:val="en-US"/>
        </w:rPr>
        <w:t xml:space="preserve">several </w:t>
      </w:r>
      <w:r w:rsidR="00B71B7A">
        <w:rPr>
          <w:lang w:val="en-US"/>
        </w:rPr>
        <w:t>experimental studies have been c</w:t>
      </w:r>
      <w:r w:rsidR="00B41B42">
        <w:rPr>
          <w:lang w:val="en-US"/>
        </w:rPr>
        <w:t xml:space="preserve">onducted on the success rate of number </w:t>
      </w:r>
      <w:r w:rsidR="00DA4404">
        <w:rPr>
          <w:lang w:val="en-US"/>
        </w:rPr>
        <w:t xml:space="preserve">rendition in </w:t>
      </w:r>
      <w:r w:rsidR="00B41B42">
        <w:rPr>
          <w:lang w:val="en-US"/>
        </w:rPr>
        <w:t xml:space="preserve">interpreting, showing that overall performance is relatively poor, </w:t>
      </w:r>
      <w:r w:rsidR="00B41B42">
        <w:rPr>
          <w:lang w:val="en-US"/>
        </w:rPr>
        <w:lastRenderedPageBreak/>
        <w:t xml:space="preserve">both in professionals and in student interpreters. </w:t>
      </w:r>
      <w:r w:rsidR="004653D0">
        <w:rPr>
          <w:lang w:val="en-US"/>
        </w:rPr>
        <w:t xml:space="preserve">In Braun &amp; </w:t>
      </w:r>
      <w:proofErr w:type="spellStart"/>
      <w:r w:rsidR="004653D0">
        <w:rPr>
          <w:lang w:val="en-US"/>
        </w:rPr>
        <w:t>Clarici</w:t>
      </w:r>
      <w:proofErr w:type="spellEnd"/>
      <w:r w:rsidR="004653D0">
        <w:rPr>
          <w:lang w:val="en-US"/>
        </w:rPr>
        <w:t xml:space="preserve"> (1996), for i</w:t>
      </w:r>
      <w:r w:rsidR="00193FBA">
        <w:rPr>
          <w:lang w:val="en-US"/>
        </w:rPr>
        <w:t>nstance, 12 students obtained a</w:t>
      </w:r>
      <w:r w:rsidR="004653D0">
        <w:rPr>
          <w:lang w:val="en-US"/>
        </w:rPr>
        <w:t xml:space="preserve"> mean error score of close to 70% while simultaneously interpreting numbers contained in speeches. </w:t>
      </w:r>
      <w:proofErr w:type="spellStart"/>
      <w:r w:rsidR="004653D0">
        <w:rPr>
          <w:lang w:val="en-US"/>
        </w:rPr>
        <w:t>Mazza</w:t>
      </w:r>
      <w:proofErr w:type="spellEnd"/>
      <w:r w:rsidR="004653D0">
        <w:rPr>
          <w:lang w:val="en-US"/>
        </w:rPr>
        <w:t xml:space="preserve"> (2001) reports slightly better performances by 15 students, but </w:t>
      </w:r>
      <w:r w:rsidR="00DA71FF">
        <w:rPr>
          <w:lang w:val="en-US"/>
        </w:rPr>
        <w:t xml:space="preserve">the mean error rate in her study is still in the 45-50% range. </w:t>
      </w:r>
      <w:r w:rsidR="0015348A">
        <w:rPr>
          <w:lang w:val="en-US"/>
        </w:rPr>
        <w:t xml:space="preserve">The findings of </w:t>
      </w:r>
      <w:proofErr w:type="spellStart"/>
      <w:r w:rsidR="0015348A">
        <w:rPr>
          <w:lang w:val="en-US"/>
        </w:rPr>
        <w:t>Pinochi</w:t>
      </w:r>
      <w:proofErr w:type="spellEnd"/>
      <w:r w:rsidR="0015348A">
        <w:rPr>
          <w:lang w:val="en-US"/>
        </w:rPr>
        <w:t xml:space="preserve"> (2009), based on interpretations by 16 students, are </w:t>
      </w:r>
      <w:proofErr w:type="gramStart"/>
      <w:r w:rsidR="0015348A">
        <w:rPr>
          <w:lang w:val="en-US"/>
        </w:rPr>
        <w:t>fairly consistent</w:t>
      </w:r>
      <w:proofErr w:type="gramEnd"/>
      <w:r w:rsidR="0015348A">
        <w:rPr>
          <w:lang w:val="en-US"/>
        </w:rPr>
        <w:t xml:space="preserve"> with </w:t>
      </w:r>
      <w:proofErr w:type="spellStart"/>
      <w:r w:rsidR="0015348A">
        <w:rPr>
          <w:lang w:val="en-US"/>
        </w:rPr>
        <w:t>Mazza’s</w:t>
      </w:r>
      <w:proofErr w:type="spellEnd"/>
      <w:r w:rsidR="0015348A">
        <w:rPr>
          <w:lang w:val="en-US"/>
        </w:rPr>
        <w:t xml:space="preserve"> result. </w:t>
      </w:r>
      <w:proofErr w:type="spellStart"/>
      <w:r w:rsidR="00AA7816">
        <w:rPr>
          <w:lang w:val="en-US"/>
        </w:rPr>
        <w:t>Pinochi</w:t>
      </w:r>
      <w:proofErr w:type="spellEnd"/>
      <w:r w:rsidR="00AA7816">
        <w:rPr>
          <w:lang w:val="en-US"/>
        </w:rPr>
        <w:t xml:space="preserve"> compares interpretations from two different source languages (English and German) into one target language and finds that error rates are nearly identical (app. 40%), even though interpreters </w:t>
      </w:r>
      <w:proofErr w:type="gramStart"/>
      <w:r w:rsidR="00AA7816">
        <w:rPr>
          <w:lang w:val="en-US"/>
        </w:rPr>
        <w:t>have to</w:t>
      </w:r>
      <w:proofErr w:type="gramEnd"/>
      <w:r w:rsidR="00AA7816">
        <w:rPr>
          <w:lang w:val="en-US"/>
        </w:rPr>
        <w:t xml:space="preserve"> overcome additional challenges due to differences in the syntax of numbers between German and Italian.</w:t>
      </w:r>
    </w:p>
    <w:p w14:paraId="6C90A331" w14:textId="00FE7D3C" w:rsidR="00FF6090" w:rsidRDefault="00595999" w:rsidP="00E22F82">
      <w:pPr>
        <w:rPr>
          <w:lang w:val="en-US"/>
        </w:rPr>
      </w:pPr>
      <w:proofErr w:type="spellStart"/>
      <w:r>
        <w:rPr>
          <w:lang w:val="en-US"/>
        </w:rPr>
        <w:t>Korpal</w:t>
      </w:r>
      <w:proofErr w:type="spellEnd"/>
      <w:r>
        <w:rPr>
          <w:lang w:val="en-US"/>
        </w:rPr>
        <w:t xml:space="preserve"> (2016) compares student performances with performances by professional interpreters for slow and fast delivery rates. He finds that, although professionals obtain lower error rates </w:t>
      </w:r>
      <w:r w:rsidR="00723476">
        <w:rPr>
          <w:lang w:val="en-US"/>
        </w:rPr>
        <w:t>than students, nearly 30% of numbers in the interpretation are either wrong or absent altogether in the slowe</w:t>
      </w:r>
      <w:r w:rsidR="00AE0938">
        <w:rPr>
          <w:lang w:val="en-US"/>
        </w:rPr>
        <w:t>r delivery rate</w:t>
      </w:r>
      <w:r w:rsidR="00723476">
        <w:rPr>
          <w:lang w:val="en-US"/>
        </w:rPr>
        <w:t xml:space="preserve">. The error rate jumps to 43% </w:t>
      </w:r>
      <w:r w:rsidR="00904A89">
        <w:rPr>
          <w:lang w:val="en-US"/>
        </w:rPr>
        <w:t xml:space="preserve">for </w:t>
      </w:r>
      <w:r w:rsidR="00723476">
        <w:rPr>
          <w:lang w:val="en-US"/>
        </w:rPr>
        <w:t xml:space="preserve">the highest delivery rate. Among students, error rates are in line with </w:t>
      </w:r>
      <w:proofErr w:type="spellStart"/>
      <w:r w:rsidR="00723476">
        <w:rPr>
          <w:lang w:val="en-US"/>
        </w:rPr>
        <w:t>Mazza’s</w:t>
      </w:r>
      <w:proofErr w:type="spellEnd"/>
      <w:r w:rsidR="00723476">
        <w:rPr>
          <w:lang w:val="en-US"/>
        </w:rPr>
        <w:t xml:space="preserve"> finding</w:t>
      </w:r>
      <w:r w:rsidR="009960A2">
        <w:rPr>
          <w:lang w:val="en-US"/>
        </w:rPr>
        <w:t>s</w:t>
      </w:r>
      <w:r w:rsidR="00723476">
        <w:rPr>
          <w:lang w:val="en-US"/>
        </w:rPr>
        <w:t xml:space="preserve">: 44% for the slow delivery rate and 56% for the fast one. </w:t>
      </w:r>
      <w:proofErr w:type="spellStart"/>
      <w:r w:rsidR="00BD41BF">
        <w:rPr>
          <w:lang w:val="en-US"/>
        </w:rPr>
        <w:t>Timarov</w:t>
      </w:r>
      <w:r w:rsidR="00C615E6">
        <w:rPr>
          <w:lang w:val="en-US"/>
        </w:rPr>
        <w:t>á</w:t>
      </w:r>
      <w:r w:rsidR="00BD41BF">
        <w:rPr>
          <w:lang w:val="en-US"/>
        </w:rPr>
        <w:t>’s</w:t>
      </w:r>
      <w:proofErr w:type="spellEnd"/>
      <w:r w:rsidR="00BD41BF">
        <w:rPr>
          <w:lang w:val="en-US"/>
        </w:rPr>
        <w:t xml:space="preserve"> </w:t>
      </w:r>
      <w:r w:rsidR="008C2C5E">
        <w:rPr>
          <w:lang w:val="en-US"/>
        </w:rPr>
        <w:t xml:space="preserve">experimental </w:t>
      </w:r>
      <w:r w:rsidR="00BD41BF">
        <w:rPr>
          <w:lang w:val="en-US"/>
        </w:rPr>
        <w:t>study of 28 professional interpreters yields an error rate for number</w:t>
      </w:r>
      <w:r w:rsidR="008C2C5E">
        <w:rPr>
          <w:lang w:val="en-US"/>
        </w:rPr>
        <w:t>s</w:t>
      </w:r>
      <w:r w:rsidR="00BD41BF">
        <w:rPr>
          <w:lang w:val="en-US"/>
        </w:rPr>
        <w:t xml:space="preserve"> of approximately 40% (</w:t>
      </w:r>
      <w:proofErr w:type="spellStart"/>
      <w:r w:rsidR="00BD41BF">
        <w:rPr>
          <w:lang w:val="en-US"/>
        </w:rPr>
        <w:t>Timarov</w:t>
      </w:r>
      <w:r w:rsidR="006B1DAE">
        <w:rPr>
          <w:lang w:val="en-US"/>
        </w:rPr>
        <w:t>á</w:t>
      </w:r>
      <w:proofErr w:type="spellEnd"/>
      <w:r w:rsidR="00BD41BF">
        <w:rPr>
          <w:lang w:val="en-US"/>
        </w:rPr>
        <w:t xml:space="preserve"> 2012). </w:t>
      </w:r>
      <w:r w:rsidR="003A2742">
        <w:rPr>
          <w:lang w:val="en-US"/>
        </w:rPr>
        <w:t xml:space="preserve">In a corpus study reported in Collard &amp; </w:t>
      </w:r>
      <w:proofErr w:type="spellStart"/>
      <w:r w:rsidR="003A2742">
        <w:rPr>
          <w:lang w:val="en-US"/>
        </w:rPr>
        <w:t>Defrancq</w:t>
      </w:r>
      <w:proofErr w:type="spellEnd"/>
      <w:r w:rsidR="003A2742">
        <w:rPr>
          <w:lang w:val="en-US"/>
        </w:rPr>
        <w:t xml:space="preserve"> (201</w:t>
      </w:r>
      <w:r w:rsidR="00F55CEC">
        <w:rPr>
          <w:lang w:val="en-US"/>
        </w:rPr>
        <w:t>7</w:t>
      </w:r>
      <w:r w:rsidR="003A2742">
        <w:rPr>
          <w:lang w:val="en-US"/>
        </w:rPr>
        <w:t>), error rates for numbers in interpretations colle</w:t>
      </w:r>
      <w:r w:rsidR="00FF4F54">
        <w:rPr>
          <w:lang w:val="en-US"/>
        </w:rPr>
        <w:t>cted in the European Parliament</w:t>
      </w:r>
      <w:r w:rsidR="003A2742">
        <w:rPr>
          <w:lang w:val="en-US"/>
        </w:rPr>
        <w:t xml:space="preserve"> </w:t>
      </w:r>
      <w:r w:rsidR="00667C5B">
        <w:rPr>
          <w:lang w:val="en-US"/>
        </w:rPr>
        <w:t>are</w:t>
      </w:r>
      <w:r w:rsidR="003A2742">
        <w:rPr>
          <w:lang w:val="en-US"/>
        </w:rPr>
        <w:t xml:space="preserve"> close to 18%. </w:t>
      </w:r>
      <w:r w:rsidR="00C957E2">
        <w:rPr>
          <w:lang w:val="en-US"/>
        </w:rPr>
        <w:t xml:space="preserve">One possible – but unverifiable – explanation for the </w:t>
      </w:r>
      <w:r w:rsidR="005F05E3">
        <w:rPr>
          <w:lang w:val="en-US"/>
        </w:rPr>
        <w:t xml:space="preserve">discrepancy between the experimental and the corpus results is the presence of a booth </w:t>
      </w:r>
      <w:r w:rsidR="00F70F1E">
        <w:rPr>
          <w:lang w:val="en-US"/>
        </w:rPr>
        <w:t>colleague who takes down the numbers for the interpreter ensuring the turn. The numbers can t</w:t>
      </w:r>
      <w:r w:rsidR="00FF4F54">
        <w:rPr>
          <w:lang w:val="en-US"/>
        </w:rPr>
        <w:t>hen simply be read off the note</w:t>
      </w:r>
      <w:r w:rsidR="00F70F1E">
        <w:rPr>
          <w:lang w:val="en-US"/>
        </w:rPr>
        <w:t>book. I</w:t>
      </w:r>
      <w:r w:rsidR="005F05E3">
        <w:rPr>
          <w:lang w:val="en-US"/>
        </w:rPr>
        <w:t>n an experimental setting, interpreters perform in isolation</w:t>
      </w:r>
      <w:r w:rsidR="00F70F1E">
        <w:rPr>
          <w:lang w:val="en-US"/>
        </w:rPr>
        <w:t>, and even though they are usually allowed</w:t>
      </w:r>
      <w:r w:rsidR="005F05E3">
        <w:rPr>
          <w:lang w:val="en-US"/>
        </w:rPr>
        <w:t xml:space="preserve"> to take down numbers</w:t>
      </w:r>
      <w:r w:rsidR="00F70F1E">
        <w:rPr>
          <w:lang w:val="en-US"/>
        </w:rPr>
        <w:t xml:space="preserve"> themselves, this is obviously more difficult than when assistance is provided by a colleague in the booth.</w:t>
      </w:r>
      <w:r w:rsidR="00C64E8D">
        <w:rPr>
          <w:lang w:val="en-US"/>
        </w:rPr>
        <w:t xml:space="preserve"> In any case, even in naturalistic data</w:t>
      </w:r>
      <w:r w:rsidR="00AA7816">
        <w:rPr>
          <w:lang w:val="en-US"/>
        </w:rPr>
        <w:t>,</w:t>
      </w:r>
      <w:r w:rsidR="00C64E8D">
        <w:rPr>
          <w:lang w:val="en-US"/>
        </w:rPr>
        <w:t xml:space="preserve"> clos</w:t>
      </w:r>
      <w:r w:rsidR="00691C81">
        <w:rPr>
          <w:lang w:val="en-US"/>
        </w:rPr>
        <w:t xml:space="preserve">e to one out of five numbers </w:t>
      </w:r>
      <w:r w:rsidR="00AA7816">
        <w:rPr>
          <w:lang w:val="en-US"/>
        </w:rPr>
        <w:t>of</w:t>
      </w:r>
      <w:r w:rsidR="00691C81">
        <w:rPr>
          <w:lang w:val="en-US"/>
        </w:rPr>
        <w:t xml:space="preserve"> the source text is rendered incorrectly or omitted in the target language.</w:t>
      </w:r>
      <w:r w:rsidR="007935EC">
        <w:rPr>
          <w:lang w:val="en-US"/>
        </w:rPr>
        <w:t xml:space="preserve"> Based on this</w:t>
      </w:r>
      <w:r w:rsidR="00E22F82">
        <w:rPr>
          <w:lang w:val="en-US"/>
        </w:rPr>
        <w:t>,</w:t>
      </w:r>
      <w:r w:rsidR="009216A1">
        <w:rPr>
          <w:lang w:val="en-US"/>
        </w:rPr>
        <w:t xml:space="preserve"> technological support could be helpful in the booth, </w:t>
      </w:r>
      <w:r w:rsidR="00E553C0">
        <w:rPr>
          <w:lang w:val="en-US"/>
        </w:rPr>
        <w:t>and it has the potential to reduce the number of errors and omissions.</w:t>
      </w:r>
    </w:p>
    <w:p w14:paraId="03D18724" w14:textId="44374CE8" w:rsidR="00EA2407" w:rsidRDefault="00C957E2" w:rsidP="00F02629">
      <w:pPr>
        <w:rPr>
          <w:rFonts w:ascii="Calibri" w:hAnsi="Calibri" w:cs="Calibri"/>
          <w:lang w:val="en-US"/>
        </w:rPr>
      </w:pPr>
      <w:r>
        <w:rPr>
          <w:lang w:val="en-US"/>
        </w:rPr>
        <w:t>Scholars have identified</w:t>
      </w:r>
      <w:r w:rsidR="00EA2407">
        <w:rPr>
          <w:lang w:val="en-US"/>
        </w:rPr>
        <w:t xml:space="preserve"> </w:t>
      </w:r>
      <w:r w:rsidR="00274693">
        <w:rPr>
          <w:lang w:val="en-US"/>
        </w:rPr>
        <w:t>several</w:t>
      </w:r>
      <w:r w:rsidR="00EA2407">
        <w:rPr>
          <w:lang w:val="en-US"/>
        </w:rPr>
        <w:t xml:space="preserve"> reasons why </w:t>
      </w:r>
      <w:r>
        <w:rPr>
          <w:lang w:val="en-US"/>
        </w:rPr>
        <w:t>inte</w:t>
      </w:r>
      <w:r w:rsidR="00E553C0">
        <w:rPr>
          <w:lang w:val="en-US"/>
        </w:rPr>
        <w:t xml:space="preserve">rpreting numbers is a challenge. </w:t>
      </w:r>
      <w:r w:rsidR="001D0DEA">
        <w:rPr>
          <w:rFonts w:ascii="Calibri" w:hAnsi="Calibri" w:cs="Calibri"/>
          <w:lang w:val="en-US"/>
        </w:rPr>
        <w:t>Numbers lack a conceptual representation</w:t>
      </w:r>
      <w:r w:rsidR="00F91076">
        <w:rPr>
          <w:rFonts w:ascii="Calibri" w:hAnsi="Calibri" w:cs="Calibri"/>
          <w:lang w:val="en-US"/>
        </w:rPr>
        <w:t xml:space="preserve"> </w:t>
      </w:r>
      <w:r w:rsidR="00FD4D66">
        <w:rPr>
          <w:rFonts w:ascii="Calibri" w:hAnsi="Calibri" w:cs="Calibri"/>
          <w:lang w:val="en-US"/>
        </w:rPr>
        <w:t>(</w:t>
      </w:r>
      <w:proofErr w:type="spellStart"/>
      <w:r w:rsidR="003E682E">
        <w:rPr>
          <w:rFonts w:ascii="Calibri" w:hAnsi="Calibri" w:cs="Calibri"/>
          <w:lang w:val="en-US"/>
        </w:rPr>
        <w:t>Timarov</w:t>
      </w:r>
      <w:r w:rsidR="00C615E6">
        <w:rPr>
          <w:rFonts w:ascii="Calibri" w:hAnsi="Calibri" w:cs="Calibri"/>
          <w:lang w:val="en-US"/>
        </w:rPr>
        <w:t>á</w:t>
      </w:r>
      <w:proofErr w:type="spellEnd"/>
      <w:r w:rsidR="003E682E">
        <w:rPr>
          <w:rFonts w:ascii="Calibri" w:hAnsi="Calibri" w:cs="Calibri"/>
          <w:lang w:val="en-US"/>
        </w:rPr>
        <w:t xml:space="preserve"> 2012; </w:t>
      </w:r>
      <w:proofErr w:type="spellStart"/>
      <w:r w:rsidR="00FD4D66">
        <w:rPr>
          <w:rFonts w:ascii="Calibri" w:hAnsi="Calibri" w:cs="Calibri"/>
          <w:lang w:val="en-US"/>
        </w:rPr>
        <w:t>Seeber</w:t>
      </w:r>
      <w:proofErr w:type="spellEnd"/>
      <w:r w:rsidR="00FD4D66">
        <w:rPr>
          <w:rFonts w:ascii="Calibri" w:hAnsi="Calibri" w:cs="Calibri"/>
          <w:lang w:val="en-US"/>
        </w:rPr>
        <w:t xml:space="preserve"> 2015) </w:t>
      </w:r>
      <w:r w:rsidR="00F91076">
        <w:rPr>
          <w:rFonts w:ascii="Calibri" w:hAnsi="Calibri" w:cs="Calibri"/>
          <w:lang w:val="en-US"/>
        </w:rPr>
        <w:t xml:space="preserve">and are, therefore, not embedded in a conceptual structure allowing interpreters to anticipate them. This lack of </w:t>
      </w:r>
      <w:r w:rsidR="00F82DAE">
        <w:rPr>
          <w:rFonts w:ascii="Calibri" w:hAnsi="Calibri" w:cs="Calibri"/>
          <w:lang w:val="en-US"/>
        </w:rPr>
        <w:t>predictability</w:t>
      </w:r>
      <w:r w:rsidR="00FD4D66">
        <w:rPr>
          <w:rFonts w:ascii="Calibri" w:hAnsi="Calibri" w:cs="Calibri"/>
          <w:lang w:val="en-US"/>
        </w:rPr>
        <w:t xml:space="preserve"> of numbers</w:t>
      </w:r>
      <w:r w:rsidR="00F91076">
        <w:rPr>
          <w:rFonts w:ascii="Calibri" w:hAnsi="Calibri" w:cs="Calibri"/>
          <w:lang w:val="en-US"/>
        </w:rPr>
        <w:t xml:space="preserve"> is widely </w:t>
      </w:r>
      <w:proofErr w:type="spellStart"/>
      <w:r w:rsidR="00F91076">
        <w:rPr>
          <w:rFonts w:ascii="Calibri" w:hAnsi="Calibri" w:cs="Calibri"/>
          <w:lang w:val="en-US"/>
        </w:rPr>
        <w:t>recognised</w:t>
      </w:r>
      <w:proofErr w:type="spellEnd"/>
      <w:r w:rsidR="00F91076">
        <w:rPr>
          <w:rFonts w:ascii="Calibri" w:hAnsi="Calibri" w:cs="Calibri"/>
          <w:lang w:val="en-US"/>
        </w:rPr>
        <w:t xml:space="preserve"> as an obstacle </w:t>
      </w:r>
      <w:r w:rsidR="00FD4D66">
        <w:rPr>
          <w:rFonts w:ascii="Calibri" w:hAnsi="Calibri" w:cs="Calibri"/>
          <w:lang w:val="en-US"/>
        </w:rPr>
        <w:t>to their interpretation</w:t>
      </w:r>
      <w:r w:rsidR="00F82DAE">
        <w:rPr>
          <w:rFonts w:ascii="Calibri" w:hAnsi="Calibri" w:cs="Calibri"/>
          <w:lang w:val="en-US"/>
        </w:rPr>
        <w:t xml:space="preserve"> (Braun &amp; </w:t>
      </w:r>
      <w:proofErr w:type="spellStart"/>
      <w:r w:rsidR="00F82DAE">
        <w:rPr>
          <w:rFonts w:ascii="Calibri" w:hAnsi="Calibri" w:cs="Calibri"/>
          <w:lang w:val="en-US"/>
        </w:rPr>
        <w:t>Clarici</w:t>
      </w:r>
      <w:proofErr w:type="spellEnd"/>
      <w:r w:rsidR="00F82DAE">
        <w:rPr>
          <w:rFonts w:ascii="Calibri" w:hAnsi="Calibri" w:cs="Calibri"/>
          <w:lang w:val="en-US"/>
        </w:rPr>
        <w:t xml:space="preserve"> 1996; </w:t>
      </w:r>
      <w:proofErr w:type="spellStart"/>
      <w:r w:rsidR="00F82DAE">
        <w:rPr>
          <w:rFonts w:ascii="Calibri" w:hAnsi="Calibri" w:cs="Calibri"/>
          <w:lang w:val="en-US"/>
        </w:rPr>
        <w:t>Mazza</w:t>
      </w:r>
      <w:proofErr w:type="spellEnd"/>
      <w:r w:rsidR="00F82DAE">
        <w:rPr>
          <w:rFonts w:ascii="Calibri" w:hAnsi="Calibri" w:cs="Calibri"/>
          <w:lang w:val="en-US"/>
        </w:rPr>
        <w:t xml:space="preserve"> 2001</w:t>
      </w:r>
      <w:r w:rsidR="00FD4D66">
        <w:rPr>
          <w:rFonts w:ascii="Calibri" w:hAnsi="Calibri" w:cs="Calibri"/>
          <w:lang w:val="en-US"/>
        </w:rPr>
        <w:t xml:space="preserve">; </w:t>
      </w:r>
      <w:proofErr w:type="spellStart"/>
      <w:r w:rsidR="006C6B53">
        <w:rPr>
          <w:rFonts w:ascii="Calibri" w:hAnsi="Calibri" w:cs="Calibri"/>
          <w:lang w:val="en-US"/>
        </w:rPr>
        <w:t>Pinochi</w:t>
      </w:r>
      <w:proofErr w:type="spellEnd"/>
      <w:r w:rsidR="006C6B53">
        <w:rPr>
          <w:rFonts w:ascii="Calibri" w:hAnsi="Calibri" w:cs="Calibri"/>
          <w:lang w:val="en-US"/>
        </w:rPr>
        <w:t xml:space="preserve"> 2009; </w:t>
      </w:r>
      <w:r w:rsidR="004A01FE">
        <w:rPr>
          <w:rFonts w:ascii="Calibri" w:hAnsi="Calibri" w:cs="Calibri"/>
          <w:lang w:val="en-US"/>
        </w:rPr>
        <w:t xml:space="preserve">Mead </w:t>
      </w:r>
      <w:r w:rsidR="00FD4D66">
        <w:rPr>
          <w:rFonts w:ascii="Calibri" w:hAnsi="Calibri" w:cs="Calibri"/>
          <w:lang w:val="en-US"/>
        </w:rPr>
        <w:t>201</w:t>
      </w:r>
      <w:r w:rsidR="00FD4D66" w:rsidRPr="00524A1C">
        <w:rPr>
          <w:rFonts w:ascii="Calibri" w:hAnsi="Calibri" w:cs="Calibri"/>
          <w:lang w:val="en-US"/>
        </w:rPr>
        <w:t>5</w:t>
      </w:r>
      <w:r w:rsidR="00F82DAE">
        <w:rPr>
          <w:rFonts w:ascii="Calibri" w:hAnsi="Calibri" w:cs="Calibri"/>
          <w:lang w:val="en-US"/>
        </w:rPr>
        <w:t>)</w:t>
      </w:r>
      <w:r w:rsidR="00F91076">
        <w:rPr>
          <w:rFonts w:ascii="Calibri" w:hAnsi="Calibri" w:cs="Calibri"/>
          <w:lang w:val="en-US"/>
        </w:rPr>
        <w:t xml:space="preserve">. </w:t>
      </w:r>
      <w:r w:rsidR="00FD4D66">
        <w:rPr>
          <w:rFonts w:ascii="Calibri" w:hAnsi="Calibri" w:cs="Calibri"/>
          <w:lang w:val="en-US"/>
        </w:rPr>
        <w:t>Numbers are highly informative (</w:t>
      </w:r>
      <w:proofErr w:type="spellStart"/>
      <w:r w:rsidR="00FD4D66">
        <w:rPr>
          <w:rFonts w:ascii="Calibri" w:hAnsi="Calibri" w:cs="Calibri"/>
          <w:lang w:val="en-US"/>
        </w:rPr>
        <w:t>Alessandrini</w:t>
      </w:r>
      <w:proofErr w:type="spellEnd"/>
      <w:r w:rsidR="00FD4D66">
        <w:rPr>
          <w:rFonts w:ascii="Calibri" w:hAnsi="Calibri" w:cs="Calibri"/>
          <w:lang w:val="en-US"/>
        </w:rPr>
        <w:t xml:space="preserve"> 1990), as every component o</w:t>
      </w:r>
      <w:r w:rsidR="00412CDB">
        <w:rPr>
          <w:rFonts w:ascii="Calibri" w:hAnsi="Calibri" w:cs="Calibri"/>
          <w:lang w:val="en-US"/>
        </w:rPr>
        <w:t xml:space="preserve">f a number is a meaningful unit </w:t>
      </w:r>
      <w:r w:rsidR="006C6B53">
        <w:rPr>
          <w:rFonts w:ascii="Calibri" w:hAnsi="Calibri" w:cs="Calibri"/>
          <w:lang w:val="en-US"/>
        </w:rPr>
        <w:t>represent</w:t>
      </w:r>
      <w:r w:rsidR="001C5AE2">
        <w:rPr>
          <w:rFonts w:ascii="Calibri" w:hAnsi="Calibri" w:cs="Calibri"/>
          <w:lang w:val="en-US"/>
        </w:rPr>
        <w:t xml:space="preserve">ing only one </w:t>
      </w:r>
      <w:proofErr w:type="gramStart"/>
      <w:r w:rsidR="001C5AE2">
        <w:rPr>
          <w:rFonts w:ascii="Calibri" w:hAnsi="Calibri" w:cs="Calibri"/>
          <w:lang w:val="en-US"/>
        </w:rPr>
        <w:t>particular meaning</w:t>
      </w:r>
      <w:proofErr w:type="gramEnd"/>
      <w:r w:rsidR="001C5AE2">
        <w:rPr>
          <w:rFonts w:ascii="Calibri" w:hAnsi="Calibri" w:cs="Calibri"/>
          <w:lang w:val="en-US"/>
        </w:rPr>
        <w:t>. This</w:t>
      </w:r>
      <w:r w:rsidR="006C6B53">
        <w:rPr>
          <w:rFonts w:ascii="Calibri" w:hAnsi="Calibri" w:cs="Calibri"/>
          <w:lang w:val="en-US"/>
        </w:rPr>
        <w:t xml:space="preserve"> prevents interpreters from using strategies such as paraphrasing or reformulation (</w:t>
      </w:r>
      <w:proofErr w:type="spellStart"/>
      <w:r w:rsidR="006C6B53">
        <w:rPr>
          <w:rFonts w:ascii="Calibri" w:hAnsi="Calibri" w:cs="Calibri"/>
          <w:lang w:val="en-US"/>
        </w:rPr>
        <w:t>Pinochi</w:t>
      </w:r>
      <w:proofErr w:type="spellEnd"/>
      <w:r w:rsidR="006C6B53">
        <w:rPr>
          <w:rFonts w:ascii="Calibri" w:hAnsi="Calibri" w:cs="Calibri"/>
          <w:lang w:val="en-US"/>
        </w:rPr>
        <w:t xml:space="preserve"> 2009). N</w:t>
      </w:r>
      <w:r w:rsidR="00FD4D66">
        <w:rPr>
          <w:rFonts w:ascii="Calibri" w:hAnsi="Calibri" w:cs="Calibri"/>
          <w:lang w:val="en-US"/>
        </w:rPr>
        <w:t xml:space="preserve">umbers </w:t>
      </w:r>
      <w:r w:rsidR="006C6B53">
        <w:rPr>
          <w:rFonts w:ascii="Calibri" w:hAnsi="Calibri" w:cs="Calibri"/>
          <w:lang w:val="en-US"/>
        </w:rPr>
        <w:t xml:space="preserve">also </w:t>
      </w:r>
      <w:r w:rsidR="00FD4D66">
        <w:rPr>
          <w:rFonts w:ascii="Calibri" w:hAnsi="Calibri" w:cs="Calibri"/>
          <w:lang w:val="en-US"/>
        </w:rPr>
        <w:t>usually lack redundant material</w:t>
      </w:r>
      <w:r w:rsidR="006C6B53">
        <w:rPr>
          <w:rFonts w:ascii="Calibri" w:hAnsi="Calibri" w:cs="Calibri"/>
          <w:lang w:val="en-US"/>
        </w:rPr>
        <w:t>, which makes them more informative</w:t>
      </w:r>
      <w:r w:rsidR="00FD4D66">
        <w:rPr>
          <w:rFonts w:ascii="Calibri" w:hAnsi="Calibri" w:cs="Calibri"/>
          <w:lang w:val="en-US"/>
        </w:rPr>
        <w:t xml:space="preserve"> (</w:t>
      </w:r>
      <w:proofErr w:type="spellStart"/>
      <w:r w:rsidR="00FD4D66">
        <w:rPr>
          <w:rFonts w:ascii="Calibri" w:hAnsi="Calibri" w:cs="Calibri"/>
          <w:lang w:val="en-US"/>
        </w:rPr>
        <w:t>Gile</w:t>
      </w:r>
      <w:proofErr w:type="spellEnd"/>
      <w:r w:rsidR="00FD4D66">
        <w:rPr>
          <w:rFonts w:ascii="Calibri" w:hAnsi="Calibri" w:cs="Calibri"/>
          <w:lang w:val="en-US"/>
        </w:rPr>
        <w:t xml:space="preserve"> 1995; </w:t>
      </w:r>
      <w:proofErr w:type="spellStart"/>
      <w:r w:rsidR="00FD4D66">
        <w:rPr>
          <w:rFonts w:ascii="Calibri" w:hAnsi="Calibri" w:cs="Calibri"/>
          <w:lang w:val="en-US"/>
        </w:rPr>
        <w:t>Seeber</w:t>
      </w:r>
      <w:proofErr w:type="spellEnd"/>
      <w:r w:rsidR="00FD4D66">
        <w:rPr>
          <w:rFonts w:ascii="Calibri" w:hAnsi="Calibri" w:cs="Calibri"/>
          <w:lang w:val="en-US"/>
        </w:rPr>
        <w:t xml:space="preserve"> 2015)</w:t>
      </w:r>
      <w:r w:rsidR="00412CDB">
        <w:rPr>
          <w:rFonts w:ascii="Calibri" w:hAnsi="Calibri" w:cs="Calibri"/>
          <w:lang w:val="en-US"/>
        </w:rPr>
        <w:t xml:space="preserve">. Source texts </w:t>
      </w:r>
      <w:r w:rsidR="00F02629">
        <w:rPr>
          <w:rFonts w:ascii="Calibri" w:hAnsi="Calibri" w:cs="Calibri"/>
          <w:lang w:val="en-US"/>
        </w:rPr>
        <w:t>with</w:t>
      </w:r>
      <w:r w:rsidR="00412CDB">
        <w:rPr>
          <w:rFonts w:ascii="Calibri" w:hAnsi="Calibri" w:cs="Calibri"/>
          <w:lang w:val="en-US"/>
        </w:rPr>
        <w:t xml:space="preserve"> high </w:t>
      </w:r>
      <w:r w:rsidR="00F02629">
        <w:rPr>
          <w:rFonts w:ascii="Calibri" w:hAnsi="Calibri" w:cs="Calibri"/>
          <w:lang w:val="en-US"/>
        </w:rPr>
        <w:t>information density</w:t>
      </w:r>
      <w:r w:rsidR="00412CDB">
        <w:rPr>
          <w:rFonts w:ascii="Calibri" w:hAnsi="Calibri" w:cs="Calibri"/>
          <w:lang w:val="en-US"/>
        </w:rPr>
        <w:t xml:space="preserve"> are known to </w:t>
      </w:r>
      <w:r w:rsidR="00F02629">
        <w:rPr>
          <w:rFonts w:ascii="Calibri" w:hAnsi="Calibri" w:cs="Calibri"/>
          <w:lang w:val="en-US"/>
        </w:rPr>
        <w:t>increase</w:t>
      </w:r>
      <w:r w:rsidR="00412CDB">
        <w:rPr>
          <w:rFonts w:ascii="Calibri" w:hAnsi="Calibri" w:cs="Calibri"/>
          <w:lang w:val="en-US"/>
        </w:rPr>
        <w:t xml:space="preserve"> cognitive load in interpreters</w:t>
      </w:r>
      <w:r w:rsidR="00AF5AEA">
        <w:rPr>
          <w:rFonts w:ascii="Calibri" w:hAnsi="Calibri" w:cs="Calibri"/>
          <w:lang w:val="en-US"/>
        </w:rPr>
        <w:t xml:space="preserve">. </w:t>
      </w:r>
      <w:r w:rsidR="00F02629">
        <w:rPr>
          <w:rFonts w:ascii="Calibri" w:hAnsi="Calibri" w:cs="Calibri"/>
          <w:lang w:val="en-US"/>
        </w:rPr>
        <w:t>As hypothesized by</w:t>
      </w:r>
      <w:r w:rsidR="00F02629">
        <w:rPr>
          <w:rFonts w:ascii="Calibri" w:hAnsi="Calibri" w:cs="Calibri"/>
          <w:lang w:val="en-GB"/>
        </w:rPr>
        <w:t xml:space="preserve"> </w:t>
      </w:r>
      <w:proofErr w:type="spellStart"/>
      <w:r w:rsidR="00F02629">
        <w:rPr>
          <w:rFonts w:ascii="Calibri" w:hAnsi="Calibri" w:cs="Calibri"/>
          <w:lang w:val="en-GB"/>
        </w:rPr>
        <w:t>Pinochi</w:t>
      </w:r>
      <w:proofErr w:type="spellEnd"/>
      <w:r w:rsidR="00F02629">
        <w:rPr>
          <w:rFonts w:ascii="Calibri" w:hAnsi="Calibri" w:cs="Calibri"/>
          <w:lang w:val="en-GB"/>
        </w:rPr>
        <w:t xml:space="preserve"> </w:t>
      </w:r>
      <w:r w:rsidR="00D91163" w:rsidRPr="00D91163">
        <w:rPr>
          <w:rFonts w:ascii="Calibri" w:hAnsi="Calibri" w:cs="Calibri"/>
          <w:lang w:val="en-GB"/>
        </w:rPr>
        <w:t>(2009)</w:t>
      </w:r>
      <w:r w:rsidR="009045FC">
        <w:rPr>
          <w:rFonts w:ascii="Calibri" w:hAnsi="Calibri" w:cs="Calibri"/>
          <w:lang w:val="en-GB"/>
        </w:rPr>
        <w:t xml:space="preserve">, </w:t>
      </w:r>
      <w:r w:rsidR="009045FC">
        <w:rPr>
          <w:rFonts w:ascii="Calibri" w:hAnsi="Calibri" w:cs="Calibri"/>
          <w:lang w:val="en-US"/>
        </w:rPr>
        <w:t>differences</w:t>
      </w:r>
      <w:r w:rsidR="0015348A">
        <w:rPr>
          <w:rFonts w:ascii="Calibri" w:hAnsi="Calibri" w:cs="Calibri"/>
          <w:lang w:val="en-US"/>
        </w:rPr>
        <w:t xml:space="preserve"> in number syntax between source and target language can </w:t>
      </w:r>
      <w:r w:rsidR="00AA7816">
        <w:rPr>
          <w:rFonts w:ascii="Calibri" w:hAnsi="Calibri" w:cs="Calibri"/>
          <w:lang w:val="en-US"/>
        </w:rPr>
        <w:t xml:space="preserve">exacerbate </w:t>
      </w:r>
      <w:r w:rsidR="000B150E">
        <w:rPr>
          <w:rFonts w:ascii="Calibri" w:hAnsi="Calibri" w:cs="Calibri"/>
          <w:lang w:val="en-US"/>
        </w:rPr>
        <w:t>this load</w:t>
      </w:r>
      <w:r w:rsidR="00DA2E0D">
        <w:rPr>
          <w:rFonts w:ascii="Calibri" w:hAnsi="Calibri" w:cs="Calibri"/>
          <w:lang w:val="en-US"/>
        </w:rPr>
        <w:t xml:space="preserve">, as interpreters not only have to render each numeral unit correctly but also swap </w:t>
      </w:r>
      <w:r w:rsidR="00D37B8B">
        <w:rPr>
          <w:rFonts w:ascii="Calibri" w:hAnsi="Calibri" w:cs="Calibri"/>
          <w:lang w:val="en-US"/>
        </w:rPr>
        <w:t xml:space="preserve">the order of </w:t>
      </w:r>
      <w:r w:rsidR="00DA2E0D">
        <w:rPr>
          <w:rFonts w:ascii="Calibri" w:hAnsi="Calibri" w:cs="Calibri"/>
          <w:lang w:val="en-US"/>
        </w:rPr>
        <w:t>some of the units</w:t>
      </w:r>
      <w:r w:rsidR="00EB18EB">
        <w:rPr>
          <w:rFonts w:ascii="Calibri" w:hAnsi="Calibri" w:cs="Calibri"/>
          <w:lang w:val="en-US"/>
        </w:rPr>
        <w:t xml:space="preserve"> (e.g. between English and German)</w:t>
      </w:r>
      <w:r w:rsidR="00D91163">
        <w:rPr>
          <w:rFonts w:ascii="Calibri" w:hAnsi="Calibri" w:cs="Calibri"/>
          <w:lang w:val="en-US"/>
        </w:rPr>
        <w:t>.</w:t>
      </w:r>
    </w:p>
    <w:p w14:paraId="183A18C4" w14:textId="2327AB22" w:rsidR="00E65A83" w:rsidRDefault="004010B2" w:rsidP="001C22E5">
      <w:pPr>
        <w:rPr>
          <w:lang w:val="en-US"/>
        </w:rPr>
      </w:pPr>
      <w:r>
        <w:rPr>
          <w:lang w:val="en-US"/>
        </w:rPr>
        <w:t xml:space="preserve">One of the </w:t>
      </w:r>
      <w:r w:rsidR="00400B41">
        <w:rPr>
          <w:lang w:val="en-US"/>
        </w:rPr>
        <w:t xml:space="preserve">universally recommended </w:t>
      </w:r>
      <w:r w:rsidR="001F0C04">
        <w:rPr>
          <w:lang w:val="en-US"/>
        </w:rPr>
        <w:t xml:space="preserve">strategies </w:t>
      </w:r>
      <w:r w:rsidR="00400B41">
        <w:rPr>
          <w:lang w:val="en-US"/>
        </w:rPr>
        <w:t>is note-taking (</w:t>
      </w:r>
      <w:proofErr w:type="spellStart"/>
      <w:r w:rsidR="00D708EB">
        <w:rPr>
          <w:lang w:val="en-US"/>
        </w:rPr>
        <w:t>Setton</w:t>
      </w:r>
      <w:proofErr w:type="spellEnd"/>
      <w:r w:rsidR="00D708EB">
        <w:rPr>
          <w:lang w:val="en-US"/>
        </w:rPr>
        <w:t xml:space="preserve"> 1999; </w:t>
      </w:r>
      <w:r w:rsidR="00400B41">
        <w:rPr>
          <w:lang w:val="en-US"/>
        </w:rPr>
        <w:t>Jones 20</w:t>
      </w:r>
      <w:r w:rsidR="009754C7">
        <w:rPr>
          <w:lang w:val="en-US"/>
        </w:rPr>
        <w:t>0</w:t>
      </w:r>
      <w:r w:rsidR="00400B41">
        <w:rPr>
          <w:lang w:val="en-US"/>
        </w:rPr>
        <w:t xml:space="preserve">2, </w:t>
      </w:r>
      <w:r w:rsidR="00174EFC">
        <w:rPr>
          <w:lang w:val="en-US"/>
        </w:rPr>
        <w:t xml:space="preserve">Mead </w:t>
      </w:r>
      <w:r w:rsidR="00400B41">
        <w:rPr>
          <w:lang w:val="en-US"/>
        </w:rPr>
        <w:t>201</w:t>
      </w:r>
      <w:r w:rsidR="00174EFC" w:rsidRPr="00524A1C">
        <w:rPr>
          <w:lang w:val="en-US"/>
        </w:rPr>
        <w:t>5</w:t>
      </w:r>
      <w:r w:rsidR="00400B41">
        <w:rPr>
          <w:lang w:val="en-US"/>
        </w:rPr>
        <w:t>): interpreters are advised to stop delivery of the target text as</w:t>
      </w:r>
      <w:r w:rsidR="001B427E">
        <w:rPr>
          <w:lang w:val="en-US"/>
        </w:rPr>
        <w:t xml:space="preserve"> soon as they hear a number, </w:t>
      </w:r>
      <w:r w:rsidR="00400B41">
        <w:rPr>
          <w:lang w:val="en-US"/>
        </w:rPr>
        <w:t xml:space="preserve">write down that number on a </w:t>
      </w:r>
      <w:r w:rsidR="00D708EB">
        <w:rPr>
          <w:lang w:val="en-US"/>
        </w:rPr>
        <w:t>notepad</w:t>
      </w:r>
      <w:r w:rsidR="00400B41">
        <w:rPr>
          <w:lang w:val="en-US"/>
        </w:rPr>
        <w:t xml:space="preserve"> i</w:t>
      </w:r>
      <w:r w:rsidR="001B427E">
        <w:rPr>
          <w:lang w:val="en-US"/>
        </w:rPr>
        <w:t xml:space="preserve">n the booth and read it off while starting up delivery again. </w:t>
      </w:r>
      <w:r w:rsidR="00561A44">
        <w:rPr>
          <w:lang w:val="en-US"/>
        </w:rPr>
        <w:t xml:space="preserve">The findings of </w:t>
      </w:r>
      <w:proofErr w:type="spellStart"/>
      <w:r w:rsidR="00D05603">
        <w:rPr>
          <w:lang w:val="en-US"/>
        </w:rPr>
        <w:t>Mazza</w:t>
      </w:r>
      <w:proofErr w:type="spellEnd"/>
      <w:r w:rsidR="006C6B53">
        <w:rPr>
          <w:lang w:val="en-US"/>
        </w:rPr>
        <w:t xml:space="preserve"> (200</w:t>
      </w:r>
      <w:r w:rsidR="00D05603">
        <w:rPr>
          <w:lang w:val="en-US"/>
        </w:rPr>
        <w:t>1</w:t>
      </w:r>
      <w:r w:rsidR="006C6B53">
        <w:rPr>
          <w:lang w:val="en-US"/>
        </w:rPr>
        <w:t>)</w:t>
      </w:r>
      <w:r w:rsidR="00D37B8B">
        <w:rPr>
          <w:lang w:val="en-US"/>
        </w:rPr>
        <w:t xml:space="preserve"> seem</w:t>
      </w:r>
      <w:r w:rsidR="00E65A83">
        <w:rPr>
          <w:lang w:val="en-US"/>
        </w:rPr>
        <w:t xml:space="preserve"> to </w:t>
      </w:r>
      <w:r w:rsidR="006C6B53">
        <w:rPr>
          <w:lang w:val="en-US"/>
        </w:rPr>
        <w:t>support the hypothesis that interpreting is more accurate in cases where interpreters jotted down the number.</w:t>
      </w:r>
      <w:r w:rsidR="00E65A83">
        <w:rPr>
          <w:lang w:val="en-US"/>
        </w:rPr>
        <w:t xml:space="preserve"> </w:t>
      </w:r>
      <w:r w:rsidR="00526C75">
        <w:rPr>
          <w:lang w:val="en-US"/>
        </w:rPr>
        <w:t xml:space="preserve">Without </w:t>
      </w:r>
      <w:r w:rsidR="00D37B8B">
        <w:rPr>
          <w:lang w:val="en-US"/>
        </w:rPr>
        <w:t xml:space="preserve">a </w:t>
      </w:r>
      <w:r w:rsidR="00526C75">
        <w:rPr>
          <w:lang w:val="en-US"/>
        </w:rPr>
        <w:t xml:space="preserve">notepad, </w:t>
      </w:r>
      <w:r w:rsidR="00395529">
        <w:rPr>
          <w:lang w:val="en-US"/>
        </w:rPr>
        <w:t xml:space="preserve">shortening the </w:t>
      </w:r>
      <w:r w:rsidR="00F02629">
        <w:rPr>
          <w:lang w:val="en-US"/>
        </w:rPr>
        <w:t>ear-voice span (</w:t>
      </w:r>
      <w:r w:rsidR="00395529">
        <w:rPr>
          <w:lang w:val="en-US"/>
        </w:rPr>
        <w:t>EVS</w:t>
      </w:r>
      <w:r w:rsidR="00F02629">
        <w:rPr>
          <w:lang w:val="en-US"/>
        </w:rPr>
        <w:t>)</w:t>
      </w:r>
      <w:r w:rsidR="00395529">
        <w:rPr>
          <w:lang w:val="en-US"/>
        </w:rPr>
        <w:t xml:space="preserve"> </w:t>
      </w:r>
      <w:r w:rsidR="00E65A83">
        <w:rPr>
          <w:lang w:val="en-US"/>
        </w:rPr>
        <w:t>and changing the listening strategy seem</w:t>
      </w:r>
      <w:r w:rsidR="00395529">
        <w:rPr>
          <w:lang w:val="en-US"/>
        </w:rPr>
        <w:t xml:space="preserve"> to be the most effecti</w:t>
      </w:r>
      <w:r w:rsidR="00E65A83">
        <w:rPr>
          <w:lang w:val="en-US"/>
        </w:rPr>
        <w:t>ve coping strategies</w:t>
      </w:r>
      <w:r w:rsidR="0077137C">
        <w:rPr>
          <w:lang w:val="en-US"/>
        </w:rPr>
        <w:t xml:space="preserve">: </w:t>
      </w:r>
      <w:proofErr w:type="spellStart"/>
      <w:r w:rsidR="0077137C">
        <w:rPr>
          <w:lang w:val="en-US"/>
        </w:rPr>
        <w:t>Setton</w:t>
      </w:r>
      <w:proofErr w:type="spellEnd"/>
      <w:r w:rsidR="0077137C">
        <w:rPr>
          <w:lang w:val="en-US"/>
        </w:rPr>
        <w:t xml:space="preserve"> (1999)</w:t>
      </w:r>
      <w:r w:rsidR="00395529">
        <w:rPr>
          <w:lang w:val="en-US"/>
        </w:rPr>
        <w:t xml:space="preserve"> for instance, observes that</w:t>
      </w:r>
      <w:r w:rsidR="0077137C">
        <w:rPr>
          <w:lang w:val="en-US"/>
        </w:rPr>
        <w:t xml:space="preserve"> errors typically occur when the EVS is more than 3-4 seconds. </w:t>
      </w:r>
      <w:r w:rsidR="00E65A83">
        <w:rPr>
          <w:lang w:val="en-US"/>
        </w:rPr>
        <w:t xml:space="preserve">Following </w:t>
      </w:r>
      <w:proofErr w:type="spellStart"/>
      <w:r w:rsidR="00E65A83">
        <w:rPr>
          <w:lang w:val="en-US"/>
        </w:rPr>
        <w:t>Seleskovitch</w:t>
      </w:r>
      <w:proofErr w:type="spellEnd"/>
      <w:r w:rsidR="00E65A83">
        <w:rPr>
          <w:lang w:val="en-US"/>
        </w:rPr>
        <w:t xml:space="preserve"> (1975), </w:t>
      </w:r>
      <w:proofErr w:type="spellStart"/>
      <w:r w:rsidR="00E65A83">
        <w:rPr>
          <w:lang w:val="en-US"/>
        </w:rPr>
        <w:t>Pinochi</w:t>
      </w:r>
      <w:proofErr w:type="spellEnd"/>
      <w:r w:rsidR="00E65A83">
        <w:rPr>
          <w:lang w:val="en-US"/>
        </w:rPr>
        <w:t xml:space="preserve"> (2009) </w:t>
      </w:r>
      <w:r w:rsidR="00355690">
        <w:rPr>
          <w:lang w:val="en-US"/>
        </w:rPr>
        <w:t xml:space="preserve">advocates a switch from intelligent hearing (i.e. </w:t>
      </w:r>
      <w:proofErr w:type="gramStart"/>
      <w:r w:rsidR="00355690">
        <w:rPr>
          <w:lang w:val="en-US"/>
        </w:rPr>
        <w:t>taking into account</w:t>
      </w:r>
      <w:proofErr w:type="gramEnd"/>
      <w:r w:rsidR="00355690">
        <w:rPr>
          <w:lang w:val="en-US"/>
        </w:rPr>
        <w:t xml:space="preserve"> the context to draw inferences) to literal hearing (i.e. paying attention to the item in isolation).</w:t>
      </w:r>
    </w:p>
    <w:p w14:paraId="7A661C38" w14:textId="23042CF0" w:rsidR="007D5E70" w:rsidRDefault="006C6B53" w:rsidP="00FD5AA9">
      <w:pPr>
        <w:rPr>
          <w:lang w:val="en-US"/>
        </w:rPr>
      </w:pPr>
      <w:r>
        <w:rPr>
          <w:lang w:val="en-US"/>
        </w:rPr>
        <w:lastRenderedPageBreak/>
        <w:t xml:space="preserve">Assistance by the booth colleague in writing down numbers </w:t>
      </w:r>
      <w:r w:rsidR="00F579E4">
        <w:rPr>
          <w:lang w:val="en-US"/>
        </w:rPr>
        <w:t xml:space="preserve">and visual </w:t>
      </w:r>
      <w:r w:rsidR="000A76F3">
        <w:rPr>
          <w:lang w:val="en-US"/>
        </w:rPr>
        <w:t xml:space="preserve">input provided by the speakers </w:t>
      </w:r>
      <w:r w:rsidR="003C1097">
        <w:rPr>
          <w:lang w:val="en-US"/>
        </w:rPr>
        <w:t>(</w:t>
      </w:r>
      <w:r w:rsidR="00D05603">
        <w:rPr>
          <w:lang w:val="en-US"/>
        </w:rPr>
        <w:t>such as a copy</w:t>
      </w:r>
      <w:r w:rsidR="00AF4DF5">
        <w:rPr>
          <w:lang w:val="en-US"/>
        </w:rPr>
        <w:t xml:space="preserve"> of the speech to be used in the booth</w:t>
      </w:r>
      <w:r w:rsidR="00D05603">
        <w:rPr>
          <w:lang w:val="en-US"/>
        </w:rPr>
        <w:t>,</w:t>
      </w:r>
      <w:r w:rsidR="00AF4DF5">
        <w:rPr>
          <w:lang w:val="en-US"/>
        </w:rPr>
        <w:t xml:space="preserve"> or the projected </w:t>
      </w:r>
      <w:r w:rsidR="003C1097">
        <w:rPr>
          <w:lang w:val="en-US"/>
        </w:rPr>
        <w:t xml:space="preserve">presentation slides) </w:t>
      </w:r>
      <w:r w:rsidR="000A76F3">
        <w:rPr>
          <w:lang w:val="en-US"/>
        </w:rPr>
        <w:t xml:space="preserve">are </w:t>
      </w:r>
      <w:r w:rsidR="0036112F">
        <w:rPr>
          <w:lang w:val="en-US"/>
        </w:rPr>
        <w:t>said to be beneficial (</w:t>
      </w:r>
      <w:r w:rsidR="007D5E70">
        <w:rPr>
          <w:lang w:val="en-US"/>
        </w:rPr>
        <w:t xml:space="preserve">Mead </w:t>
      </w:r>
      <w:r w:rsidR="0036112F">
        <w:rPr>
          <w:lang w:val="en-US"/>
        </w:rPr>
        <w:t>2015)</w:t>
      </w:r>
      <w:r w:rsidR="007D5E70">
        <w:rPr>
          <w:lang w:val="en-US"/>
        </w:rPr>
        <w:t xml:space="preserve">. </w:t>
      </w:r>
      <w:proofErr w:type="spellStart"/>
      <w:r w:rsidR="00220593">
        <w:rPr>
          <w:lang w:val="en-US"/>
        </w:rPr>
        <w:t>Lamberger-Felber</w:t>
      </w:r>
      <w:proofErr w:type="spellEnd"/>
      <w:r w:rsidR="00220593">
        <w:rPr>
          <w:lang w:val="en-US"/>
        </w:rPr>
        <w:t xml:space="preserve"> (2001) reports a significant increase of number and name accuracy </w:t>
      </w:r>
      <w:r w:rsidR="00930267">
        <w:rPr>
          <w:lang w:val="en-US"/>
        </w:rPr>
        <w:t>(</w:t>
      </w:r>
      <w:r w:rsidR="00810A49">
        <w:rPr>
          <w:lang w:val="en-US"/>
        </w:rPr>
        <w:t>53 to 68%</w:t>
      </w:r>
      <w:r w:rsidR="00930267">
        <w:rPr>
          <w:lang w:val="en-US"/>
        </w:rPr>
        <w:t xml:space="preserve"> fewer errors</w:t>
      </w:r>
      <w:r w:rsidR="00810A49">
        <w:rPr>
          <w:lang w:val="en-US"/>
        </w:rPr>
        <w:t>, depending on the source speech</w:t>
      </w:r>
      <w:r w:rsidR="00930267">
        <w:rPr>
          <w:lang w:val="en-US"/>
        </w:rPr>
        <w:t xml:space="preserve">) </w:t>
      </w:r>
      <w:r w:rsidR="00220593">
        <w:rPr>
          <w:lang w:val="en-US"/>
        </w:rPr>
        <w:t xml:space="preserve">in an experiment when interpreters are provided the text of the speech in the booth, compared to when they do not have the text at their disposal. </w:t>
      </w:r>
      <w:r w:rsidR="00AB2F65">
        <w:rPr>
          <w:lang w:val="en-US"/>
        </w:rPr>
        <w:t xml:space="preserve">Accuracy is highest when, in addition, they are given time to prepare the text they </w:t>
      </w:r>
      <w:r w:rsidR="00FD5AA9">
        <w:rPr>
          <w:lang w:val="en-US"/>
        </w:rPr>
        <w:t xml:space="preserve">are supplied with. It is to be noted, however, that this is the combined accuracy for </w:t>
      </w:r>
      <w:r w:rsidR="00AB2F65">
        <w:rPr>
          <w:lang w:val="en-US"/>
        </w:rPr>
        <w:t>numbers and names</w:t>
      </w:r>
      <w:r w:rsidR="00FD5AA9">
        <w:rPr>
          <w:lang w:val="en-US"/>
        </w:rPr>
        <w:t xml:space="preserve"> together</w:t>
      </w:r>
      <w:r w:rsidR="00AB2F65">
        <w:rPr>
          <w:lang w:val="en-US"/>
        </w:rPr>
        <w:t xml:space="preserve">. </w:t>
      </w:r>
      <w:r w:rsidR="00EB18EB">
        <w:rPr>
          <w:lang w:val="en-US"/>
        </w:rPr>
        <w:t>Even for th</w:t>
      </w:r>
      <w:r w:rsidR="00AB2F65">
        <w:rPr>
          <w:lang w:val="en-US"/>
        </w:rPr>
        <w:t xml:space="preserve">e </w:t>
      </w:r>
      <w:r w:rsidR="00EB18EB">
        <w:rPr>
          <w:lang w:val="en-US"/>
        </w:rPr>
        <w:t xml:space="preserve">condition without text, </w:t>
      </w:r>
      <w:r w:rsidR="00AB2F65">
        <w:rPr>
          <w:lang w:val="en-US"/>
        </w:rPr>
        <w:t xml:space="preserve">high accuracy rates </w:t>
      </w:r>
      <w:r w:rsidR="00EB18EB">
        <w:rPr>
          <w:lang w:val="en-US"/>
        </w:rPr>
        <w:t>are obtained</w:t>
      </w:r>
      <w:r w:rsidR="00AB2F65">
        <w:rPr>
          <w:lang w:val="en-US"/>
        </w:rPr>
        <w:t xml:space="preserve"> (</w:t>
      </w:r>
      <w:r w:rsidR="00ED407C">
        <w:rPr>
          <w:lang w:val="en-US"/>
        </w:rPr>
        <w:t xml:space="preserve">mean of </w:t>
      </w:r>
      <w:r w:rsidR="00AB2F65">
        <w:rPr>
          <w:lang w:val="en-US"/>
        </w:rPr>
        <w:t>85.7%)</w:t>
      </w:r>
      <w:r w:rsidR="00EB18EB">
        <w:rPr>
          <w:lang w:val="en-US"/>
        </w:rPr>
        <w:t>. This</w:t>
      </w:r>
      <w:r w:rsidR="00AB2F65">
        <w:rPr>
          <w:lang w:val="en-US"/>
        </w:rPr>
        <w:t xml:space="preserve"> seem</w:t>
      </w:r>
      <w:r w:rsidR="00EB18EB">
        <w:rPr>
          <w:lang w:val="en-US"/>
        </w:rPr>
        <w:t>s</w:t>
      </w:r>
      <w:r w:rsidR="00AB2F65">
        <w:rPr>
          <w:lang w:val="en-US"/>
        </w:rPr>
        <w:t xml:space="preserve"> to suggest that names</w:t>
      </w:r>
      <w:r w:rsidR="00ED407C">
        <w:rPr>
          <w:lang w:val="en-US"/>
        </w:rPr>
        <w:t xml:space="preserve"> cause significantly fewer problems </w:t>
      </w:r>
      <w:r w:rsidR="00777F76">
        <w:rPr>
          <w:lang w:val="en-US"/>
        </w:rPr>
        <w:t>in simultaneous interpreting than numbers.</w:t>
      </w:r>
    </w:p>
    <w:p w14:paraId="07D4E2E2" w14:textId="1C81F18B" w:rsidR="0020470A" w:rsidRDefault="00AF4DF5" w:rsidP="00FD5AA9">
      <w:pPr>
        <w:rPr>
          <w:lang w:val="en-US"/>
        </w:rPr>
      </w:pPr>
      <w:r>
        <w:rPr>
          <w:lang w:val="en-US"/>
        </w:rPr>
        <w:t xml:space="preserve">While assistance and </w:t>
      </w:r>
      <w:r w:rsidR="00CE681F">
        <w:rPr>
          <w:lang w:val="en-US"/>
        </w:rPr>
        <w:t>visual input</w:t>
      </w:r>
      <w:r>
        <w:rPr>
          <w:lang w:val="en-US"/>
        </w:rPr>
        <w:t xml:space="preserve"> are likely to boost performance,</w:t>
      </w:r>
      <w:r w:rsidR="009045FC">
        <w:rPr>
          <w:lang w:val="en-US"/>
        </w:rPr>
        <w:t xml:space="preserve"> </w:t>
      </w:r>
      <w:r w:rsidR="0036112F">
        <w:rPr>
          <w:lang w:val="en-US"/>
        </w:rPr>
        <w:t xml:space="preserve">they are beyond the control of the interpreter. </w:t>
      </w:r>
      <w:r w:rsidR="0020470A">
        <w:rPr>
          <w:lang w:val="en-US"/>
        </w:rPr>
        <w:t>Technological support could</w:t>
      </w:r>
      <w:r w:rsidR="002A5BC6">
        <w:rPr>
          <w:lang w:val="en-US"/>
        </w:rPr>
        <w:t xml:space="preserve"> solve that problem: if interpreters </w:t>
      </w:r>
      <w:r w:rsidR="00221F81">
        <w:rPr>
          <w:lang w:val="en-US"/>
        </w:rPr>
        <w:t xml:space="preserve">could rely on technology that systematically displays numbers as they are </w:t>
      </w:r>
      <w:r w:rsidR="009D04A6">
        <w:rPr>
          <w:lang w:val="en-US"/>
        </w:rPr>
        <w:t>pronounced</w:t>
      </w:r>
      <w:r w:rsidR="00DC0D62">
        <w:rPr>
          <w:lang w:val="en-US"/>
        </w:rPr>
        <w:t xml:space="preserve">, it could improve the accuracy of the numbers they deliver. </w:t>
      </w:r>
      <w:r w:rsidR="004163B6">
        <w:rPr>
          <w:lang w:val="en-US"/>
        </w:rPr>
        <w:t xml:space="preserve">Currently, limited applications exist in </w:t>
      </w:r>
      <w:r w:rsidR="00660CC9">
        <w:rPr>
          <w:lang w:val="en-US"/>
        </w:rPr>
        <w:t>conference rooms with voting systems, where the results of votes are displayed on a screen in the booth</w:t>
      </w:r>
      <w:r w:rsidR="00070636">
        <w:rPr>
          <w:lang w:val="en-US"/>
        </w:rPr>
        <w:t xml:space="preserve">, but the targeted use </w:t>
      </w:r>
      <w:r w:rsidR="001739F6">
        <w:rPr>
          <w:lang w:val="en-US"/>
        </w:rPr>
        <w:t xml:space="preserve">of </w:t>
      </w:r>
      <w:r w:rsidR="00FD5AA9">
        <w:rPr>
          <w:lang w:val="en-US"/>
        </w:rPr>
        <w:t>natural language processing</w:t>
      </w:r>
      <w:r w:rsidR="001739F6">
        <w:rPr>
          <w:lang w:val="en-US"/>
        </w:rPr>
        <w:t xml:space="preserve"> applications could </w:t>
      </w:r>
      <w:r w:rsidR="00A45BAB">
        <w:rPr>
          <w:lang w:val="en-US"/>
        </w:rPr>
        <w:t xml:space="preserve">make it possible </w:t>
      </w:r>
      <w:proofErr w:type="gramStart"/>
      <w:r w:rsidR="00A45BAB">
        <w:rPr>
          <w:lang w:val="en-US"/>
        </w:rPr>
        <w:t>in the near future</w:t>
      </w:r>
      <w:proofErr w:type="gramEnd"/>
      <w:r w:rsidR="00A45BAB">
        <w:rPr>
          <w:lang w:val="en-US"/>
        </w:rPr>
        <w:t xml:space="preserve"> to extract </w:t>
      </w:r>
      <w:r w:rsidR="001739F6">
        <w:rPr>
          <w:lang w:val="en-US"/>
        </w:rPr>
        <w:t xml:space="preserve">numerical information </w:t>
      </w:r>
      <w:r w:rsidR="00A45BAB">
        <w:rPr>
          <w:lang w:val="en-US"/>
        </w:rPr>
        <w:t xml:space="preserve">from online speeches. </w:t>
      </w:r>
    </w:p>
    <w:p w14:paraId="0D10BD1D" w14:textId="5973E0B6" w:rsidR="00ED1EF1" w:rsidRDefault="0019308A" w:rsidP="002A76C1">
      <w:pPr>
        <w:pStyle w:val="Heading2"/>
        <w:numPr>
          <w:ilvl w:val="0"/>
          <w:numId w:val="5"/>
        </w:numPr>
        <w:rPr>
          <w:lang w:val="en-US"/>
        </w:rPr>
      </w:pPr>
      <w:r>
        <w:rPr>
          <w:lang w:val="en-US"/>
        </w:rPr>
        <w:t>Technolog</w:t>
      </w:r>
      <w:r w:rsidR="002A76C1">
        <w:rPr>
          <w:lang w:val="en-US"/>
        </w:rPr>
        <w:t>y in interpreting</w:t>
      </w:r>
    </w:p>
    <w:p w14:paraId="14456278" w14:textId="5C5A9205" w:rsidR="009A7869" w:rsidRDefault="002A76C1" w:rsidP="00964758">
      <w:pPr>
        <w:rPr>
          <w:lang w:val="en-US"/>
        </w:rPr>
      </w:pPr>
      <w:r w:rsidRPr="00954639">
        <w:rPr>
          <w:lang w:val="en-US"/>
        </w:rPr>
        <w:t xml:space="preserve">Technology has always been essential to simultaneous interpreting, </w:t>
      </w:r>
      <w:r w:rsidR="00F30DA2" w:rsidRPr="00954639">
        <w:rPr>
          <w:lang w:val="en-US"/>
        </w:rPr>
        <w:t>with audio equipment and booth consoles providing</w:t>
      </w:r>
      <w:r w:rsidR="0013595F" w:rsidRPr="00954639">
        <w:rPr>
          <w:lang w:val="en-US"/>
        </w:rPr>
        <w:t xml:space="preserve"> t</w:t>
      </w:r>
      <w:r w:rsidR="00B8531D" w:rsidRPr="00954639">
        <w:rPr>
          <w:lang w:val="en-US"/>
        </w:rPr>
        <w:t>he communication backbone</w:t>
      </w:r>
      <w:r w:rsidR="00F30DA2" w:rsidRPr="00954639">
        <w:rPr>
          <w:lang w:val="en-US"/>
        </w:rPr>
        <w:t xml:space="preserve"> for it to occur</w:t>
      </w:r>
      <w:r w:rsidR="003E73E8" w:rsidRPr="00954639">
        <w:rPr>
          <w:lang w:val="en-US"/>
        </w:rPr>
        <w:t xml:space="preserve">. </w:t>
      </w:r>
      <w:r w:rsidR="00F30DA2" w:rsidRPr="00954639">
        <w:rPr>
          <w:lang w:val="en-US"/>
        </w:rPr>
        <w:t>M</w:t>
      </w:r>
      <w:r w:rsidR="003E73E8" w:rsidRPr="00954639">
        <w:rPr>
          <w:lang w:val="en-US"/>
        </w:rPr>
        <w:t xml:space="preserve">ore recently, </w:t>
      </w:r>
      <w:r w:rsidR="00CD76CD" w:rsidRPr="00954639">
        <w:rPr>
          <w:lang w:val="en-US"/>
        </w:rPr>
        <w:t xml:space="preserve">remote interpreting has been making forays into the profession. </w:t>
      </w:r>
      <w:proofErr w:type="spellStart"/>
      <w:r w:rsidR="002709D7">
        <w:rPr>
          <w:lang w:val="en-US"/>
        </w:rPr>
        <w:t>Fantinuoli</w:t>
      </w:r>
      <w:proofErr w:type="spellEnd"/>
      <w:r w:rsidR="002709D7">
        <w:rPr>
          <w:lang w:val="en-US"/>
        </w:rPr>
        <w:t xml:space="preserve"> (2018) categorizes t</w:t>
      </w:r>
      <w:r w:rsidR="008C6B61">
        <w:rPr>
          <w:lang w:val="en-US"/>
        </w:rPr>
        <w:t xml:space="preserve">hese </w:t>
      </w:r>
      <w:r w:rsidR="00373BF0" w:rsidRPr="00954639">
        <w:rPr>
          <w:lang w:val="en-US"/>
        </w:rPr>
        <w:t>technologies</w:t>
      </w:r>
      <w:r w:rsidR="002709D7">
        <w:rPr>
          <w:lang w:val="en-US"/>
        </w:rPr>
        <w:t xml:space="preserve"> as primarily </w:t>
      </w:r>
      <w:r w:rsidR="002709D7" w:rsidRPr="00954639">
        <w:rPr>
          <w:lang w:val="en-US"/>
        </w:rPr>
        <w:t>setting-oriented</w:t>
      </w:r>
      <w:r w:rsidR="002709D7">
        <w:rPr>
          <w:lang w:val="en-US"/>
        </w:rPr>
        <w:t>, since they determine the external conditions in which interpreting takes place</w:t>
      </w:r>
      <w:r w:rsidR="009A7869">
        <w:rPr>
          <w:lang w:val="en-US"/>
        </w:rPr>
        <w:t xml:space="preserve">. Process-oriented technologies, on the other hand, </w:t>
      </w:r>
      <w:r w:rsidR="00782E5D">
        <w:rPr>
          <w:lang w:val="en-US"/>
        </w:rPr>
        <w:t>are designed to support the interpret</w:t>
      </w:r>
      <w:r w:rsidR="009A7869">
        <w:rPr>
          <w:lang w:val="en-US"/>
        </w:rPr>
        <w:t xml:space="preserve">er in the various phases and </w:t>
      </w:r>
      <w:r w:rsidR="00782E5D">
        <w:rPr>
          <w:lang w:val="en-US"/>
        </w:rPr>
        <w:t xml:space="preserve">processes </w:t>
      </w:r>
      <w:r w:rsidR="009A7869">
        <w:rPr>
          <w:lang w:val="en-US"/>
        </w:rPr>
        <w:t xml:space="preserve">of interpreting </w:t>
      </w:r>
      <w:r w:rsidR="00964758">
        <w:rPr>
          <w:lang w:val="en-US"/>
        </w:rPr>
        <w:t>itself, e.g. for the acquisition, organization and retrieval of information, both before and during an assignment</w:t>
      </w:r>
      <w:r w:rsidR="009A7869">
        <w:rPr>
          <w:i/>
          <w:iCs/>
          <w:lang w:val="en-US"/>
        </w:rPr>
        <w:t xml:space="preserve">. </w:t>
      </w:r>
      <w:r w:rsidR="009A7869">
        <w:rPr>
          <w:lang w:val="en-US"/>
        </w:rPr>
        <w:t xml:space="preserve">Such technologies </w:t>
      </w:r>
      <w:r w:rsidR="00964758">
        <w:rPr>
          <w:lang w:val="en-US"/>
        </w:rPr>
        <w:t>aim to</w:t>
      </w:r>
      <w:r w:rsidR="009A7869">
        <w:rPr>
          <w:lang w:val="en-US"/>
        </w:rPr>
        <w:t xml:space="preserve"> directly influence the </w:t>
      </w:r>
      <w:r w:rsidR="00964758">
        <w:rPr>
          <w:lang w:val="en-US"/>
        </w:rPr>
        <w:t>interpreting process, its associated cognitive load and the quality of its outcome. As such, they are the defining components of computer-assisted interpreting (CAI).</w:t>
      </w:r>
    </w:p>
    <w:p w14:paraId="201F76ED" w14:textId="69A028E1" w:rsidR="00FD13B6" w:rsidRDefault="00BB7D61" w:rsidP="00FD13B6">
      <w:pPr>
        <w:rPr>
          <w:lang w:val="en-US"/>
        </w:rPr>
      </w:pPr>
      <w:r>
        <w:rPr>
          <w:lang w:val="en-US"/>
        </w:rPr>
        <w:t>Currently</w:t>
      </w:r>
      <w:r w:rsidR="00DA4404">
        <w:rPr>
          <w:lang w:val="en-US"/>
        </w:rPr>
        <w:t>,</w:t>
      </w:r>
      <w:r>
        <w:rPr>
          <w:lang w:val="en-US"/>
        </w:rPr>
        <w:t xml:space="preserve"> existing CAI tools are mostly fo</w:t>
      </w:r>
      <w:r w:rsidR="00471B2C">
        <w:rPr>
          <w:lang w:val="en-US"/>
        </w:rPr>
        <w:t>cused on terminological support</w:t>
      </w:r>
      <w:r w:rsidR="00540500">
        <w:rPr>
          <w:lang w:val="en-US"/>
        </w:rPr>
        <w:t>, whether in preparing for an assignment or for access in the booth</w:t>
      </w:r>
      <w:r w:rsidR="00471B2C">
        <w:rPr>
          <w:lang w:val="en-US"/>
        </w:rPr>
        <w:t xml:space="preserve">. </w:t>
      </w:r>
      <w:r w:rsidR="001B2643">
        <w:rPr>
          <w:lang w:val="en-US"/>
        </w:rPr>
        <w:t xml:space="preserve">This focus is not surprising - </w:t>
      </w:r>
      <w:r w:rsidR="00354289">
        <w:rPr>
          <w:lang w:val="en-US"/>
        </w:rPr>
        <w:t xml:space="preserve">domain-specific terms are an important obstacle to interpreting quality, and CAI tools have the potential of </w:t>
      </w:r>
      <w:r w:rsidR="004057B7">
        <w:rPr>
          <w:lang w:val="en-US"/>
        </w:rPr>
        <w:t>helping interpreters use them more accurately and</w:t>
      </w:r>
      <w:r w:rsidR="00354289">
        <w:rPr>
          <w:lang w:val="en-US"/>
        </w:rPr>
        <w:t xml:space="preserve"> consistent</w:t>
      </w:r>
      <w:r w:rsidR="004057B7">
        <w:rPr>
          <w:lang w:val="en-US"/>
        </w:rPr>
        <w:t>ly</w:t>
      </w:r>
      <w:r w:rsidR="001E001F">
        <w:rPr>
          <w:lang w:val="en-US"/>
        </w:rPr>
        <w:t xml:space="preserve">. </w:t>
      </w:r>
      <w:r w:rsidR="001B2643">
        <w:rPr>
          <w:lang w:val="en-US"/>
        </w:rPr>
        <w:t xml:space="preserve">Recent studies (Will </w:t>
      </w:r>
      <w:r>
        <w:rPr>
          <w:lang w:val="en-US"/>
        </w:rPr>
        <w:t>2015</w:t>
      </w:r>
      <w:r w:rsidR="000C6E11">
        <w:rPr>
          <w:lang w:val="en-US"/>
        </w:rPr>
        <w:t xml:space="preserve">, </w:t>
      </w:r>
      <w:proofErr w:type="spellStart"/>
      <w:r w:rsidR="000C6E11">
        <w:rPr>
          <w:lang w:val="en-US"/>
        </w:rPr>
        <w:t>Fantinuoli</w:t>
      </w:r>
      <w:proofErr w:type="spellEnd"/>
      <w:r w:rsidR="000C6E11">
        <w:rPr>
          <w:lang w:val="en-US"/>
        </w:rPr>
        <w:t xml:space="preserve"> 2017</w:t>
      </w:r>
      <w:r w:rsidR="00D937ED">
        <w:rPr>
          <w:lang w:val="en-US"/>
        </w:rPr>
        <w:t>a</w:t>
      </w:r>
      <w:r w:rsidR="001B2643">
        <w:rPr>
          <w:lang w:val="en-US"/>
        </w:rPr>
        <w:t>, Costa et al. 2018</w:t>
      </w:r>
      <w:r>
        <w:rPr>
          <w:lang w:val="en-US"/>
        </w:rPr>
        <w:t xml:space="preserve">) </w:t>
      </w:r>
      <w:r w:rsidR="001B2643">
        <w:rPr>
          <w:lang w:val="en-US"/>
        </w:rPr>
        <w:t xml:space="preserve">have surveyed existing </w:t>
      </w:r>
      <w:r w:rsidR="003867AD">
        <w:rPr>
          <w:lang w:val="en-US"/>
        </w:rPr>
        <w:t xml:space="preserve">CAI </w:t>
      </w:r>
      <w:r w:rsidR="001B2643">
        <w:rPr>
          <w:lang w:val="en-US"/>
        </w:rPr>
        <w:t xml:space="preserve">tools </w:t>
      </w:r>
      <w:r w:rsidR="003867AD">
        <w:rPr>
          <w:lang w:val="en-US"/>
        </w:rPr>
        <w:t xml:space="preserve">for terminology management, </w:t>
      </w:r>
      <w:r w:rsidR="001B2643">
        <w:rPr>
          <w:lang w:val="en-US"/>
        </w:rPr>
        <w:t xml:space="preserve">and determined </w:t>
      </w:r>
      <w:r>
        <w:rPr>
          <w:lang w:val="en-US"/>
        </w:rPr>
        <w:t>relevant criteria</w:t>
      </w:r>
      <w:r w:rsidR="003867AD">
        <w:rPr>
          <w:lang w:val="en-US"/>
        </w:rPr>
        <w:t xml:space="preserve"> to evaluate them</w:t>
      </w:r>
      <w:r w:rsidR="001B2643">
        <w:rPr>
          <w:lang w:val="en-US"/>
        </w:rPr>
        <w:t>. F</w:t>
      </w:r>
      <w:r>
        <w:rPr>
          <w:lang w:val="en-US"/>
        </w:rPr>
        <w:t xml:space="preserve">or </w:t>
      </w:r>
      <w:r w:rsidR="004057B7">
        <w:rPr>
          <w:lang w:val="en-US"/>
        </w:rPr>
        <w:t>a knowledge management tool</w:t>
      </w:r>
      <w:r>
        <w:rPr>
          <w:lang w:val="en-US"/>
        </w:rPr>
        <w:t xml:space="preserve"> </w:t>
      </w:r>
      <w:r w:rsidR="001B2643">
        <w:rPr>
          <w:lang w:val="en-US"/>
        </w:rPr>
        <w:t xml:space="preserve">to be practical in the booth, one important requirement </w:t>
      </w:r>
      <w:r>
        <w:rPr>
          <w:lang w:val="en-US"/>
        </w:rPr>
        <w:t xml:space="preserve">is that </w:t>
      </w:r>
      <w:r w:rsidR="004057B7">
        <w:rPr>
          <w:lang w:val="en-US"/>
        </w:rPr>
        <w:t>it</w:t>
      </w:r>
      <w:r>
        <w:rPr>
          <w:lang w:val="en-US"/>
        </w:rPr>
        <w:t xml:space="preserve"> allow</w:t>
      </w:r>
      <w:r w:rsidR="004057B7">
        <w:rPr>
          <w:lang w:val="en-US"/>
        </w:rPr>
        <w:t>s</w:t>
      </w:r>
      <w:r>
        <w:rPr>
          <w:lang w:val="en-US"/>
        </w:rPr>
        <w:t xml:space="preserve"> the interpreter to access reference material quickly and with as little </w:t>
      </w:r>
      <w:r w:rsidR="00EB18EB">
        <w:rPr>
          <w:lang w:val="en-US"/>
        </w:rPr>
        <w:t xml:space="preserve">additional </w:t>
      </w:r>
      <w:r>
        <w:rPr>
          <w:lang w:val="en-US"/>
        </w:rPr>
        <w:t xml:space="preserve">cognitive load as possible. </w:t>
      </w:r>
      <w:r w:rsidR="000458A4">
        <w:rPr>
          <w:lang w:val="en-US"/>
        </w:rPr>
        <w:t xml:space="preserve">This </w:t>
      </w:r>
      <w:r w:rsidR="00340569">
        <w:rPr>
          <w:lang w:val="en-US"/>
        </w:rPr>
        <w:t xml:space="preserve">can be achieved with </w:t>
      </w:r>
      <w:r>
        <w:rPr>
          <w:lang w:val="en-US"/>
        </w:rPr>
        <w:t>good knowledge representation,</w:t>
      </w:r>
      <w:r w:rsidR="00303D34">
        <w:rPr>
          <w:lang w:val="en-US"/>
        </w:rPr>
        <w:t xml:space="preserve"> clear </w:t>
      </w:r>
      <w:r w:rsidR="007F0FCD">
        <w:rPr>
          <w:lang w:val="en-US"/>
        </w:rPr>
        <w:t xml:space="preserve">presentation </w:t>
      </w:r>
      <w:r w:rsidR="00303D34">
        <w:rPr>
          <w:lang w:val="en-US"/>
        </w:rPr>
        <w:t xml:space="preserve">and ergonomic </w:t>
      </w:r>
      <w:r w:rsidR="00FD13B6">
        <w:rPr>
          <w:lang w:val="en-US"/>
        </w:rPr>
        <w:t>operation, and good search algorithms.</w:t>
      </w:r>
    </w:p>
    <w:p w14:paraId="46A215C2" w14:textId="78239812" w:rsidR="000946AE" w:rsidRDefault="007F0FCD" w:rsidP="00AC281F">
      <w:pPr>
        <w:rPr>
          <w:lang w:val="en-US"/>
        </w:rPr>
      </w:pPr>
      <w:r>
        <w:rPr>
          <w:lang w:val="en-US"/>
        </w:rPr>
        <w:t>It is</w:t>
      </w:r>
      <w:r w:rsidR="00FD13B6">
        <w:rPr>
          <w:lang w:val="en-US"/>
        </w:rPr>
        <w:t xml:space="preserve"> </w:t>
      </w:r>
      <w:r>
        <w:rPr>
          <w:lang w:val="en-US"/>
        </w:rPr>
        <w:t>essential that relev</w:t>
      </w:r>
      <w:r w:rsidR="00270FCC">
        <w:rPr>
          <w:lang w:val="en-US"/>
        </w:rPr>
        <w:t>ant information</w:t>
      </w:r>
      <w:r>
        <w:rPr>
          <w:lang w:val="en-US"/>
        </w:rPr>
        <w:t xml:space="preserve"> can be retrieved fast</w:t>
      </w:r>
      <w:r w:rsidR="00FD13B6">
        <w:rPr>
          <w:lang w:val="en-US"/>
        </w:rPr>
        <w:t xml:space="preserve">, i.e. </w:t>
      </w:r>
      <w:r>
        <w:rPr>
          <w:lang w:val="en-US"/>
        </w:rPr>
        <w:t xml:space="preserve">within the ear-voice span. </w:t>
      </w:r>
      <w:r w:rsidR="004263AA">
        <w:rPr>
          <w:lang w:val="en-US"/>
        </w:rPr>
        <w:t>A</w:t>
      </w:r>
      <w:r w:rsidR="00BB7D61">
        <w:rPr>
          <w:lang w:val="en-US"/>
        </w:rPr>
        <w:t xml:space="preserve">utomatic </w:t>
      </w:r>
      <w:r w:rsidR="004263AA">
        <w:rPr>
          <w:lang w:val="en-US"/>
        </w:rPr>
        <w:t>Speech R</w:t>
      </w:r>
      <w:r w:rsidR="00BB7D61">
        <w:rPr>
          <w:lang w:val="en-US"/>
        </w:rPr>
        <w:t xml:space="preserve">ecognition </w:t>
      </w:r>
      <w:r w:rsidR="00374D3F">
        <w:rPr>
          <w:lang w:val="en-US"/>
        </w:rPr>
        <w:t xml:space="preserve">(ASR) </w:t>
      </w:r>
      <w:r w:rsidR="00D41C56">
        <w:rPr>
          <w:lang w:val="en-US"/>
        </w:rPr>
        <w:t xml:space="preserve">has the potential </w:t>
      </w:r>
      <w:r w:rsidR="000C6E11">
        <w:rPr>
          <w:lang w:val="en-US"/>
        </w:rPr>
        <w:t>of</w:t>
      </w:r>
      <w:r w:rsidR="00BB7D61">
        <w:rPr>
          <w:lang w:val="en-US"/>
        </w:rPr>
        <w:t xml:space="preserve"> speeding up the loo</w:t>
      </w:r>
      <w:r w:rsidR="00CD76CD">
        <w:rPr>
          <w:lang w:val="en-US"/>
        </w:rPr>
        <w:t>k</w:t>
      </w:r>
      <w:r w:rsidR="006B1DAE">
        <w:rPr>
          <w:lang w:val="en-US"/>
        </w:rPr>
        <w:t>-</w:t>
      </w:r>
      <w:r w:rsidR="00CD76CD">
        <w:rPr>
          <w:lang w:val="en-US"/>
        </w:rPr>
        <w:t>up process</w:t>
      </w:r>
      <w:r w:rsidR="00630B20">
        <w:rPr>
          <w:lang w:val="en-US"/>
        </w:rPr>
        <w:t xml:space="preserve"> and </w:t>
      </w:r>
      <w:r>
        <w:rPr>
          <w:lang w:val="en-US"/>
        </w:rPr>
        <w:t>solving</w:t>
      </w:r>
      <w:r w:rsidR="00F22C5D">
        <w:rPr>
          <w:lang w:val="en-US"/>
        </w:rPr>
        <w:t xml:space="preserve"> the </w:t>
      </w:r>
      <w:r w:rsidR="00374D3F">
        <w:rPr>
          <w:lang w:val="en-US"/>
        </w:rPr>
        <w:t>cognitive effort</w:t>
      </w:r>
      <w:r w:rsidR="00F22C5D">
        <w:rPr>
          <w:lang w:val="en-US"/>
        </w:rPr>
        <w:t xml:space="preserve"> and latency of manual querying</w:t>
      </w:r>
      <w:r w:rsidR="00CD76CD">
        <w:rPr>
          <w:lang w:val="en-US"/>
        </w:rPr>
        <w:t>.</w:t>
      </w:r>
      <w:r w:rsidR="00374D3F">
        <w:rPr>
          <w:lang w:val="en-US"/>
        </w:rPr>
        <w:t xml:space="preserve"> Technological </w:t>
      </w:r>
      <w:r w:rsidR="000C6E11">
        <w:rPr>
          <w:lang w:val="en-US"/>
        </w:rPr>
        <w:t>advances in the field have</w:t>
      </w:r>
      <w:r w:rsidR="00374D3F">
        <w:rPr>
          <w:lang w:val="en-US"/>
        </w:rPr>
        <w:t xml:space="preserve"> been rapid in recent years, especially since the introduction of neural networks to solve the task (</w:t>
      </w:r>
      <w:r w:rsidR="00C31640">
        <w:rPr>
          <w:lang w:val="en-US"/>
        </w:rPr>
        <w:t>Yu, 2016</w:t>
      </w:r>
      <w:r w:rsidR="00374D3F">
        <w:rPr>
          <w:lang w:val="en-US"/>
        </w:rPr>
        <w:t xml:space="preserve">). </w:t>
      </w:r>
      <w:r w:rsidR="00664E13">
        <w:rPr>
          <w:lang w:val="en-US"/>
        </w:rPr>
        <w:t xml:space="preserve">Given the </w:t>
      </w:r>
      <w:r w:rsidR="00233B1A">
        <w:rPr>
          <w:lang w:val="en-US"/>
        </w:rPr>
        <w:t xml:space="preserve">current state of the art </w:t>
      </w:r>
      <w:r w:rsidR="000C6E11">
        <w:rPr>
          <w:lang w:val="en-US"/>
        </w:rPr>
        <w:t xml:space="preserve">in ASR </w:t>
      </w:r>
      <w:r w:rsidR="00233B1A">
        <w:rPr>
          <w:lang w:val="en-US"/>
        </w:rPr>
        <w:t>and its foreseeable progress</w:t>
      </w:r>
      <w:r w:rsidR="00664E13">
        <w:rPr>
          <w:lang w:val="en-US"/>
        </w:rPr>
        <w:t xml:space="preserve">, it </w:t>
      </w:r>
      <w:r w:rsidR="00233B1A">
        <w:rPr>
          <w:lang w:val="en-US"/>
        </w:rPr>
        <w:t>seems to be a matter of time before the technology is used in CAI tools to support interpreters</w:t>
      </w:r>
      <w:r w:rsidR="000C6E11">
        <w:rPr>
          <w:lang w:val="en-US"/>
        </w:rPr>
        <w:t xml:space="preserve"> with terminology look-up, </w:t>
      </w:r>
      <w:r w:rsidR="00B32120">
        <w:rPr>
          <w:lang w:val="en-US"/>
        </w:rPr>
        <w:t>and/or</w:t>
      </w:r>
      <w:r w:rsidR="00233B1A">
        <w:rPr>
          <w:lang w:val="en-US"/>
        </w:rPr>
        <w:t xml:space="preserve"> </w:t>
      </w:r>
      <w:r w:rsidR="000C251D">
        <w:rPr>
          <w:lang w:val="en-US"/>
        </w:rPr>
        <w:t>with information-dense content like numbers</w:t>
      </w:r>
      <w:r w:rsidR="00486C72">
        <w:rPr>
          <w:lang w:val="en-US"/>
        </w:rPr>
        <w:t xml:space="preserve">, </w:t>
      </w:r>
      <w:r w:rsidR="00B32120">
        <w:rPr>
          <w:lang w:val="en-US"/>
        </w:rPr>
        <w:t xml:space="preserve">as explored in </w:t>
      </w:r>
      <w:proofErr w:type="spellStart"/>
      <w:r w:rsidR="00B32120">
        <w:rPr>
          <w:lang w:val="en-US"/>
        </w:rPr>
        <w:t>Fantinuoli</w:t>
      </w:r>
      <w:proofErr w:type="spellEnd"/>
      <w:r w:rsidR="00B32120">
        <w:rPr>
          <w:lang w:val="en-US"/>
        </w:rPr>
        <w:t xml:space="preserve"> (2017b). This paper will focus on the latter of these aspects. </w:t>
      </w:r>
    </w:p>
    <w:p w14:paraId="494ED691" w14:textId="11BC4428" w:rsidR="00A01C07" w:rsidRDefault="000946AE" w:rsidP="00385942">
      <w:pPr>
        <w:rPr>
          <w:lang w:val="en-US"/>
        </w:rPr>
      </w:pPr>
      <w:r>
        <w:rPr>
          <w:lang w:val="en-US"/>
        </w:rPr>
        <w:lastRenderedPageBreak/>
        <w:t>While</w:t>
      </w:r>
      <w:r w:rsidR="00385942">
        <w:rPr>
          <w:lang w:val="en-US"/>
        </w:rPr>
        <w:t xml:space="preserve"> the development and adoption of CAI tools has been limited, scientific research on the impact of their use has been even scarcer. The main contribution of this work is that it experimentally evaluates the potential impact of ASR-driven CAI support that </w:t>
      </w:r>
      <w:r w:rsidR="000C251D">
        <w:rPr>
          <w:lang w:val="en-US"/>
        </w:rPr>
        <w:t>d</w:t>
      </w:r>
      <w:r w:rsidR="00385942">
        <w:rPr>
          <w:lang w:val="en-US"/>
        </w:rPr>
        <w:t>isplays</w:t>
      </w:r>
      <w:r w:rsidR="000C251D">
        <w:rPr>
          <w:lang w:val="en-US"/>
        </w:rPr>
        <w:t xml:space="preserve"> numbers on-screen in real time.</w:t>
      </w:r>
    </w:p>
    <w:p w14:paraId="65D08D22" w14:textId="1560C2CD" w:rsidR="0019308A" w:rsidRDefault="00843E8F" w:rsidP="0019308A">
      <w:pPr>
        <w:pStyle w:val="Heading2"/>
        <w:numPr>
          <w:ilvl w:val="0"/>
          <w:numId w:val="5"/>
        </w:numPr>
        <w:rPr>
          <w:lang w:val="en-US"/>
        </w:rPr>
      </w:pPr>
      <w:r>
        <w:rPr>
          <w:lang w:val="en-US"/>
        </w:rPr>
        <w:t>Experiment</w:t>
      </w:r>
    </w:p>
    <w:p w14:paraId="26884DFB" w14:textId="65EA8386" w:rsidR="00CB3B50" w:rsidRDefault="00D43AE5" w:rsidP="00874376">
      <w:pPr>
        <w:rPr>
          <w:lang w:val="en-US"/>
        </w:rPr>
      </w:pPr>
      <w:r>
        <w:rPr>
          <w:lang w:val="en-US"/>
        </w:rPr>
        <w:t xml:space="preserve">The aim of this experiment is twofold: to determine if </w:t>
      </w:r>
      <w:r w:rsidR="00283CAF">
        <w:rPr>
          <w:lang w:val="en-US"/>
        </w:rPr>
        <w:t>limited technological support can improve the accuracy of interpreted numbers, and how this improvement breaks down over different number and error types</w:t>
      </w:r>
      <w:r>
        <w:rPr>
          <w:lang w:val="en-US"/>
        </w:rPr>
        <w:t>.</w:t>
      </w:r>
      <w:r w:rsidR="00CB3B50">
        <w:rPr>
          <w:lang w:val="en-US"/>
        </w:rPr>
        <w:t xml:space="preserve"> In the following, we describe the system used as a proxy for </w:t>
      </w:r>
      <w:r w:rsidR="00874376">
        <w:rPr>
          <w:lang w:val="en-US"/>
        </w:rPr>
        <w:t>automatic</w:t>
      </w:r>
      <w:r w:rsidR="00CB3B50">
        <w:rPr>
          <w:lang w:val="en-US"/>
        </w:rPr>
        <w:t xml:space="preserve"> number support, the participant</w:t>
      </w:r>
      <w:r w:rsidR="00874376">
        <w:rPr>
          <w:lang w:val="en-US"/>
        </w:rPr>
        <w:t>s</w:t>
      </w:r>
      <w:r w:rsidR="00133CF1">
        <w:rPr>
          <w:lang w:val="en-US"/>
        </w:rPr>
        <w:t>,</w:t>
      </w:r>
      <w:r w:rsidR="00CB3B50">
        <w:rPr>
          <w:lang w:val="en-US"/>
        </w:rPr>
        <w:t xml:space="preserve"> </w:t>
      </w:r>
      <w:r w:rsidR="00133CF1">
        <w:rPr>
          <w:lang w:val="en-US"/>
        </w:rPr>
        <w:t xml:space="preserve">selected </w:t>
      </w:r>
      <w:r w:rsidR="00874376">
        <w:rPr>
          <w:lang w:val="en-US"/>
        </w:rPr>
        <w:t>speeches and</w:t>
      </w:r>
      <w:r w:rsidR="00CB3B50">
        <w:rPr>
          <w:lang w:val="en-US"/>
        </w:rPr>
        <w:t xml:space="preserve"> </w:t>
      </w:r>
      <w:r w:rsidR="00874376">
        <w:rPr>
          <w:lang w:val="en-US"/>
        </w:rPr>
        <w:t xml:space="preserve">the </w:t>
      </w:r>
      <w:r w:rsidR="00CB3B50">
        <w:rPr>
          <w:lang w:val="en-US"/>
        </w:rPr>
        <w:t xml:space="preserve">distribution of numbers </w:t>
      </w:r>
      <w:r w:rsidR="00874376">
        <w:rPr>
          <w:lang w:val="en-US"/>
        </w:rPr>
        <w:t>in them, the experimental setup and the parameters for evaluation</w:t>
      </w:r>
      <w:r w:rsidR="00CB3B50">
        <w:rPr>
          <w:lang w:val="en-US"/>
        </w:rPr>
        <w:t>.</w:t>
      </w:r>
    </w:p>
    <w:p w14:paraId="56A35D88" w14:textId="6E4832D2" w:rsidR="00CB3B50" w:rsidRDefault="00874376" w:rsidP="00874376">
      <w:pPr>
        <w:pStyle w:val="Heading3"/>
        <w:rPr>
          <w:lang w:val="en-US"/>
        </w:rPr>
      </w:pPr>
      <w:r>
        <w:rPr>
          <w:lang w:val="en-US"/>
        </w:rPr>
        <w:t>A p</w:t>
      </w:r>
      <w:r w:rsidR="00CB3B50">
        <w:rPr>
          <w:lang w:val="en-US"/>
        </w:rPr>
        <w:t xml:space="preserve">roxy </w:t>
      </w:r>
      <w:r>
        <w:rPr>
          <w:lang w:val="en-US"/>
        </w:rPr>
        <w:t xml:space="preserve">system </w:t>
      </w:r>
      <w:r w:rsidR="00CB3B50">
        <w:rPr>
          <w:lang w:val="en-US"/>
        </w:rPr>
        <w:t xml:space="preserve">for </w:t>
      </w:r>
      <w:r>
        <w:rPr>
          <w:lang w:val="en-US"/>
        </w:rPr>
        <w:t xml:space="preserve">automatic </w:t>
      </w:r>
      <w:r w:rsidR="00CB3B50">
        <w:rPr>
          <w:lang w:val="en-US"/>
        </w:rPr>
        <w:t>number support</w:t>
      </w:r>
    </w:p>
    <w:p w14:paraId="3B4E4FC5" w14:textId="2A8DBA53" w:rsidR="009F7F7A" w:rsidRDefault="009A7BE2" w:rsidP="009045FC">
      <w:pPr>
        <w:rPr>
          <w:lang w:val="en-US"/>
        </w:rPr>
      </w:pPr>
      <w:r>
        <w:rPr>
          <w:lang w:val="en-US"/>
        </w:rPr>
        <w:t>An ideal system for number support during simultaneous interpretation would consist of three components: 1) ASR that can transform an incoming speech signal into text quickly, accurately and without the need for being tuned to a specific speaker or accent, 2) software to isolate numbers from the text in meaningful units, and 3) a way of ergonomically presenting those numbers to the interpreter.</w:t>
      </w:r>
    </w:p>
    <w:p w14:paraId="2EFE5238" w14:textId="60D9DE09" w:rsidR="00C37471" w:rsidRDefault="00283CAF" w:rsidP="002857A6">
      <w:pPr>
        <w:rPr>
          <w:lang w:val="en-US"/>
        </w:rPr>
      </w:pPr>
      <w:r>
        <w:rPr>
          <w:lang w:val="en-US"/>
        </w:rPr>
        <w:t>Since no such system exist</w:t>
      </w:r>
      <w:r w:rsidR="00560287">
        <w:rPr>
          <w:lang w:val="en-US"/>
        </w:rPr>
        <w:t>ed at the time this study was conducted</w:t>
      </w:r>
      <w:r>
        <w:rPr>
          <w:lang w:val="en-US"/>
        </w:rPr>
        <w:t xml:space="preserve">, a mock-up system </w:t>
      </w:r>
      <w:r w:rsidR="00F359D4">
        <w:rPr>
          <w:lang w:val="en-US"/>
        </w:rPr>
        <w:t>was used to simulate</w:t>
      </w:r>
      <w:r w:rsidR="007A5B14">
        <w:rPr>
          <w:lang w:val="en-US"/>
        </w:rPr>
        <w:t xml:space="preserve"> the</w:t>
      </w:r>
      <w:r>
        <w:rPr>
          <w:lang w:val="en-US"/>
        </w:rPr>
        <w:t xml:space="preserve"> desired </w:t>
      </w:r>
      <w:r w:rsidR="007871D0">
        <w:rPr>
          <w:lang w:val="en-US"/>
        </w:rPr>
        <w:t>behavior</w:t>
      </w:r>
      <w:r w:rsidR="006B41B9">
        <w:rPr>
          <w:lang w:val="en-US"/>
        </w:rPr>
        <w:t xml:space="preserve">. </w:t>
      </w:r>
      <w:r w:rsidR="00D92239">
        <w:rPr>
          <w:lang w:val="en-US"/>
        </w:rPr>
        <w:t>Microsoft PowerP</w:t>
      </w:r>
      <w:r w:rsidR="007A5B14">
        <w:rPr>
          <w:lang w:val="en-US"/>
        </w:rPr>
        <w:t>oint presentation</w:t>
      </w:r>
      <w:r w:rsidR="006B41B9">
        <w:rPr>
          <w:lang w:val="en-US"/>
        </w:rPr>
        <w:t xml:space="preserve">s were prepared </w:t>
      </w:r>
      <w:r w:rsidR="00220AF4">
        <w:rPr>
          <w:lang w:val="en-US"/>
        </w:rPr>
        <w:t xml:space="preserve">ahead of time </w:t>
      </w:r>
      <w:r w:rsidR="006B41B9">
        <w:rPr>
          <w:lang w:val="en-US"/>
        </w:rPr>
        <w:t xml:space="preserve">based on the speech transcripts, </w:t>
      </w:r>
      <w:r w:rsidR="007A577E">
        <w:rPr>
          <w:lang w:val="en-US"/>
        </w:rPr>
        <w:t>containing</w:t>
      </w:r>
      <w:r w:rsidR="006B41B9">
        <w:rPr>
          <w:lang w:val="en-US"/>
        </w:rPr>
        <w:t xml:space="preserve"> one slide per number in the speech.</w:t>
      </w:r>
      <w:r w:rsidR="002857A6">
        <w:rPr>
          <w:lang w:val="en-US"/>
        </w:rPr>
        <w:t xml:space="preserve"> Figure 1 shows an example slide as used in the experiment.</w:t>
      </w:r>
      <w:r w:rsidR="006B41B9">
        <w:rPr>
          <w:lang w:val="en-US"/>
        </w:rPr>
        <w:t xml:space="preserve"> </w:t>
      </w:r>
      <w:r w:rsidR="00B25871">
        <w:rPr>
          <w:lang w:val="en-US"/>
        </w:rPr>
        <w:t>Numbers</w:t>
      </w:r>
      <w:r w:rsidR="006B41B9">
        <w:rPr>
          <w:lang w:val="en-US"/>
        </w:rPr>
        <w:t xml:space="preserve"> </w:t>
      </w:r>
      <w:r w:rsidR="00B32120">
        <w:rPr>
          <w:lang w:val="en-US"/>
        </w:rPr>
        <w:t xml:space="preserve">were </w:t>
      </w:r>
      <w:r w:rsidR="00B25871">
        <w:rPr>
          <w:lang w:val="en-US"/>
        </w:rPr>
        <w:t xml:space="preserve">presented </w:t>
      </w:r>
      <w:r w:rsidR="006B41B9">
        <w:rPr>
          <w:lang w:val="en-US"/>
        </w:rPr>
        <w:t xml:space="preserve">in </w:t>
      </w:r>
      <w:r w:rsidR="007A577E">
        <w:rPr>
          <w:lang w:val="en-US"/>
        </w:rPr>
        <w:t>numerical format</w:t>
      </w:r>
      <w:r w:rsidR="006B41B9">
        <w:rPr>
          <w:lang w:val="en-US"/>
        </w:rPr>
        <w:t xml:space="preserve"> with spacing between multiples of a thousand</w:t>
      </w:r>
      <w:r w:rsidR="007A577E">
        <w:rPr>
          <w:lang w:val="en-US"/>
        </w:rPr>
        <w:t xml:space="preserve">, and </w:t>
      </w:r>
      <w:r w:rsidR="006B41B9">
        <w:rPr>
          <w:lang w:val="en-US"/>
        </w:rPr>
        <w:t xml:space="preserve">formatted </w:t>
      </w:r>
      <w:r w:rsidR="007A577E">
        <w:rPr>
          <w:lang w:val="en-US"/>
        </w:rPr>
        <w:t>in a large fixed-width font.</w:t>
      </w:r>
      <w:r w:rsidR="00B25871">
        <w:rPr>
          <w:lang w:val="en-US"/>
        </w:rPr>
        <w:t xml:space="preserve"> </w:t>
      </w:r>
      <w:r w:rsidR="00A6297D">
        <w:rPr>
          <w:lang w:val="en-US"/>
        </w:rPr>
        <w:t>T</w:t>
      </w:r>
      <w:r w:rsidR="007A577E">
        <w:rPr>
          <w:lang w:val="en-US"/>
        </w:rPr>
        <w:t xml:space="preserve">he two previous numbers (if available) </w:t>
      </w:r>
      <w:r w:rsidR="00B32120">
        <w:rPr>
          <w:lang w:val="en-US"/>
        </w:rPr>
        <w:t xml:space="preserve">were </w:t>
      </w:r>
      <w:r w:rsidR="00A6297D">
        <w:rPr>
          <w:lang w:val="en-US"/>
        </w:rPr>
        <w:t>displayed</w:t>
      </w:r>
      <w:r w:rsidR="00B25871">
        <w:rPr>
          <w:lang w:val="en-US"/>
        </w:rPr>
        <w:t xml:space="preserve"> above the focus number, so that </w:t>
      </w:r>
      <w:r w:rsidR="00A6297D">
        <w:rPr>
          <w:lang w:val="en-US"/>
        </w:rPr>
        <w:t xml:space="preserve">numbers in rapid succession </w:t>
      </w:r>
      <w:r w:rsidR="004D3299">
        <w:rPr>
          <w:lang w:val="en-US"/>
        </w:rPr>
        <w:t>would stay</w:t>
      </w:r>
      <w:r w:rsidR="00A6297D">
        <w:rPr>
          <w:lang w:val="en-US"/>
        </w:rPr>
        <w:t xml:space="preserve"> accessible longer</w:t>
      </w:r>
      <w:r w:rsidR="00B25871">
        <w:rPr>
          <w:lang w:val="en-US"/>
        </w:rPr>
        <w:t>.</w:t>
      </w:r>
      <w:r w:rsidR="007A577E">
        <w:rPr>
          <w:lang w:val="en-US"/>
        </w:rPr>
        <w:t xml:space="preserve"> </w:t>
      </w:r>
      <w:r w:rsidR="006B41B9">
        <w:rPr>
          <w:lang w:val="en-US"/>
        </w:rPr>
        <w:t xml:space="preserve">During the experiment, the presentation was </w:t>
      </w:r>
      <w:r w:rsidR="00A6297D">
        <w:rPr>
          <w:lang w:val="en-US"/>
        </w:rPr>
        <w:t>shown</w:t>
      </w:r>
      <w:r w:rsidR="007A5B14">
        <w:rPr>
          <w:lang w:val="en-US"/>
        </w:rPr>
        <w:t xml:space="preserve"> on a big screen in the conference room</w:t>
      </w:r>
      <w:r w:rsidR="00383974">
        <w:rPr>
          <w:lang w:val="en-US"/>
        </w:rPr>
        <w:t xml:space="preserve">, </w:t>
      </w:r>
      <w:r w:rsidR="006B41B9">
        <w:rPr>
          <w:lang w:val="en-US"/>
        </w:rPr>
        <w:t>and slides were</w:t>
      </w:r>
      <w:r w:rsidR="00383974">
        <w:rPr>
          <w:lang w:val="en-US"/>
        </w:rPr>
        <w:t xml:space="preserve"> manually advanced i</w:t>
      </w:r>
      <w:r w:rsidR="00795492">
        <w:rPr>
          <w:lang w:val="en-US"/>
        </w:rPr>
        <w:t xml:space="preserve">mmediately after </w:t>
      </w:r>
      <w:r w:rsidR="00383974">
        <w:rPr>
          <w:lang w:val="en-US"/>
        </w:rPr>
        <w:t>a number had been fully pronounced</w:t>
      </w:r>
      <w:r w:rsidR="00A6297D">
        <w:rPr>
          <w:lang w:val="en-US"/>
        </w:rPr>
        <w:t>, i.e. simulating an automatic system with minimal latency.</w:t>
      </w:r>
    </w:p>
    <w:p w14:paraId="6DA4E9AF" w14:textId="5145EF91" w:rsidR="00C37471" w:rsidRDefault="0047771C" w:rsidP="002857A6">
      <w:pPr>
        <w:jc w:val="center"/>
        <w:rPr>
          <w:lang w:val="en-US"/>
        </w:rPr>
      </w:pPr>
      <w:r>
        <w:rPr>
          <w:noProof/>
          <w:lang w:val="en-GB" w:eastAsia="en-GB"/>
        </w:rPr>
        <w:drawing>
          <wp:inline distT="0" distB="0" distL="0" distR="0" wp14:anchorId="5F420A84" wp14:editId="03AED52B">
            <wp:extent cx="3323148" cy="2347434"/>
            <wp:effectExtent l="25400" t="25400" r="29845" b="15240"/>
            <wp:docPr id="4" name="Picture 4" descr="../../../../onderwijs/Masterproeven/2016-17/Mieke%20Vandierendonck/Data/ppt%20testversie%20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derwijs/Masterproeven/2016-17/Mieke%20Vandierendonck/Data/ppt%20testversie%202.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758" cy="2370470"/>
                    </a:xfrm>
                    <a:prstGeom prst="rect">
                      <a:avLst/>
                    </a:prstGeom>
                    <a:noFill/>
                    <a:ln>
                      <a:solidFill>
                        <a:srgbClr val="000000"/>
                      </a:solidFill>
                    </a:ln>
                  </pic:spPr>
                </pic:pic>
              </a:graphicData>
            </a:graphic>
          </wp:inline>
        </w:drawing>
      </w:r>
      <w:bookmarkStart w:id="0" w:name="_GoBack"/>
      <w:bookmarkEnd w:id="0"/>
    </w:p>
    <w:p w14:paraId="090EF6C7" w14:textId="02B9B60F" w:rsidR="002857A6" w:rsidRDefault="002857A6" w:rsidP="002857A6">
      <w:pPr>
        <w:pStyle w:val="Caption"/>
        <w:jc w:val="center"/>
        <w:rPr>
          <w:lang w:val="en-US"/>
        </w:rPr>
      </w:pPr>
      <w:r w:rsidRPr="00DB1A07">
        <w:rPr>
          <w:lang w:val="en-US"/>
        </w:rPr>
        <w:t xml:space="preserve">Figure </w:t>
      </w:r>
      <w:r>
        <w:fldChar w:fldCharType="begin"/>
      </w:r>
      <w:r w:rsidRPr="00DB1A07">
        <w:rPr>
          <w:lang w:val="en-US"/>
        </w:rPr>
        <w:instrText xml:space="preserve"> SEQ Figure \* ARABIC </w:instrText>
      </w:r>
      <w:r>
        <w:fldChar w:fldCharType="separate"/>
      </w:r>
      <w:r>
        <w:rPr>
          <w:noProof/>
          <w:lang w:val="en-US"/>
        </w:rPr>
        <w:t>1</w:t>
      </w:r>
      <w:r>
        <w:rPr>
          <w:noProof/>
        </w:rPr>
        <w:fldChar w:fldCharType="end"/>
      </w:r>
      <w:r w:rsidRPr="00DB1A07">
        <w:rPr>
          <w:lang w:val="en-US"/>
        </w:rPr>
        <w:t xml:space="preserve">: </w:t>
      </w:r>
      <w:r>
        <w:rPr>
          <w:lang w:val="en-US"/>
        </w:rPr>
        <w:t>Example of the mock-up technological support, showing the three most recent numbers that have been pronounced by the speaker (Microsoft PowerPoint slide). New numbers are added to the bottom of the slide, with old numbers shifting upwards. A maximum of three numbers is shown.</w:t>
      </w:r>
    </w:p>
    <w:p w14:paraId="70BDA035" w14:textId="0C6F6E74" w:rsidR="00283CAF" w:rsidRPr="008E7A8A" w:rsidRDefault="008E7A8A" w:rsidP="00CB3B50">
      <w:pPr>
        <w:pStyle w:val="Heading3"/>
        <w:rPr>
          <w:lang w:val="en-US"/>
        </w:rPr>
      </w:pPr>
      <w:r w:rsidRPr="008E7A8A">
        <w:rPr>
          <w:lang w:val="en-US"/>
        </w:rPr>
        <w:lastRenderedPageBreak/>
        <w:t>Participants</w:t>
      </w:r>
    </w:p>
    <w:p w14:paraId="5B83D8E4" w14:textId="63439E13" w:rsidR="00CB3B50" w:rsidRDefault="00A6297D" w:rsidP="00B40BE7">
      <w:pPr>
        <w:rPr>
          <w:lang w:val="en-US"/>
        </w:rPr>
      </w:pPr>
      <w:r>
        <w:rPr>
          <w:lang w:val="en-US"/>
        </w:rPr>
        <w:t>The experiment was performed with ten</w:t>
      </w:r>
      <w:r w:rsidR="00255470">
        <w:rPr>
          <w:lang w:val="en-US"/>
        </w:rPr>
        <w:t xml:space="preserve"> interpretation students</w:t>
      </w:r>
      <w:r w:rsidR="008E7A8A">
        <w:rPr>
          <w:lang w:val="en-US"/>
        </w:rPr>
        <w:t xml:space="preserve"> enrolled in the postgraduate program for Conference Interpreting at Ghent University</w:t>
      </w:r>
      <w:r w:rsidR="00AD2AA4">
        <w:rPr>
          <w:lang w:val="en-US"/>
        </w:rPr>
        <w:t xml:space="preserve"> with Dutch as an A-language</w:t>
      </w:r>
      <w:r w:rsidR="008E7A8A">
        <w:rPr>
          <w:lang w:val="en-US"/>
        </w:rPr>
        <w:t xml:space="preserve">. </w:t>
      </w:r>
      <w:r w:rsidR="00577947">
        <w:rPr>
          <w:lang w:val="en-US"/>
        </w:rPr>
        <w:t xml:space="preserve">Seven </w:t>
      </w:r>
      <w:r w:rsidR="00CB3B50">
        <w:rPr>
          <w:lang w:val="en-US"/>
        </w:rPr>
        <w:t>of them</w:t>
      </w:r>
      <w:r w:rsidR="00577947">
        <w:rPr>
          <w:lang w:val="en-US"/>
        </w:rPr>
        <w:t xml:space="preserve"> had completed a 4-year applied linguistics program with a focus on French, the three others with a focus on German</w:t>
      </w:r>
      <w:r w:rsidR="00CB3B50">
        <w:rPr>
          <w:lang w:val="en-US"/>
        </w:rPr>
        <w:t xml:space="preserve">, making them proficient at the </w:t>
      </w:r>
      <w:r w:rsidR="00CB3B50" w:rsidRPr="00524A1C">
        <w:rPr>
          <w:lang w:val="en-US"/>
        </w:rPr>
        <w:t>C</w:t>
      </w:r>
      <w:r w:rsidR="00DB1A07" w:rsidRPr="00524A1C">
        <w:rPr>
          <w:lang w:val="en-US"/>
        </w:rPr>
        <w:t>2</w:t>
      </w:r>
      <w:r w:rsidR="00CB3B50">
        <w:rPr>
          <w:lang w:val="en-US"/>
        </w:rPr>
        <w:t xml:space="preserve"> level according to the CEFR framework (</w:t>
      </w:r>
      <w:r w:rsidR="00777AAB">
        <w:rPr>
          <w:lang w:val="en-US"/>
        </w:rPr>
        <w:t>Council of Europe</w:t>
      </w:r>
      <w:r w:rsidR="00BD1C15">
        <w:rPr>
          <w:lang w:val="en-US"/>
        </w:rPr>
        <w:t xml:space="preserve"> 2001</w:t>
      </w:r>
      <w:r w:rsidR="00CB3B50">
        <w:rPr>
          <w:lang w:val="en-US"/>
        </w:rPr>
        <w:t xml:space="preserve">). </w:t>
      </w:r>
      <w:r w:rsidR="00AD2AA4">
        <w:rPr>
          <w:lang w:val="en-US"/>
        </w:rPr>
        <w:t xml:space="preserve">At the time of the experiment, all participants had </w:t>
      </w:r>
      <w:r w:rsidR="00B40BE7">
        <w:rPr>
          <w:lang w:val="en-US"/>
        </w:rPr>
        <w:t>received</w:t>
      </w:r>
      <w:r w:rsidR="00AD2AA4">
        <w:rPr>
          <w:lang w:val="en-US"/>
        </w:rPr>
        <w:t xml:space="preserve"> 5 weeks of simultaneous trai</w:t>
      </w:r>
      <w:r w:rsidR="00E442B5">
        <w:rPr>
          <w:lang w:val="en-US"/>
        </w:rPr>
        <w:t xml:space="preserve">ning at the postgraduate level </w:t>
      </w:r>
      <w:r w:rsidR="00FC2FE7">
        <w:rPr>
          <w:lang w:val="en-US"/>
        </w:rPr>
        <w:t xml:space="preserve">and </w:t>
      </w:r>
      <w:r w:rsidR="00AD2AA4">
        <w:rPr>
          <w:lang w:val="en-US"/>
        </w:rPr>
        <w:t xml:space="preserve">were taking additional </w:t>
      </w:r>
      <w:r w:rsidR="00AD2AA4" w:rsidRPr="00524A1C">
        <w:rPr>
          <w:i/>
          <w:lang w:val="en-US"/>
        </w:rPr>
        <w:t>retour</w:t>
      </w:r>
      <w:r w:rsidR="00AD2AA4">
        <w:rPr>
          <w:lang w:val="en-US"/>
        </w:rPr>
        <w:t xml:space="preserve"> classes for the </w:t>
      </w:r>
      <w:r w:rsidR="00E442B5">
        <w:rPr>
          <w:lang w:val="en-US"/>
        </w:rPr>
        <w:t xml:space="preserve">source </w:t>
      </w:r>
      <w:r w:rsidR="00AD2AA4">
        <w:rPr>
          <w:lang w:val="en-US"/>
        </w:rPr>
        <w:t>language</w:t>
      </w:r>
      <w:r w:rsidR="00E442B5">
        <w:rPr>
          <w:lang w:val="en-US"/>
        </w:rPr>
        <w:t>s of the experiment</w:t>
      </w:r>
      <w:r w:rsidR="00AD2AA4">
        <w:rPr>
          <w:lang w:val="en-US"/>
        </w:rPr>
        <w:t xml:space="preserve">. </w:t>
      </w:r>
      <w:r w:rsidR="00940EB1">
        <w:rPr>
          <w:lang w:val="en-US"/>
        </w:rPr>
        <w:t xml:space="preserve">They were all graduates of </w:t>
      </w:r>
      <w:r w:rsidR="006060DE">
        <w:rPr>
          <w:lang w:val="en-US"/>
        </w:rPr>
        <w:t>a</w:t>
      </w:r>
      <w:r w:rsidR="00940EB1">
        <w:rPr>
          <w:lang w:val="en-US"/>
        </w:rPr>
        <w:t xml:space="preserve"> master program in interpreting that offers an introduction to s</w:t>
      </w:r>
      <w:r w:rsidR="00E442B5">
        <w:rPr>
          <w:lang w:val="en-US"/>
        </w:rPr>
        <w:t xml:space="preserve">imultaneous </w:t>
      </w:r>
      <w:r w:rsidR="00940EB1">
        <w:rPr>
          <w:lang w:val="en-US"/>
        </w:rPr>
        <w:t xml:space="preserve">interpreting and limited practice. </w:t>
      </w:r>
      <w:r w:rsidR="00186F60">
        <w:rPr>
          <w:lang w:val="en-US"/>
        </w:rPr>
        <w:t>P</w:t>
      </w:r>
      <w:r w:rsidR="00CB3B50">
        <w:rPr>
          <w:lang w:val="en-US"/>
        </w:rPr>
        <w:t xml:space="preserve">articipants were aged between 22 and 27 years </w:t>
      </w:r>
      <w:r w:rsidR="00186F60">
        <w:rPr>
          <w:lang w:val="en-US"/>
        </w:rPr>
        <w:t xml:space="preserve">and </w:t>
      </w:r>
      <w:r w:rsidR="00CB3B50">
        <w:rPr>
          <w:lang w:val="en-US"/>
        </w:rPr>
        <w:t>9 of them were female.</w:t>
      </w:r>
      <w:r w:rsidR="00AD2AA4">
        <w:rPr>
          <w:lang w:val="en-US"/>
        </w:rPr>
        <w:t xml:space="preserve"> </w:t>
      </w:r>
    </w:p>
    <w:p w14:paraId="7806C793" w14:textId="37234438" w:rsidR="00874376" w:rsidRDefault="00874376" w:rsidP="00874376">
      <w:pPr>
        <w:pStyle w:val="Heading3"/>
        <w:rPr>
          <w:lang w:val="en-US"/>
        </w:rPr>
      </w:pPr>
      <w:r>
        <w:rPr>
          <w:lang w:val="en-US"/>
        </w:rPr>
        <w:t>Speeches</w:t>
      </w:r>
    </w:p>
    <w:p w14:paraId="720DE516" w14:textId="198C6BC6" w:rsidR="009F66B5" w:rsidRDefault="00B941E2" w:rsidP="004E3E2D">
      <w:pPr>
        <w:rPr>
          <w:lang w:val="en-US"/>
        </w:rPr>
      </w:pPr>
      <w:r>
        <w:rPr>
          <w:lang w:val="en-US"/>
        </w:rPr>
        <w:t>F</w:t>
      </w:r>
      <w:r w:rsidR="00976375">
        <w:rPr>
          <w:lang w:val="en-US"/>
        </w:rPr>
        <w:t>o</w:t>
      </w:r>
      <w:r w:rsidR="00AA3C4E">
        <w:rPr>
          <w:lang w:val="en-US"/>
        </w:rPr>
        <w:t xml:space="preserve">ur </w:t>
      </w:r>
      <w:r>
        <w:rPr>
          <w:lang w:val="en-US"/>
        </w:rPr>
        <w:t xml:space="preserve">experimental </w:t>
      </w:r>
      <w:r w:rsidR="00AA3C4E">
        <w:rPr>
          <w:lang w:val="en-US"/>
        </w:rPr>
        <w:t>speeches</w:t>
      </w:r>
      <w:r w:rsidR="00AB65FE">
        <w:rPr>
          <w:lang w:val="en-US"/>
        </w:rPr>
        <w:t xml:space="preserve"> of similar difficulty and length </w:t>
      </w:r>
      <w:r w:rsidR="00AA3C4E">
        <w:rPr>
          <w:lang w:val="en-US"/>
        </w:rPr>
        <w:t xml:space="preserve">were </w:t>
      </w:r>
      <w:r w:rsidR="00976375">
        <w:rPr>
          <w:lang w:val="en-US"/>
        </w:rPr>
        <w:t>prepared</w:t>
      </w:r>
      <w:r w:rsidR="00AB65FE">
        <w:rPr>
          <w:lang w:val="en-US"/>
        </w:rPr>
        <w:t>, with parallel versions</w:t>
      </w:r>
      <w:r w:rsidR="00976375">
        <w:rPr>
          <w:lang w:val="en-US"/>
        </w:rPr>
        <w:t xml:space="preserve"> in French and German.</w:t>
      </w:r>
      <w:r w:rsidR="00AB65FE">
        <w:rPr>
          <w:lang w:val="en-US"/>
        </w:rPr>
        <w:t xml:space="preserve"> </w:t>
      </w:r>
      <w:r w:rsidR="00E92D51">
        <w:rPr>
          <w:lang w:val="en-US"/>
        </w:rPr>
        <w:t>The average text length for French</w:t>
      </w:r>
      <w:r w:rsidR="008743A0">
        <w:rPr>
          <w:lang w:val="en-US"/>
        </w:rPr>
        <w:t xml:space="preserve"> was 1121 words, </w:t>
      </w:r>
      <w:r w:rsidR="00BD6EF8">
        <w:rPr>
          <w:lang w:val="en-US"/>
        </w:rPr>
        <w:t xml:space="preserve">the </w:t>
      </w:r>
      <w:r w:rsidR="008743A0">
        <w:rPr>
          <w:lang w:val="en-US"/>
        </w:rPr>
        <w:t xml:space="preserve">German texts </w:t>
      </w:r>
      <w:r w:rsidR="00BD6EF8">
        <w:rPr>
          <w:lang w:val="en-US"/>
        </w:rPr>
        <w:t>conveyed the same content with</w:t>
      </w:r>
      <w:r w:rsidR="008743A0">
        <w:rPr>
          <w:lang w:val="en-US"/>
        </w:rPr>
        <w:t xml:space="preserve"> almost 10% fewer words</w:t>
      </w:r>
      <w:r w:rsidR="00BD6EF8">
        <w:rPr>
          <w:lang w:val="en-US"/>
        </w:rPr>
        <w:t>,</w:t>
      </w:r>
      <w:r w:rsidR="008743A0">
        <w:rPr>
          <w:lang w:val="en-US"/>
        </w:rPr>
        <w:t xml:space="preserve"> at an average of 1022</w:t>
      </w:r>
      <w:r w:rsidR="00BD6EF8">
        <w:rPr>
          <w:lang w:val="en-US"/>
        </w:rPr>
        <w:t xml:space="preserve"> per text</w:t>
      </w:r>
      <w:r w:rsidR="00534C9B">
        <w:rPr>
          <w:lang w:val="en-US"/>
        </w:rPr>
        <w:t>.</w:t>
      </w:r>
      <w:r w:rsidR="004E3E2D">
        <w:rPr>
          <w:lang w:val="en-US"/>
        </w:rPr>
        <w:t xml:space="preserve"> German compounds are written as a single word, which largely explains t</w:t>
      </w:r>
      <w:r w:rsidR="00534C9B">
        <w:rPr>
          <w:lang w:val="en-US"/>
        </w:rPr>
        <w:t>his disc</w:t>
      </w:r>
      <w:r w:rsidR="00EB18EB">
        <w:rPr>
          <w:lang w:val="en-US"/>
        </w:rPr>
        <w:t>repancy</w:t>
      </w:r>
      <w:r w:rsidR="00534C9B">
        <w:rPr>
          <w:lang w:val="en-US"/>
        </w:rPr>
        <w:t>.</w:t>
      </w:r>
      <w:r w:rsidR="00EB18EB">
        <w:rPr>
          <w:lang w:val="en-US"/>
        </w:rPr>
        <w:t xml:space="preserve"> </w:t>
      </w:r>
      <w:r w:rsidR="00976375">
        <w:rPr>
          <w:lang w:val="en-US"/>
        </w:rPr>
        <w:t>The</w:t>
      </w:r>
      <w:r w:rsidR="00E92D51">
        <w:rPr>
          <w:lang w:val="en-US"/>
        </w:rPr>
        <w:t xml:space="preserve"> texts</w:t>
      </w:r>
      <w:r w:rsidR="000D0656">
        <w:rPr>
          <w:lang w:val="en-US"/>
        </w:rPr>
        <w:t xml:space="preserve"> dealt with</w:t>
      </w:r>
      <w:r w:rsidR="00976375">
        <w:rPr>
          <w:lang w:val="en-US"/>
        </w:rPr>
        <w:t xml:space="preserve"> diverse topics (Amazon, child </w:t>
      </w:r>
      <w:proofErr w:type="spellStart"/>
      <w:r w:rsidR="00976375">
        <w:rPr>
          <w:lang w:val="en-US"/>
        </w:rPr>
        <w:t>labour</w:t>
      </w:r>
      <w:proofErr w:type="spellEnd"/>
      <w:r w:rsidR="00976375">
        <w:rPr>
          <w:lang w:val="en-US"/>
        </w:rPr>
        <w:t>, inheritance law and natural disasters)</w:t>
      </w:r>
      <w:r w:rsidR="000D0656">
        <w:rPr>
          <w:lang w:val="en-US"/>
        </w:rPr>
        <w:t>, and s</w:t>
      </w:r>
      <w:r w:rsidR="00EF7CD5">
        <w:rPr>
          <w:lang w:val="en-US"/>
        </w:rPr>
        <w:t>pecific terminology was provided to the participants before the start of each speech</w:t>
      </w:r>
      <w:r w:rsidR="009F66B5">
        <w:rPr>
          <w:lang w:val="en-US"/>
        </w:rPr>
        <w:t>.</w:t>
      </w:r>
    </w:p>
    <w:p w14:paraId="66A44406" w14:textId="10B118BC" w:rsidR="00CB3B50" w:rsidRDefault="000D0656" w:rsidP="00AB50F7">
      <w:pPr>
        <w:rPr>
          <w:lang w:val="en-US"/>
        </w:rPr>
      </w:pPr>
      <w:r>
        <w:rPr>
          <w:lang w:val="en-US"/>
        </w:rPr>
        <w:t>Like in</w:t>
      </w:r>
      <w:r w:rsidR="00EF7CD5">
        <w:rPr>
          <w:lang w:val="en-US"/>
        </w:rPr>
        <w:t xml:space="preserve"> the experiments</w:t>
      </w:r>
      <w:r w:rsidR="00B941E2">
        <w:rPr>
          <w:lang w:val="en-US"/>
        </w:rPr>
        <w:t xml:space="preserve"> of </w:t>
      </w:r>
      <w:r w:rsidR="00B941E2" w:rsidRPr="00DB1A07">
        <w:rPr>
          <w:lang w:val="en-US"/>
        </w:rPr>
        <w:t xml:space="preserve">Braun &amp; </w:t>
      </w:r>
      <w:proofErr w:type="spellStart"/>
      <w:r w:rsidR="00B941E2" w:rsidRPr="00DB1A07">
        <w:rPr>
          <w:lang w:val="en-US"/>
        </w:rPr>
        <w:t>Clarici</w:t>
      </w:r>
      <w:proofErr w:type="spellEnd"/>
      <w:r w:rsidR="00B941E2" w:rsidRPr="00DB1A07">
        <w:rPr>
          <w:lang w:val="en-US"/>
        </w:rPr>
        <w:t xml:space="preserve"> (1996)</w:t>
      </w:r>
      <w:r w:rsidR="00976375">
        <w:rPr>
          <w:lang w:val="en-US"/>
        </w:rPr>
        <w:t xml:space="preserve"> </w:t>
      </w:r>
      <w:r w:rsidR="00B941E2">
        <w:rPr>
          <w:lang w:val="en-US"/>
        </w:rPr>
        <w:t xml:space="preserve">and </w:t>
      </w:r>
      <w:proofErr w:type="spellStart"/>
      <w:r w:rsidR="00B941E2">
        <w:rPr>
          <w:lang w:val="en-US"/>
        </w:rPr>
        <w:t>Mazza</w:t>
      </w:r>
      <w:proofErr w:type="spellEnd"/>
      <w:r w:rsidR="00B941E2">
        <w:rPr>
          <w:lang w:val="en-US"/>
        </w:rPr>
        <w:t xml:space="preserve"> (2001)</w:t>
      </w:r>
      <w:r>
        <w:rPr>
          <w:lang w:val="en-US"/>
        </w:rPr>
        <w:t>, the start of each speech (150 words) contain</w:t>
      </w:r>
      <w:r w:rsidR="00B32120">
        <w:rPr>
          <w:lang w:val="en-US"/>
        </w:rPr>
        <w:t>ed</w:t>
      </w:r>
      <w:r>
        <w:rPr>
          <w:lang w:val="en-US"/>
        </w:rPr>
        <w:t xml:space="preserve"> no numbers, to allow participants to settle in. </w:t>
      </w:r>
      <w:r w:rsidR="00317076">
        <w:rPr>
          <w:lang w:val="en-US"/>
        </w:rPr>
        <w:t>After that</w:t>
      </w:r>
      <w:r>
        <w:rPr>
          <w:lang w:val="en-US"/>
        </w:rPr>
        <w:t xml:space="preserve">, </w:t>
      </w:r>
      <w:r w:rsidR="00DD69CD">
        <w:rPr>
          <w:lang w:val="en-US"/>
        </w:rPr>
        <w:t xml:space="preserve">20 </w:t>
      </w:r>
      <w:r>
        <w:rPr>
          <w:lang w:val="en-US"/>
        </w:rPr>
        <w:t xml:space="preserve">numbers </w:t>
      </w:r>
      <w:r w:rsidR="00A86190" w:rsidRPr="00DB1A07">
        <w:rPr>
          <w:lang w:val="en-US"/>
        </w:rPr>
        <w:t>occur</w:t>
      </w:r>
      <w:r w:rsidR="00B32120">
        <w:rPr>
          <w:lang w:val="en-US"/>
        </w:rPr>
        <w:t>red</w:t>
      </w:r>
      <w:r w:rsidR="00A86190" w:rsidRPr="00DB1A07">
        <w:rPr>
          <w:lang w:val="en-US"/>
        </w:rPr>
        <w:t xml:space="preserve"> at random intervals</w:t>
      </w:r>
      <w:r w:rsidRPr="00DB1A07">
        <w:rPr>
          <w:lang w:val="en-US"/>
        </w:rPr>
        <w:t>.</w:t>
      </w:r>
      <w:r w:rsidR="00317076" w:rsidRPr="00DB1A07">
        <w:rPr>
          <w:lang w:val="en-US"/>
        </w:rPr>
        <w:t xml:space="preserve"> </w:t>
      </w:r>
      <w:r w:rsidR="00F52155" w:rsidRPr="00DB1A07">
        <w:rPr>
          <w:lang w:val="en-US"/>
        </w:rPr>
        <w:t>They</w:t>
      </w:r>
      <w:r w:rsidR="00DD69CD" w:rsidRPr="00DB1A07">
        <w:rPr>
          <w:lang w:val="en-US"/>
        </w:rPr>
        <w:t xml:space="preserve"> </w:t>
      </w:r>
      <w:r w:rsidR="00B32120">
        <w:rPr>
          <w:lang w:val="en-US"/>
        </w:rPr>
        <w:t>were</w:t>
      </w:r>
      <w:r w:rsidR="00B32120" w:rsidRPr="00DB1A07">
        <w:rPr>
          <w:lang w:val="en-US"/>
        </w:rPr>
        <w:t xml:space="preserve"> </w:t>
      </w:r>
      <w:r w:rsidR="00DD69CD" w:rsidRPr="00DB1A07">
        <w:rPr>
          <w:lang w:val="en-US"/>
        </w:rPr>
        <w:t>equally distributed over four categories</w:t>
      </w:r>
      <w:r w:rsidR="00AB50F7">
        <w:rPr>
          <w:lang w:val="en-US"/>
        </w:rPr>
        <w:t>, with each text containing exactly 5 instances of each category</w:t>
      </w:r>
      <w:r w:rsidR="00DD69CD" w:rsidRPr="00DB1A07">
        <w:rPr>
          <w:lang w:val="en-US"/>
        </w:rPr>
        <w:t xml:space="preserve">: </w:t>
      </w:r>
      <w:r w:rsidR="00A25E01" w:rsidRPr="00DB1A07">
        <w:rPr>
          <w:lang w:val="en-US"/>
        </w:rPr>
        <w:t>simple whole numbers (e.g. 87 or 60 000), complex whole numbers (</w:t>
      </w:r>
      <w:r w:rsidR="00A25E01">
        <w:rPr>
          <w:lang w:val="en-US"/>
        </w:rPr>
        <w:t xml:space="preserve">e.g. 387 or 65 400), </w:t>
      </w:r>
      <w:r w:rsidR="0050777C" w:rsidRPr="00DB1A07">
        <w:rPr>
          <w:lang w:val="en-US"/>
        </w:rPr>
        <w:t>decimals</w:t>
      </w:r>
      <w:r w:rsidR="00F52155" w:rsidRPr="00DB1A07">
        <w:rPr>
          <w:lang w:val="en-US"/>
        </w:rPr>
        <w:t xml:space="preserve"> (e.g. </w:t>
      </w:r>
      <w:r w:rsidR="005E3B1D" w:rsidRPr="00DB1A07">
        <w:rPr>
          <w:lang w:val="en-US"/>
        </w:rPr>
        <w:t>28.3)</w:t>
      </w:r>
      <w:r w:rsidR="00A25E01" w:rsidRPr="00DB1A07">
        <w:rPr>
          <w:lang w:val="en-US"/>
        </w:rPr>
        <w:t xml:space="preserve"> and years (e.g. 2012)</w:t>
      </w:r>
      <w:r w:rsidR="005E3B1D" w:rsidRPr="00DB1A07">
        <w:rPr>
          <w:lang w:val="en-US"/>
        </w:rPr>
        <w:t>.</w:t>
      </w:r>
      <w:r w:rsidR="005E3B1D">
        <w:rPr>
          <w:lang w:val="en-US"/>
        </w:rPr>
        <w:t xml:space="preserve"> </w:t>
      </w:r>
      <w:r w:rsidR="003A14C3" w:rsidRPr="005E3B1D">
        <w:rPr>
          <w:lang w:val="en-US"/>
        </w:rPr>
        <w:t>We distinguish</w:t>
      </w:r>
      <w:r w:rsidR="00B32120">
        <w:rPr>
          <w:lang w:val="en-US"/>
        </w:rPr>
        <w:t>ed</w:t>
      </w:r>
      <w:r w:rsidR="003A14C3" w:rsidRPr="005E3B1D">
        <w:rPr>
          <w:lang w:val="en-US"/>
        </w:rPr>
        <w:t xml:space="preserve"> </w:t>
      </w:r>
      <w:r w:rsidR="00A25E01">
        <w:rPr>
          <w:lang w:val="en-US"/>
        </w:rPr>
        <w:t xml:space="preserve">between simple and complex whole numbers based on the number of meaningful units rather than </w:t>
      </w:r>
      <w:r w:rsidR="007F7453">
        <w:rPr>
          <w:lang w:val="en-US"/>
        </w:rPr>
        <w:t>the number</w:t>
      </w:r>
      <w:r w:rsidR="00A25E01">
        <w:rPr>
          <w:lang w:val="en-US"/>
        </w:rPr>
        <w:t xml:space="preserve"> of digits, since large </w:t>
      </w:r>
      <w:r w:rsidR="00287945">
        <w:rPr>
          <w:lang w:val="en-US"/>
        </w:rPr>
        <w:t>numbers can be conceptually simple</w:t>
      </w:r>
      <w:r w:rsidR="00A25E01">
        <w:rPr>
          <w:lang w:val="en-US"/>
        </w:rPr>
        <w:t xml:space="preserve"> (e.g. 1 million contains</w:t>
      </w:r>
      <w:r w:rsidR="0050777C">
        <w:rPr>
          <w:lang w:val="en-US"/>
        </w:rPr>
        <w:t xml:space="preserve"> only</w:t>
      </w:r>
      <w:r w:rsidR="00A25E01">
        <w:rPr>
          <w:lang w:val="en-US"/>
        </w:rPr>
        <w:t xml:space="preserve"> 2 meaningful units)</w:t>
      </w:r>
      <w:r w:rsidR="00287945">
        <w:rPr>
          <w:lang w:val="en-US"/>
        </w:rPr>
        <w:t xml:space="preserve">. In this study, numbers containing 3 or more meaningful units </w:t>
      </w:r>
      <w:r w:rsidR="00B32120">
        <w:rPr>
          <w:lang w:val="en-US"/>
        </w:rPr>
        <w:t xml:space="preserve">were </w:t>
      </w:r>
      <w:r w:rsidR="00287945">
        <w:rPr>
          <w:lang w:val="en-US"/>
        </w:rPr>
        <w:t>considered complex.</w:t>
      </w:r>
    </w:p>
    <w:p w14:paraId="6EF27D80" w14:textId="56FD79BC" w:rsidR="0047396B" w:rsidRDefault="00D4677A" w:rsidP="0047396B">
      <w:pPr>
        <w:pStyle w:val="Heading3"/>
        <w:rPr>
          <w:lang w:val="en-US"/>
        </w:rPr>
      </w:pPr>
      <w:r>
        <w:rPr>
          <w:lang w:val="en-US"/>
        </w:rPr>
        <w:t>Setup</w:t>
      </w:r>
    </w:p>
    <w:p w14:paraId="6E7E8F64" w14:textId="12588358" w:rsidR="00A477E9" w:rsidRDefault="006060DE" w:rsidP="008A1CE7">
      <w:pPr>
        <w:rPr>
          <w:lang w:val="en-US"/>
        </w:rPr>
      </w:pPr>
      <w:r>
        <w:rPr>
          <w:lang w:val="en-US"/>
        </w:rPr>
        <w:t>Participants were required to interpret into their A</w:t>
      </w:r>
      <w:r w:rsidR="00F77DB3">
        <w:rPr>
          <w:lang w:val="en-US"/>
        </w:rPr>
        <w:t>-</w:t>
      </w:r>
      <w:r>
        <w:rPr>
          <w:lang w:val="en-US"/>
        </w:rPr>
        <w:t xml:space="preserve">language: Dutch. </w:t>
      </w:r>
      <w:r w:rsidR="001F4F25">
        <w:rPr>
          <w:lang w:val="en-US"/>
        </w:rPr>
        <w:t xml:space="preserve">The </w:t>
      </w:r>
      <w:r w:rsidR="00B12EBB">
        <w:rPr>
          <w:lang w:val="en-US"/>
        </w:rPr>
        <w:t>experiment was conducted in</w:t>
      </w:r>
      <w:r w:rsidR="001F4F25">
        <w:rPr>
          <w:lang w:val="en-US"/>
        </w:rPr>
        <w:t xml:space="preserve"> two </w:t>
      </w:r>
      <w:r w:rsidR="00B12EBB">
        <w:rPr>
          <w:lang w:val="en-US"/>
        </w:rPr>
        <w:t>session</w:t>
      </w:r>
      <w:r w:rsidR="001F4F25">
        <w:rPr>
          <w:lang w:val="en-US"/>
        </w:rPr>
        <w:t xml:space="preserve">s: one for French with 7 participants, and one for German with 3 participants. </w:t>
      </w:r>
      <w:r w:rsidR="00AD2AA4">
        <w:rPr>
          <w:lang w:val="en-US"/>
        </w:rPr>
        <w:t>There was no overlap between the two participant groups. Offering two source languages created an opportunity to check the results for the influence of number syntax:</w:t>
      </w:r>
      <w:r>
        <w:rPr>
          <w:lang w:val="en-US"/>
        </w:rPr>
        <w:t xml:space="preserve"> German and Dutch are both “unit-decade” languages (61 is ‘</w:t>
      </w:r>
      <w:proofErr w:type="spellStart"/>
      <w:r w:rsidRPr="00524A1C">
        <w:rPr>
          <w:i/>
          <w:lang w:val="en-US"/>
        </w:rPr>
        <w:t>eenenzestig</w:t>
      </w:r>
      <w:proofErr w:type="spellEnd"/>
      <w:r>
        <w:rPr>
          <w:lang w:val="en-US"/>
        </w:rPr>
        <w:t>’ in Dutch: ‘one-and-sixty’), whereas French is a “decade-unit” language (‘</w:t>
      </w:r>
      <w:proofErr w:type="spellStart"/>
      <w:r>
        <w:rPr>
          <w:i/>
          <w:lang w:val="en-US"/>
        </w:rPr>
        <w:t>soixante</w:t>
      </w:r>
      <w:proofErr w:type="spellEnd"/>
      <w:r>
        <w:rPr>
          <w:i/>
          <w:lang w:val="en-US"/>
        </w:rPr>
        <w:t xml:space="preserve">-et-un’ </w:t>
      </w:r>
      <w:r>
        <w:rPr>
          <w:lang w:val="en-US"/>
        </w:rPr>
        <w:t>‘sixty and one’. In interpreting from French into Dutch</w:t>
      </w:r>
      <w:r w:rsidR="0033605A">
        <w:rPr>
          <w:lang w:val="en-US"/>
        </w:rPr>
        <w:t>,</w:t>
      </w:r>
      <w:r>
        <w:rPr>
          <w:lang w:val="en-US"/>
        </w:rPr>
        <w:t xml:space="preserve"> the order of certain units inside the number needs to be changed, whereas if German is the source language, no such changes are required.</w:t>
      </w:r>
    </w:p>
    <w:p w14:paraId="03BD26E0" w14:textId="4DA98729" w:rsidR="00AB5777" w:rsidRDefault="001F4F25" w:rsidP="00E740C1">
      <w:pPr>
        <w:rPr>
          <w:lang w:val="en-US"/>
        </w:rPr>
      </w:pPr>
      <w:r>
        <w:rPr>
          <w:lang w:val="en-US"/>
        </w:rPr>
        <w:t xml:space="preserve">Before the experiment, </w:t>
      </w:r>
      <w:r w:rsidR="00B12EBB">
        <w:rPr>
          <w:lang w:val="en-US"/>
        </w:rPr>
        <w:t xml:space="preserve">participants were informed that numbers would </w:t>
      </w:r>
      <w:r>
        <w:rPr>
          <w:lang w:val="en-US"/>
        </w:rPr>
        <w:t>occur with high frequency</w:t>
      </w:r>
      <w:r w:rsidR="00B12EBB">
        <w:rPr>
          <w:lang w:val="en-US"/>
        </w:rPr>
        <w:t xml:space="preserve"> in the speeches, and </w:t>
      </w:r>
      <w:r>
        <w:rPr>
          <w:lang w:val="en-US"/>
        </w:rPr>
        <w:t xml:space="preserve">they </w:t>
      </w:r>
      <w:r w:rsidR="00B12EBB">
        <w:rPr>
          <w:lang w:val="en-US"/>
        </w:rPr>
        <w:t xml:space="preserve">were familiarized with the mock-up technological support. </w:t>
      </w:r>
      <w:r>
        <w:rPr>
          <w:lang w:val="en-US"/>
        </w:rPr>
        <w:t>Each</w:t>
      </w:r>
      <w:r w:rsidR="00B12EBB">
        <w:rPr>
          <w:lang w:val="en-US"/>
        </w:rPr>
        <w:t xml:space="preserve"> speech w</w:t>
      </w:r>
      <w:r>
        <w:rPr>
          <w:lang w:val="en-US"/>
        </w:rPr>
        <w:t>as</w:t>
      </w:r>
      <w:r w:rsidR="00B12EBB">
        <w:rPr>
          <w:lang w:val="en-US"/>
        </w:rPr>
        <w:t xml:space="preserve"> </w:t>
      </w:r>
      <w:r>
        <w:rPr>
          <w:lang w:val="en-US"/>
        </w:rPr>
        <w:t xml:space="preserve">then </w:t>
      </w:r>
      <w:r w:rsidR="00B12EBB">
        <w:rPr>
          <w:lang w:val="en-US"/>
        </w:rPr>
        <w:t>read by a near-native, and recorded digitally, along with all interpretations into Dutch. The first two texts were interpreted without</w:t>
      </w:r>
      <w:r w:rsidR="00E16999">
        <w:rPr>
          <w:lang w:val="en-US"/>
        </w:rPr>
        <w:t xml:space="preserve"> simulated</w:t>
      </w:r>
      <w:r w:rsidR="00B12EBB">
        <w:rPr>
          <w:lang w:val="en-US"/>
        </w:rPr>
        <w:t xml:space="preserve"> technological support, whereas it was available for the last two.</w:t>
      </w:r>
      <w:r>
        <w:rPr>
          <w:lang w:val="en-US"/>
        </w:rPr>
        <w:t xml:space="preserve"> </w:t>
      </w:r>
      <w:r w:rsidR="00A477E9">
        <w:rPr>
          <w:lang w:val="en-US"/>
        </w:rPr>
        <w:t>The rate</w:t>
      </w:r>
      <w:r w:rsidR="00680FF7">
        <w:rPr>
          <w:lang w:val="en-US"/>
        </w:rPr>
        <w:t xml:space="preserve"> of delivery</w:t>
      </w:r>
      <w:r w:rsidR="00A477E9">
        <w:rPr>
          <w:lang w:val="en-US"/>
        </w:rPr>
        <w:t xml:space="preserve">, </w:t>
      </w:r>
      <w:r w:rsidR="00680FF7">
        <w:rPr>
          <w:lang w:val="en-US"/>
        </w:rPr>
        <w:t>a potential problem trigger for interpretation quality (</w:t>
      </w:r>
      <w:proofErr w:type="spellStart"/>
      <w:r w:rsidR="00680FF7">
        <w:rPr>
          <w:lang w:val="en-US"/>
        </w:rPr>
        <w:t>Gile</w:t>
      </w:r>
      <w:proofErr w:type="spellEnd"/>
      <w:r w:rsidR="00680FF7">
        <w:rPr>
          <w:lang w:val="en-US"/>
        </w:rPr>
        <w:t xml:space="preserve"> 1995), was within the optimal range for interpreters: an average of 121 words per minute for French, and 101 words per minute for German. This difference in rate </w:t>
      </w:r>
      <w:r w:rsidR="00AB5777">
        <w:rPr>
          <w:lang w:val="en-US"/>
        </w:rPr>
        <w:t xml:space="preserve">can be </w:t>
      </w:r>
      <w:r w:rsidR="00680FF7">
        <w:rPr>
          <w:lang w:val="en-US"/>
        </w:rPr>
        <w:t xml:space="preserve">partly </w:t>
      </w:r>
      <w:r w:rsidR="00AB5777">
        <w:rPr>
          <w:lang w:val="en-US"/>
        </w:rPr>
        <w:t>explained by</w:t>
      </w:r>
      <w:r w:rsidR="00680FF7">
        <w:rPr>
          <w:lang w:val="en-US"/>
        </w:rPr>
        <w:t xml:space="preserve"> the higher information density of German words, but </w:t>
      </w:r>
      <w:r w:rsidR="00AB5777">
        <w:rPr>
          <w:lang w:val="en-US"/>
        </w:rPr>
        <w:t>the German speaker also took more time to deliver speeches with identical content to their French counterparts: an average of 608 seconds, 9.4% longer than the 556 seconds for French.</w:t>
      </w:r>
      <w:r w:rsidR="00680FF7">
        <w:rPr>
          <w:lang w:val="en-US"/>
        </w:rPr>
        <w:t xml:space="preserve"> </w:t>
      </w:r>
      <w:r w:rsidR="00AB5777">
        <w:rPr>
          <w:lang w:val="en-US"/>
        </w:rPr>
        <w:t xml:space="preserve">Within the same language, the delivery rate for speeches </w:t>
      </w:r>
      <w:r w:rsidR="00AB5777">
        <w:rPr>
          <w:lang w:val="en-US"/>
        </w:rPr>
        <w:lastRenderedPageBreak/>
        <w:t xml:space="preserve">interpreted without technological support was slightly </w:t>
      </w:r>
      <w:r w:rsidR="00E740C1">
        <w:rPr>
          <w:lang w:val="en-US"/>
        </w:rPr>
        <w:t>slower than</w:t>
      </w:r>
      <w:r w:rsidR="00AB5777">
        <w:rPr>
          <w:lang w:val="en-US"/>
        </w:rPr>
        <w:t xml:space="preserve"> those interpreted with support: </w:t>
      </w:r>
      <w:r w:rsidR="00C82876">
        <w:rPr>
          <w:lang w:val="en-US"/>
        </w:rPr>
        <w:t xml:space="preserve">an average of 115 and 128 words per minute for French, and 100 and 102 </w:t>
      </w:r>
      <w:r w:rsidR="00A23962">
        <w:rPr>
          <w:lang w:val="en-US"/>
        </w:rPr>
        <w:t xml:space="preserve">words per minute </w:t>
      </w:r>
      <w:r w:rsidR="00C82876">
        <w:rPr>
          <w:lang w:val="en-US"/>
        </w:rPr>
        <w:t xml:space="preserve">for German, respectively. </w:t>
      </w:r>
      <w:r w:rsidR="00AB5777">
        <w:rPr>
          <w:lang w:val="en-US"/>
        </w:rPr>
        <w:t xml:space="preserve">Any benefits from the technological support can therefore not be attributed to a </w:t>
      </w:r>
      <w:r w:rsidR="006320AE">
        <w:rPr>
          <w:lang w:val="en-US"/>
        </w:rPr>
        <w:t>s</w:t>
      </w:r>
      <w:r w:rsidR="00AB5777">
        <w:rPr>
          <w:lang w:val="en-US"/>
        </w:rPr>
        <w:t>lower rate of delivery.</w:t>
      </w:r>
    </w:p>
    <w:p w14:paraId="447C8AC9" w14:textId="574EB639" w:rsidR="00B12EBB" w:rsidRDefault="001F4F25" w:rsidP="00AB5777">
      <w:pPr>
        <w:rPr>
          <w:lang w:val="en-US"/>
        </w:rPr>
      </w:pPr>
      <w:r>
        <w:rPr>
          <w:lang w:val="en-US"/>
        </w:rPr>
        <w:t>After the experiment, a questionnaire polled whether the participants had found the technological support helpful or distracting, how long it took to get used to it, and what they would change about it.</w:t>
      </w:r>
    </w:p>
    <w:p w14:paraId="63711443" w14:textId="3A1BC323" w:rsidR="00CB3B50" w:rsidRDefault="00133CF1" w:rsidP="00133CF1">
      <w:pPr>
        <w:pStyle w:val="Heading3"/>
        <w:rPr>
          <w:lang w:val="en-US"/>
        </w:rPr>
      </w:pPr>
      <w:r>
        <w:rPr>
          <w:lang w:val="en-US"/>
        </w:rPr>
        <w:t>Evaluation</w:t>
      </w:r>
    </w:p>
    <w:p w14:paraId="0EDD70CE" w14:textId="700CEA94" w:rsidR="00093708" w:rsidRDefault="008A7571" w:rsidP="00E740C1">
      <w:pPr>
        <w:rPr>
          <w:lang w:val="en-US"/>
        </w:rPr>
      </w:pPr>
      <w:r>
        <w:rPr>
          <w:lang w:val="en-US"/>
        </w:rPr>
        <w:t xml:space="preserve">Given the focus of this study on </w:t>
      </w:r>
      <w:r w:rsidR="00E740C1">
        <w:rPr>
          <w:lang w:val="en-US"/>
        </w:rPr>
        <w:t>interpreting numbers</w:t>
      </w:r>
      <w:r>
        <w:rPr>
          <w:lang w:val="en-US"/>
        </w:rPr>
        <w:t>, t</w:t>
      </w:r>
      <w:r w:rsidR="00867F37">
        <w:rPr>
          <w:lang w:val="en-US"/>
        </w:rPr>
        <w:t xml:space="preserve">he </w:t>
      </w:r>
      <w:r w:rsidR="00712539">
        <w:rPr>
          <w:lang w:val="en-US"/>
        </w:rPr>
        <w:t>recordings were</w:t>
      </w:r>
      <w:r w:rsidR="0096726F">
        <w:rPr>
          <w:lang w:val="en-US"/>
        </w:rPr>
        <w:t xml:space="preserve"> </w:t>
      </w:r>
      <w:r w:rsidR="00712539">
        <w:rPr>
          <w:lang w:val="en-US"/>
        </w:rPr>
        <w:t xml:space="preserve">analyzed </w:t>
      </w:r>
      <w:r w:rsidR="00B3495E">
        <w:rPr>
          <w:lang w:val="en-US"/>
        </w:rPr>
        <w:t>to pro</w:t>
      </w:r>
      <w:r w:rsidR="0071779E">
        <w:rPr>
          <w:lang w:val="en-US"/>
        </w:rPr>
        <w:t xml:space="preserve">duce </w:t>
      </w:r>
      <w:r>
        <w:rPr>
          <w:lang w:val="en-US"/>
        </w:rPr>
        <w:t>systematic</w:t>
      </w:r>
      <w:r w:rsidR="0071779E">
        <w:rPr>
          <w:lang w:val="en-US"/>
        </w:rPr>
        <w:t xml:space="preserve"> records for each number. These include a transcript of the number stimulus in the source speech</w:t>
      </w:r>
      <w:r w:rsidR="008A1CE7">
        <w:rPr>
          <w:lang w:val="en-US"/>
        </w:rPr>
        <w:t xml:space="preserve"> and</w:t>
      </w:r>
      <w:r w:rsidR="0071779E">
        <w:rPr>
          <w:lang w:val="en-US"/>
        </w:rPr>
        <w:t xml:space="preserve"> </w:t>
      </w:r>
      <w:r w:rsidR="008A1CE7">
        <w:rPr>
          <w:lang w:val="en-US"/>
        </w:rPr>
        <w:t>the provided interpretation, which allows</w:t>
      </w:r>
      <w:r w:rsidR="0071779E">
        <w:rPr>
          <w:lang w:val="en-US"/>
        </w:rPr>
        <w:t xml:space="preserve"> </w:t>
      </w:r>
      <w:r>
        <w:rPr>
          <w:lang w:val="en-US"/>
        </w:rPr>
        <w:t xml:space="preserve">the performance </w:t>
      </w:r>
      <w:r w:rsidR="008A1CE7">
        <w:rPr>
          <w:lang w:val="en-US"/>
        </w:rPr>
        <w:t>to be</w:t>
      </w:r>
      <w:r>
        <w:rPr>
          <w:lang w:val="en-US"/>
        </w:rPr>
        <w:t xml:space="preserve"> coded: has </w:t>
      </w:r>
      <w:r w:rsidR="008A1CE7">
        <w:rPr>
          <w:lang w:val="en-US"/>
        </w:rPr>
        <w:t>the number</w:t>
      </w:r>
      <w:r>
        <w:rPr>
          <w:lang w:val="en-US"/>
        </w:rPr>
        <w:t xml:space="preserve"> been interpreted correctly, and if not, what kind of error was made? </w:t>
      </w:r>
      <w:r w:rsidR="00867F37">
        <w:rPr>
          <w:lang w:val="en-US"/>
        </w:rPr>
        <w:t xml:space="preserve">For the categorization of errors, we follow </w:t>
      </w:r>
      <w:proofErr w:type="spellStart"/>
      <w:r w:rsidR="002C03C8">
        <w:rPr>
          <w:lang w:val="en-US"/>
        </w:rPr>
        <w:t>Pinochi</w:t>
      </w:r>
      <w:proofErr w:type="spellEnd"/>
      <w:r w:rsidR="002C03C8">
        <w:rPr>
          <w:lang w:val="en-US"/>
        </w:rPr>
        <w:t xml:space="preserve"> (2009</w:t>
      </w:r>
      <w:r w:rsidR="00867F37">
        <w:rPr>
          <w:lang w:val="en-US"/>
        </w:rPr>
        <w:t xml:space="preserve">), </w:t>
      </w:r>
      <w:r w:rsidR="00805E2B">
        <w:rPr>
          <w:lang w:val="en-US"/>
        </w:rPr>
        <w:t xml:space="preserve">which in turn was adapted from Braun &amp; </w:t>
      </w:r>
      <w:proofErr w:type="spellStart"/>
      <w:r w:rsidR="00805E2B">
        <w:rPr>
          <w:lang w:val="en-US"/>
        </w:rPr>
        <w:t>Clarici</w:t>
      </w:r>
      <w:proofErr w:type="spellEnd"/>
      <w:r w:rsidR="00805E2B">
        <w:rPr>
          <w:lang w:val="en-US"/>
        </w:rPr>
        <w:t xml:space="preserve"> (1996)</w:t>
      </w:r>
      <w:r w:rsidR="00867F37">
        <w:rPr>
          <w:lang w:val="en-US"/>
        </w:rPr>
        <w:t>:</w:t>
      </w:r>
    </w:p>
    <w:p w14:paraId="1329FE13" w14:textId="79539E86" w:rsidR="00867F37" w:rsidRPr="00DB1A07" w:rsidRDefault="00867F37" w:rsidP="00B6517C">
      <w:pPr>
        <w:numPr>
          <w:ilvl w:val="0"/>
          <w:numId w:val="12"/>
        </w:numPr>
        <w:rPr>
          <w:lang w:val="en-US"/>
        </w:rPr>
      </w:pPr>
      <w:r w:rsidRPr="00DB1A07">
        <w:rPr>
          <w:lang w:val="en-US"/>
        </w:rPr>
        <w:t xml:space="preserve">Omission: the number is missing or has been replaced by a general expression (e.g. </w:t>
      </w:r>
      <w:r w:rsidR="00424EE3" w:rsidRPr="00DB1A07">
        <w:rPr>
          <w:i/>
          <w:iCs/>
          <w:lang w:val="en-US"/>
        </w:rPr>
        <w:t>47</w:t>
      </w:r>
      <w:r w:rsidR="00B6517C" w:rsidRPr="00DB1A07">
        <w:rPr>
          <w:lang w:val="en-US"/>
        </w:rPr>
        <w:t xml:space="preserve"> becomes </w:t>
      </w:r>
      <w:r w:rsidRPr="00DB1A07">
        <w:rPr>
          <w:i/>
          <w:iCs/>
          <w:lang w:val="en-US"/>
        </w:rPr>
        <w:t>many</w:t>
      </w:r>
      <w:r w:rsidRPr="00DB1A07">
        <w:rPr>
          <w:lang w:val="en-US"/>
        </w:rPr>
        <w:t>)</w:t>
      </w:r>
      <w:r w:rsidR="00E740C1">
        <w:rPr>
          <w:lang w:val="en-US"/>
        </w:rPr>
        <w:t>.</w:t>
      </w:r>
    </w:p>
    <w:p w14:paraId="17421B73" w14:textId="1C630FD8" w:rsidR="00B6517C" w:rsidRPr="00DB1A07" w:rsidRDefault="00867F37" w:rsidP="00B6517C">
      <w:pPr>
        <w:numPr>
          <w:ilvl w:val="0"/>
          <w:numId w:val="12"/>
        </w:numPr>
        <w:rPr>
          <w:lang w:val="en-US"/>
        </w:rPr>
      </w:pPr>
      <w:r w:rsidRPr="00DB1A07">
        <w:rPr>
          <w:lang w:val="en-US"/>
        </w:rPr>
        <w:t xml:space="preserve">Approximation: </w:t>
      </w:r>
      <w:r w:rsidR="00B6517C" w:rsidRPr="00B6517C">
        <w:rPr>
          <w:lang w:val="en-GB"/>
        </w:rPr>
        <w:t xml:space="preserve">the </w:t>
      </w:r>
      <w:r w:rsidRPr="00B6517C">
        <w:rPr>
          <w:lang w:val="en-GB"/>
        </w:rPr>
        <w:t>order of magnitude</w:t>
      </w:r>
      <w:r w:rsidR="00B6517C" w:rsidRPr="00B6517C">
        <w:rPr>
          <w:lang w:val="en-GB"/>
        </w:rPr>
        <w:t xml:space="preserve"> is correct</w:t>
      </w:r>
      <w:r w:rsidRPr="00B6517C">
        <w:rPr>
          <w:lang w:val="en-GB"/>
        </w:rPr>
        <w:t xml:space="preserve">, but </w:t>
      </w:r>
      <w:r w:rsidR="00B6517C" w:rsidRPr="00B6517C">
        <w:rPr>
          <w:lang w:val="en-GB"/>
        </w:rPr>
        <w:t>the num</w:t>
      </w:r>
      <w:r w:rsidR="00B6517C">
        <w:rPr>
          <w:lang w:val="en-GB"/>
        </w:rPr>
        <w:t xml:space="preserve">ber has been rounded up or down </w:t>
      </w:r>
      <w:r w:rsidR="00B6517C" w:rsidRPr="00DB1A07">
        <w:rPr>
          <w:lang w:val="en-US"/>
        </w:rPr>
        <w:t xml:space="preserve">(e.g. </w:t>
      </w:r>
      <w:r w:rsidR="00B6517C" w:rsidRPr="00DB1A07">
        <w:rPr>
          <w:i/>
          <w:iCs/>
          <w:lang w:val="en-US"/>
        </w:rPr>
        <w:t>47</w:t>
      </w:r>
      <w:r w:rsidR="00B6517C" w:rsidRPr="00DB1A07">
        <w:rPr>
          <w:lang w:val="en-US"/>
        </w:rPr>
        <w:t xml:space="preserve"> becomes </w:t>
      </w:r>
      <w:r w:rsidR="00B6517C" w:rsidRPr="00DB1A07">
        <w:rPr>
          <w:i/>
          <w:iCs/>
          <w:lang w:val="en-US"/>
        </w:rPr>
        <w:t>around 50</w:t>
      </w:r>
      <w:r w:rsidR="00B6517C" w:rsidRPr="00DB1A07">
        <w:rPr>
          <w:lang w:val="en-US"/>
        </w:rPr>
        <w:t>). These adaptations can be viewed as interpretation tactics rather than mistakes.</w:t>
      </w:r>
    </w:p>
    <w:p w14:paraId="72BA058B" w14:textId="17F581EE" w:rsidR="00B6517C" w:rsidRDefault="00B6517C" w:rsidP="00B6517C">
      <w:pPr>
        <w:numPr>
          <w:ilvl w:val="0"/>
          <w:numId w:val="12"/>
        </w:numPr>
        <w:rPr>
          <w:lang w:val="en-GB"/>
        </w:rPr>
      </w:pPr>
      <w:r w:rsidRPr="00DB1A07">
        <w:rPr>
          <w:lang w:val="en-US"/>
        </w:rPr>
        <w:t>Lexical mistakes</w:t>
      </w:r>
      <w:r w:rsidR="00867F37" w:rsidRPr="00DB1A07">
        <w:rPr>
          <w:lang w:val="en-US"/>
        </w:rPr>
        <w:t xml:space="preserve">: </w:t>
      </w:r>
      <w:r w:rsidRPr="00B6517C">
        <w:rPr>
          <w:lang w:val="en-GB"/>
        </w:rPr>
        <w:t xml:space="preserve">the order of magnitude </w:t>
      </w:r>
      <w:r>
        <w:rPr>
          <w:lang w:val="en-GB"/>
        </w:rPr>
        <w:t xml:space="preserve">of the number </w:t>
      </w:r>
      <w:r w:rsidRPr="00B6517C">
        <w:rPr>
          <w:lang w:val="en-GB"/>
        </w:rPr>
        <w:t xml:space="preserve">is </w:t>
      </w:r>
      <w:r>
        <w:rPr>
          <w:lang w:val="en-GB"/>
        </w:rPr>
        <w:t>correct</w:t>
      </w:r>
      <w:r w:rsidRPr="00B6517C">
        <w:rPr>
          <w:lang w:val="en-GB"/>
        </w:rPr>
        <w:t xml:space="preserve">, but </w:t>
      </w:r>
      <w:r>
        <w:rPr>
          <w:lang w:val="en-GB"/>
        </w:rPr>
        <w:t>some of its</w:t>
      </w:r>
      <w:r w:rsidRPr="00B6517C">
        <w:rPr>
          <w:lang w:val="en-GB"/>
        </w:rPr>
        <w:t xml:space="preserve"> </w:t>
      </w:r>
      <w:r>
        <w:rPr>
          <w:lang w:val="en-GB"/>
        </w:rPr>
        <w:t>components</w:t>
      </w:r>
      <w:r w:rsidRPr="00B6517C">
        <w:rPr>
          <w:lang w:val="en-GB"/>
        </w:rPr>
        <w:t xml:space="preserve"> </w:t>
      </w:r>
      <w:r>
        <w:rPr>
          <w:lang w:val="en-GB"/>
        </w:rPr>
        <w:t xml:space="preserve">have been changed (e.g. </w:t>
      </w:r>
      <w:r w:rsidRPr="00D8190F">
        <w:rPr>
          <w:i/>
          <w:iCs/>
          <w:lang w:val="en-GB"/>
        </w:rPr>
        <w:t>47</w:t>
      </w:r>
      <w:r>
        <w:rPr>
          <w:lang w:val="en-GB"/>
        </w:rPr>
        <w:t xml:space="preserve"> becomes </w:t>
      </w:r>
      <w:r>
        <w:rPr>
          <w:i/>
          <w:iCs/>
          <w:lang w:val="en-GB"/>
        </w:rPr>
        <w:t>49</w:t>
      </w:r>
      <w:r w:rsidR="00424EE3">
        <w:rPr>
          <w:lang w:val="en-GB"/>
        </w:rPr>
        <w:t>)</w:t>
      </w:r>
      <w:r w:rsidR="00E740C1">
        <w:rPr>
          <w:lang w:val="en-GB"/>
        </w:rPr>
        <w:t>.</w:t>
      </w:r>
    </w:p>
    <w:p w14:paraId="4AC3F60D" w14:textId="408635B1" w:rsidR="00B6517C" w:rsidRPr="00424EE3" w:rsidRDefault="00B6517C" w:rsidP="00652FDC">
      <w:pPr>
        <w:numPr>
          <w:ilvl w:val="0"/>
          <w:numId w:val="12"/>
        </w:numPr>
        <w:rPr>
          <w:lang w:val="en-GB"/>
        </w:rPr>
      </w:pPr>
      <w:r w:rsidRPr="00DB1A07">
        <w:rPr>
          <w:lang w:val="en-US"/>
        </w:rPr>
        <w:t xml:space="preserve">Transposition: all components are correct, but their order has been </w:t>
      </w:r>
      <w:r w:rsidR="00424EE3" w:rsidRPr="00DB1A07">
        <w:rPr>
          <w:lang w:val="en-US"/>
        </w:rPr>
        <w:t>changed</w:t>
      </w:r>
      <w:r w:rsidRPr="00DB1A07">
        <w:rPr>
          <w:lang w:val="en-US"/>
        </w:rPr>
        <w:t xml:space="preserve"> (e.g. </w:t>
      </w:r>
      <w:r w:rsidRPr="00D8190F">
        <w:rPr>
          <w:i/>
          <w:iCs/>
          <w:lang w:val="en-GB"/>
        </w:rPr>
        <w:t>47</w:t>
      </w:r>
      <w:r w:rsidRPr="00424EE3">
        <w:rPr>
          <w:lang w:val="en-GB"/>
        </w:rPr>
        <w:t xml:space="preserve"> becomes </w:t>
      </w:r>
      <w:r w:rsidRPr="00424EE3">
        <w:rPr>
          <w:i/>
          <w:iCs/>
          <w:lang w:val="en-GB"/>
        </w:rPr>
        <w:t>7</w:t>
      </w:r>
      <w:r w:rsidR="00424EE3" w:rsidRPr="00424EE3">
        <w:rPr>
          <w:i/>
          <w:iCs/>
          <w:lang w:val="en-GB"/>
        </w:rPr>
        <w:t>4</w:t>
      </w:r>
      <w:r w:rsidRPr="00424EE3">
        <w:rPr>
          <w:lang w:val="en-GB"/>
        </w:rPr>
        <w:t xml:space="preserve">). This </w:t>
      </w:r>
      <w:r w:rsidR="00424EE3" w:rsidRPr="00424EE3">
        <w:rPr>
          <w:lang w:val="en-GB"/>
        </w:rPr>
        <w:t xml:space="preserve">error can be </w:t>
      </w:r>
      <w:r w:rsidRPr="00424EE3">
        <w:rPr>
          <w:lang w:val="en-GB"/>
        </w:rPr>
        <w:t xml:space="preserve">especially frequent when the source and target language </w:t>
      </w:r>
      <w:r w:rsidR="00424EE3" w:rsidRPr="00424EE3">
        <w:rPr>
          <w:lang w:val="en-GB"/>
        </w:rPr>
        <w:t>use</w:t>
      </w:r>
      <w:r w:rsidRPr="00424EE3">
        <w:rPr>
          <w:lang w:val="en-GB"/>
        </w:rPr>
        <w:t xml:space="preserve"> a different </w:t>
      </w:r>
      <w:r w:rsidR="00424EE3" w:rsidRPr="00424EE3">
        <w:rPr>
          <w:lang w:val="en-GB"/>
        </w:rPr>
        <w:t xml:space="preserve">number </w:t>
      </w:r>
      <w:r w:rsidR="00B46BFF" w:rsidRPr="00424EE3">
        <w:rPr>
          <w:lang w:val="en-GB"/>
        </w:rPr>
        <w:t xml:space="preserve">syntax </w:t>
      </w:r>
      <w:r w:rsidR="00424EE3" w:rsidRPr="00424EE3">
        <w:rPr>
          <w:lang w:val="en-GB"/>
        </w:rPr>
        <w:t xml:space="preserve">(pronouncing </w:t>
      </w:r>
      <w:r w:rsidR="00B46BFF" w:rsidRPr="00424EE3">
        <w:rPr>
          <w:lang w:val="en-GB"/>
        </w:rPr>
        <w:t xml:space="preserve">units </w:t>
      </w:r>
      <w:r w:rsidR="00424EE3" w:rsidRPr="00424EE3">
        <w:rPr>
          <w:lang w:val="en-GB"/>
        </w:rPr>
        <w:t>or</w:t>
      </w:r>
      <w:r w:rsidR="00B46BFF" w:rsidRPr="00424EE3">
        <w:rPr>
          <w:lang w:val="en-GB"/>
        </w:rPr>
        <w:t xml:space="preserve"> tens</w:t>
      </w:r>
      <w:r w:rsidR="00424EE3" w:rsidRPr="00424EE3">
        <w:rPr>
          <w:lang w:val="en-GB"/>
        </w:rPr>
        <w:t xml:space="preserve"> first)</w:t>
      </w:r>
      <w:r w:rsidR="00E740C1">
        <w:rPr>
          <w:lang w:val="en-GB"/>
        </w:rPr>
        <w:t>.</w:t>
      </w:r>
    </w:p>
    <w:p w14:paraId="6C6DC4CD" w14:textId="77C6A3E9" w:rsidR="00867F37" w:rsidRPr="00DB1A07" w:rsidRDefault="00424EE3" w:rsidP="00AB50F7">
      <w:pPr>
        <w:numPr>
          <w:ilvl w:val="0"/>
          <w:numId w:val="12"/>
        </w:numPr>
        <w:rPr>
          <w:lang w:val="en-US"/>
        </w:rPr>
      </w:pPr>
      <w:r w:rsidRPr="00DB1A07">
        <w:rPr>
          <w:lang w:val="en-US"/>
        </w:rPr>
        <w:t>Syntactic mistakes</w:t>
      </w:r>
      <w:r w:rsidR="00867F37" w:rsidRPr="00DB1A07">
        <w:rPr>
          <w:lang w:val="en-US"/>
        </w:rPr>
        <w:t xml:space="preserve">: </w:t>
      </w:r>
      <w:r w:rsidRPr="00DB1A07">
        <w:rPr>
          <w:lang w:val="en-US"/>
        </w:rPr>
        <w:t xml:space="preserve">the order of magnitude is incorrect, even though the right components may be present (e.g. </w:t>
      </w:r>
      <w:r w:rsidRPr="00DB1A07">
        <w:rPr>
          <w:i/>
          <w:iCs/>
          <w:lang w:val="en-US"/>
        </w:rPr>
        <w:t>47</w:t>
      </w:r>
      <w:r w:rsidRPr="00DB1A07">
        <w:rPr>
          <w:lang w:val="en-US"/>
        </w:rPr>
        <w:t xml:space="preserve"> becomes </w:t>
      </w:r>
      <w:r w:rsidRPr="00DB1A07">
        <w:rPr>
          <w:i/>
          <w:iCs/>
          <w:lang w:val="en-US"/>
        </w:rPr>
        <w:t>470</w:t>
      </w:r>
      <w:r w:rsidRPr="00DB1A07">
        <w:rPr>
          <w:lang w:val="en-US"/>
        </w:rPr>
        <w:t>)</w:t>
      </w:r>
      <w:r w:rsidR="00E740C1">
        <w:rPr>
          <w:lang w:val="en-US"/>
        </w:rPr>
        <w:t>.</w:t>
      </w:r>
    </w:p>
    <w:p w14:paraId="4A23E2C9" w14:textId="1A8B0EF8" w:rsidR="00867F37" w:rsidRPr="00DB1A07" w:rsidRDefault="00424EE3" w:rsidP="001D6E96">
      <w:pPr>
        <w:numPr>
          <w:ilvl w:val="0"/>
          <w:numId w:val="12"/>
        </w:numPr>
        <w:rPr>
          <w:lang w:val="en-US"/>
        </w:rPr>
      </w:pPr>
      <w:r w:rsidRPr="00DB1A07">
        <w:rPr>
          <w:lang w:val="en-US"/>
        </w:rPr>
        <w:t>Phonological mistakes</w:t>
      </w:r>
      <w:r w:rsidR="00867F37" w:rsidRPr="00DB1A07">
        <w:rPr>
          <w:lang w:val="en-US"/>
        </w:rPr>
        <w:t xml:space="preserve">: </w:t>
      </w:r>
      <w:r w:rsidRPr="00424EE3">
        <w:rPr>
          <w:lang w:val="en-GB"/>
        </w:rPr>
        <w:t xml:space="preserve">the error can be </w:t>
      </w:r>
      <w:r>
        <w:rPr>
          <w:lang w:val="en-GB"/>
        </w:rPr>
        <w:t>explained by phonological confusion in the source stimulus (e.g.</w:t>
      </w:r>
      <w:r w:rsidRPr="00DB1A07">
        <w:rPr>
          <w:lang w:val="en-US"/>
        </w:rPr>
        <w:t xml:space="preserve"> </w:t>
      </w:r>
      <w:r w:rsidR="001D6E96" w:rsidRPr="00DB1A07">
        <w:rPr>
          <w:i/>
          <w:iCs/>
          <w:lang w:val="en-US"/>
        </w:rPr>
        <w:t>14</w:t>
      </w:r>
      <w:r w:rsidRPr="00DB1A07">
        <w:rPr>
          <w:lang w:val="en-US"/>
        </w:rPr>
        <w:t xml:space="preserve"> becomes </w:t>
      </w:r>
      <w:r w:rsidR="001D6E96" w:rsidRPr="00DB1A07">
        <w:rPr>
          <w:i/>
          <w:iCs/>
          <w:lang w:val="en-US"/>
        </w:rPr>
        <w:t>40</w:t>
      </w:r>
      <w:r w:rsidRPr="00DB1A07">
        <w:rPr>
          <w:lang w:val="en-US"/>
        </w:rPr>
        <w:t xml:space="preserve">, </w:t>
      </w:r>
      <w:r w:rsidR="001D6E96" w:rsidRPr="00DB1A07">
        <w:rPr>
          <w:lang w:val="en-US"/>
        </w:rPr>
        <w:t xml:space="preserve">a near-homophone </w:t>
      </w:r>
      <w:r w:rsidRPr="00DB1A07">
        <w:rPr>
          <w:lang w:val="en-US"/>
        </w:rPr>
        <w:t>in English)</w:t>
      </w:r>
      <w:r w:rsidR="00E740C1">
        <w:rPr>
          <w:lang w:val="en-US"/>
        </w:rPr>
        <w:t>.</w:t>
      </w:r>
    </w:p>
    <w:p w14:paraId="2B8C6003" w14:textId="63C9F42B" w:rsidR="00867F37" w:rsidRPr="00DB1A07" w:rsidRDefault="00706AD8" w:rsidP="00706AD8">
      <w:pPr>
        <w:numPr>
          <w:ilvl w:val="0"/>
          <w:numId w:val="12"/>
        </w:numPr>
        <w:rPr>
          <w:lang w:val="en-US"/>
        </w:rPr>
      </w:pPr>
      <w:r w:rsidRPr="00DB1A07">
        <w:rPr>
          <w:lang w:val="en-US"/>
        </w:rPr>
        <w:t>Other mistakes</w:t>
      </w:r>
      <w:r w:rsidR="00867F37" w:rsidRPr="00DB1A07">
        <w:rPr>
          <w:lang w:val="en-US"/>
        </w:rPr>
        <w:t>:</w:t>
      </w:r>
      <w:r w:rsidRPr="00DB1A07">
        <w:rPr>
          <w:lang w:val="en-US"/>
        </w:rPr>
        <w:t xml:space="preserve"> miscellaneous</w:t>
      </w:r>
      <w:r w:rsidR="00867F37" w:rsidRPr="00DB1A07">
        <w:rPr>
          <w:lang w:val="en-US"/>
        </w:rPr>
        <w:t xml:space="preserve"> </w:t>
      </w:r>
      <w:r w:rsidRPr="00DB1A07">
        <w:rPr>
          <w:lang w:val="en-US"/>
        </w:rPr>
        <w:t xml:space="preserve">errors that do not fit any of the other categories, or numbers that combine multiple error types (e.g. </w:t>
      </w:r>
      <w:r w:rsidRPr="00DB1A07">
        <w:rPr>
          <w:i/>
          <w:iCs/>
          <w:lang w:val="en-US"/>
        </w:rPr>
        <w:t>47</w:t>
      </w:r>
      <w:r w:rsidRPr="00DB1A07">
        <w:rPr>
          <w:lang w:val="en-US"/>
        </w:rPr>
        <w:t xml:space="preserve"> becomes </w:t>
      </w:r>
      <w:r w:rsidRPr="00DB1A07">
        <w:rPr>
          <w:i/>
          <w:iCs/>
          <w:lang w:val="en-US"/>
        </w:rPr>
        <w:t>740</w:t>
      </w:r>
      <w:r w:rsidRPr="00DB1A07">
        <w:rPr>
          <w:lang w:val="en-US"/>
        </w:rPr>
        <w:t>)</w:t>
      </w:r>
      <w:r w:rsidR="00E740C1">
        <w:rPr>
          <w:lang w:val="en-US"/>
        </w:rPr>
        <w:t>.</w:t>
      </w:r>
    </w:p>
    <w:p w14:paraId="0FD04CEB" w14:textId="2C3706D9" w:rsidR="0071779E" w:rsidRDefault="0071779E" w:rsidP="002D30F0">
      <w:pPr>
        <w:rPr>
          <w:lang w:val="en-US"/>
        </w:rPr>
      </w:pPr>
      <w:r>
        <w:rPr>
          <w:lang w:val="en-US"/>
        </w:rPr>
        <w:t xml:space="preserve">Additionally, </w:t>
      </w:r>
      <w:r w:rsidR="007F7A28">
        <w:rPr>
          <w:lang w:val="en-US"/>
        </w:rPr>
        <w:t xml:space="preserve">the </w:t>
      </w:r>
      <w:r>
        <w:rPr>
          <w:lang w:val="en-US"/>
        </w:rPr>
        <w:t>records contain information on the source language</w:t>
      </w:r>
      <w:r w:rsidR="008A1CE7">
        <w:rPr>
          <w:lang w:val="en-US"/>
        </w:rPr>
        <w:t>, source speech, participant, the type of number, and whether the experimental technological support was available</w:t>
      </w:r>
      <w:r w:rsidR="000F3360">
        <w:rPr>
          <w:lang w:val="en-US"/>
        </w:rPr>
        <w:t xml:space="preserve"> (i.e., the </w:t>
      </w:r>
      <w:r w:rsidR="002D30F0">
        <w:rPr>
          <w:lang w:val="en-US"/>
        </w:rPr>
        <w:t>independent variable</w:t>
      </w:r>
      <w:r w:rsidR="000F3360">
        <w:rPr>
          <w:lang w:val="en-US"/>
        </w:rPr>
        <w:t>)</w:t>
      </w:r>
      <w:r w:rsidR="008A1CE7">
        <w:rPr>
          <w:lang w:val="en-US"/>
        </w:rPr>
        <w:t>. These variables allow the impact of CAI support to be analyzed from multiple perspectives, as presented in the following section.</w:t>
      </w:r>
    </w:p>
    <w:p w14:paraId="18F4CECE" w14:textId="405B097F" w:rsidR="00953FF3" w:rsidRDefault="00953FF3" w:rsidP="002200B1">
      <w:pPr>
        <w:pStyle w:val="Heading2"/>
        <w:numPr>
          <w:ilvl w:val="0"/>
          <w:numId w:val="5"/>
        </w:numPr>
        <w:rPr>
          <w:lang w:val="en-US"/>
        </w:rPr>
      </w:pPr>
      <w:r>
        <w:rPr>
          <w:lang w:val="en-US"/>
        </w:rPr>
        <w:t>Results</w:t>
      </w:r>
      <w:r w:rsidR="00AA3C4E">
        <w:rPr>
          <w:lang w:val="en-US"/>
        </w:rPr>
        <w:t xml:space="preserve"> and discussion</w:t>
      </w:r>
    </w:p>
    <w:p w14:paraId="0C3D4397" w14:textId="4D344B78" w:rsidR="00E5197A" w:rsidRDefault="00E5197A" w:rsidP="00E740C1">
      <w:pPr>
        <w:rPr>
          <w:lang w:val="en-US"/>
        </w:rPr>
      </w:pPr>
      <w:r>
        <w:rPr>
          <w:lang w:val="en-US"/>
        </w:rPr>
        <w:t>The experiment yield</w:t>
      </w:r>
      <w:r w:rsidR="006D67C2">
        <w:rPr>
          <w:lang w:val="en-US"/>
        </w:rPr>
        <w:t>ed</w:t>
      </w:r>
      <w:r>
        <w:rPr>
          <w:lang w:val="en-US"/>
        </w:rPr>
        <w:t xml:space="preserve"> 40 </w:t>
      </w:r>
      <w:r w:rsidR="008A1CE7">
        <w:rPr>
          <w:lang w:val="en-US"/>
        </w:rPr>
        <w:t>recordings of 4 speeches inter</w:t>
      </w:r>
      <w:r>
        <w:rPr>
          <w:lang w:val="en-US"/>
        </w:rPr>
        <w:t>preted by 10 participants</w:t>
      </w:r>
      <w:r w:rsidR="00720720">
        <w:rPr>
          <w:lang w:val="en-US"/>
        </w:rPr>
        <w:t xml:space="preserve">. </w:t>
      </w:r>
      <w:r w:rsidR="00CF5ADB">
        <w:rPr>
          <w:lang w:val="en-US"/>
        </w:rPr>
        <w:t>French was the source language in 28 of them, German in 12</w:t>
      </w:r>
      <w:r w:rsidR="005272F5">
        <w:rPr>
          <w:lang w:val="en-US"/>
        </w:rPr>
        <w:t>, and half of them were interpreted with technological support for numbers</w:t>
      </w:r>
      <w:r w:rsidR="00CF5ADB">
        <w:rPr>
          <w:lang w:val="en-US"/>
        </w:rPr>
        <w:t xml:space="preserve">. </w:t>
      </w:r>
      <w:r w:rsidR="00BE21C5">
        <w:rPr>
          <w:lang w:val="en-US"/>
        </w:rPr>
        <w:t xml:space="preserve">With 20 numbers per </w:t>
      </w:r>
      <w:r w:rsidR="005272F5">
        <w:rPr>
          <w:lang w:val="en-US"/>
        </w:rPr>
        <w:t>rec</w:t>
      </w:r>
      <w:r w:rsidR="00BE21C5">
        <w:rPr>
          <w:lang w:val="en-US"/>
        </w:rPr>
        <w:t>ording</w:t>
      </w:r>
      <w:r w:rsidR="005272F5">
        <w:rPr>
          <w:lang w:val="en-US"/>
        </w:rPr>
        <w:t xml:space="preserve">, a total of 800 observations </w:t>
      </w:r>
      <w:r w:rsidR="006D67C2">
        <w:rPr>
          <w:lang w:val="en-US"/>
        </w:rPr>
        <w:t xml:space="preserve">was </w:t>
      </w:r>
      <w:r w:rsidR="005272F5">
        <w:rPr>
          <w:lang w:val="en-US"/>
        </w:rPr>
        <w:t xml:space="preserve">available for this </w:t>
      </w:r>
      <w:r w:rsidR="00B9642B">
        <w:rPr>
          <w:lang w:val="en-US"/>
        </w:rPr>
        <w:t xml:space="preserve">pilot </w:t>
      </w:r>
      <w:r w:rsidR="005272F5">
        <w:rPr>
          <w:lang w:val="en-US"/>
        </w:rPr>
        <w:t>study.</w:t>
      </w:r>
    </w:p>
    <w:p w14:paraId="4E40BCF8" w14:textId="27628869" w:rsidR="00843E8F" w:rsidRDefault="004367FD" w:rsidP="00E740C1">
      <w:pPr>
        <w:pStyle w:val="Heading3"/>
        <w:rPr>
          <w:lang w:val="en-US"/>
        </w:rPr>
      </w:pPr>
      <w:r>
        <w:rPr>
          <w:lang w:val="en-US"/>
        </w:rPr>
        <w:lastRenderedPageBreak/>
        <w:t>The i</w:t>
      </w:r>
      <w:r w:rsidR="00843E8F">
        <w:rPr>
          <w:lang w:val="en-US"/>
        </w:rPr>
        <w:t xml:space="preserve">mpact of </w:t>
      </w:r>
      <w:r w:rsidR="000F3360">
        <w:rPr>
          <w:lang w:val="en-US"/>
        </w:rPr>
        <w:t>technological</w:t>
      </w:r>
      <w:r w:rsidR="00843E8F">
        <w:rPr>
          <w:lang w:val="en-US"/>
        </w:rPr>
        <w:t xml:space="preserve"> support</w:t>
      </w:r>
      <w:r w:rsidR="000F3360">
        <w:rPr>
          <w:lang w:val="en-US"/>
        </w:rPr>
        <w:t xml:space="preserve"> for </w:t>
      </w:r>
      <w:r w:rsidR="00E740C1">
        <w:rPr>
          <w:lang w:val="en-US"/>
        </w:rPr>
        <w:t>interpreting numbers</w:t>
      </w:r>
    </w:p>
    <w:p w14:paraId="240CE1E6" w14:textId="7FA1456B" w:rsidR="00B279B2" w:rsidRDefault="00D35787" w:rsidP="00293356">
      <w:pPr>
        <w:rPr>
          <w:lang w:val="en-US"/>
        </w:rPr>
      </w:pPr>
      <w:r>
        <w:rPr>
          <w:lang w:val="en-US"/>
        </w:rPr>
        <w:t>N</w:t>
      </w:r>
      <w:r w:rsidR="00B279B2">
        <w:rPr>
          <w:lang w:val="en-US"/>
        </w:rPr>
        <w:t xml:space="preserve">umbers are </w:t>
      </w:r>
      <w:r w:rsidR="00FA3A44">
        <w:rPr>
          <w:lang w:val="en-US"/>
        </w:rPr>
        <w:t>difficult</w:t>
      </w:r>
      <w:r w:rsidR="00B279B2">
        <w:rPr>
          <w:lang w:val="en-US"/>
        </w:rPr>
        <w:t xml:space="preserve"> to interpret</w:t>
      </w:r>
      <w:r w:rsidR="007D0C11">
        <w:rPr>
          <w:lang w:val="en-US"/>
        </w:rPr>
        <w:t xml:space="preserve">, and this is </w:t>
      </w:r>
      <w:r w:rsidR="007A3B5A">
        <w:rPr>
          <w:lang w:val="en-US"/>
        </w:rPr>
        <w:t>borne out</w:t>
      </w:r>
      <w:r w:rsidR="007D0C11">
        <w:rPr>
          <w:lang w:val="en-US"/>
        </w:rPr>
        <w:t xml:space="preserve"> by </w:t>
      </w:r>
      <w:r w:rsidR="00293356">
        <w:rPr>
          <w:lang w:val="en-US"/>
        </w:rPr>
        <w:t>the</w:t>
      </w:r>
      <w:r w:rsidR="007D0C11">
        <w:rPr>
          <w:lang w:val="en-US"/>
        </w:rPr>
        <w:t xml:space="preserve"> experimental results. The average </w:t>
      </w:r>
      <w:r>
        <w:rPr>
          <w:lang w:val="en-US"/>
        </w:rPr>
        <w:t xml:space="preserve">accuracy on numbers in the control setting, without technological support, </w:t>
      </w:r>
      <w:r w:rsidR="006D67C2">
        <w:rPr>
          <w:lang w:val="en-US"/>
        </w:rPr>
        <w:t xml:space="preserve">was </w:t>
      </w:r>
      <w:r w:rsidR="00FA3A44">
        <w:rPr>
          <w:lang w:val="en-US"/>
        </w:rPr>
        <w:t>56.5% over all test subjects and languages</w:t>
      </w:r>
      <w:r w:rsidR="00AB50F7">
        <w:rPr>
          <w:lang w:val="en-US"/>
        </w:rPr>
        <w:t>, i.e. an average error rate of 43.5%</w:t>
      </w:r>
      <w:r w:rsidR="00FA3A44">
        <w:rPr>
          <w:lang w:val="en-US"/>
        </w:rPr>
        <w:t xml:space="preserve">. </w:t>
      </w:r>
      <w:r w:rsidR="00B20674">
        <w:rPr>
          <w:lang w:val="en-US"/>
        </w:rPr>
        <w:t xml:space="preserve">The observed performances </w:t>
      </w:r>
      <w:r w:rsidR="006D67C2">
        <w:rPr>
          <w:lang w:val="en-US"/>
        </w:rPr>
        <w:t xml:space="preserve">were </w:t>
      </w:r>
      <w:r w:rsidR="00B20674">
        <w:rPr>
          <w:lang w:val="en-US"/>
        </w:rPr>
        <w:t xml:space="preserve">thus completely in line with the 40-50% error rate found in most other studies. </w:t>
      </w:r>
      <w:r w:rsidR="00FA3A44">
        <w:rPr>
          <w:lang w:val="en-US"/>
        </w:rPr>
        <w:t xml:space="preserve">Accuracy between individuals varied </w:t>
      </w:r>
      <w:r w:rsidR="00E179DD">
        <w:rPr>
          <w:lang w:val="en-US"/>
        </w:rPr>
        <w:t xml:space="preserve">from </w:t>
      </w:r>
      <w:r w:rsidR="00FA3A44">
        <w:rPr>
          <w:lang w:val="en-US"/>
        </w:rPr>
        <w:t>27.5</w:t>
      </w:r>
      <w:r w:rsidR="00E179DD">
        <w:rPr>
          <w:lang w:val="en-US"/>
        </w:rPr>
        <w:t>%</w:t>
      </w:r>
      <w:r w:rsidR="00FA3A44">
        <w:rPr>
          <w:lang w:val="en-US"/>
        </w:rPr>
        <w:t xml:space="preserve"> </w:t>
      </w:r>
      <w:r w:rsidR="00E179DD">
        <w:rPr>
          <w:lang w:val="en-US"/>
        </w:rPr>
        <w:t xml:space="preserve">to 90%, and </w:t>
      </w:r>
      <w:r w:rsidR="002613BB">
        <w:rPr>
          <w:lang w:val="en-US"/>
        </w:rPr>
        <w:t>the interpretations from German were more accurate on average (74% vs 49%). This could be due to the higher similarity between the German and Dutch number systems, but the number of participants is too small to rule out individual differences as the main cause of this divergence.</w:t>
      </w:r>
      <w:r w:rsidR="00AB5777">
        <w:rPr>
          <w:lang w:val="en-US"/>
        </w:rPr>
        <w:t xml:space="preserve"> Another explanation is the slower rate of delivery for German than for French.</w:t>
      </w:r>
    </w:p>
    <w:p w14:paraId="61604D1C" w14:textId="58FEF252" w:rsidR="002613BB" w:rsidRDefault="002613BB" w:rsidP="003D03D9">
      <w:pPr>
        <w:rPr>
          <w:lang w:val="en-US"/>
        </w:rPr>
      </w:pPr>
      <w:r>
        <w:rPr>
          <w:lang w:val="en-US"/>
        </w:rPr>
        <w:t xml:space="preserve">When </w:t>
      </w:r>
      <w:r w:rsidR="00B279B2">
        <w:rPr>
          <w:lang w:val="en-US"/>
        </w:rPr>
        <w:t xml:space="preserve">technological support </w:t>
      </w:r>
      <w:r w:rsidR="006D67C2">
        <w:rPr>
          <w:lang w:val="en-US"/>
        </w:rPr>
        <w:t xml:space="preserve">was </w:t>
      </w:r>
      <w:r>
        <w:rPr>
          <w:lang w:val="en-US"/>
        </w:rPr>
        <w:t>made available, the performance on numbers improve</w:t>
      </w:r>
      <w:r w:rsidR="006D67C2">
        <w:rPr>
          <w:lang w:val="en-US"/>
        </w:rPr>
        <w:t>d</w:t>
      </w:r>
      <w:r>
        <w:rPr>
          <w:lang w:val="en-US"/>
        </w:rPr>
        <w:t xml:space="preserve"> dramatically. Average accuracy r</w:t>
      </w:r>
      <w:r w:rsidR="006D67C2">
        <w:rPr>
          <w:lang w:val="en-US"/>
        </w:rPr>
        <w:t>ose</w:t>
      </w:r>
      <w:r>
        <w:rPr>
          <w:lang w:val="en-US"/>
        </w:rPr>
        <w:t xml:space="preserve"> by 3</w:t>
      </w:r>
      <w:r w:rsidR="0049207D">
        <w:rPr>
          <w:lang w:val="en-US"/>
        </w:rPr>
        <w:t>0</w:t>
      </w:r>
      <w:r>
        <w:rPr>
          <w:lang w:val="en-US"/>
        </w:rPr>
        <w:t xml:space="preserve"> percentage points to 8</w:t>
      </w:r>
      <w:r w:rsidR="0049207D">
        <w:rPr>
          <w:lang w:val="en-US"/>
        </w:rPr>
        <w:t>6.5</w:t>
      </w:r>
      <w:r>
        <w:rPr>
          <w:lang w:val="en-US"/>
        </w:rPr>
        <w:t>%</w:t>
      </w:r>
      <w:r w:rsidR="00EF0C61">
        <w:rPr>
          <w:lang w:val="en-US"/>
        </w:rPr>
        <w:t>, and t</w:t>
      </w:r>
      <w:r>
        <w:rPr>
          <w:lang w:val="en-US"/>
        </w:rPr>
        <w:t>he absolute number of errors drop</w:t>
      </w:r>
      <w:r w:rsidR="006D67C2">
        <w:rPr>
          <w:lang w:val="en-US"/>
        </w:rPr>
        <w:t>ped</w:t>
      </w:r>
      <w:r>
        <w:rPr>
          <w:lang w:val="en-US"/>
        </w:rPr>
        <w:t xml:space="preserve"> from 174 to 54</w:t>
      </w:r>
      <w:r w:rsidR="000B05BC">
        <w:rPr>
          <w:lang w:val="en-US"/>
        </w:rPr>
        <w:t xml:space="preserve"> out of 4</w:t>
      </w:r>
      <w:r w:rsidR="00FF60CC">
        <w:rPr>
          <w:lang w:val="en-US"/>
        </w:rPr>
        <w:t>00</w:t>
      </w:r>
      <w:r>
        <w:rPr>
          <w:lang w:val="en-US"/>
        </w:rPr>
        <w:t>, an error reduction of 69%</w:t>
      </w:r>
      <w:r w:rsidR="0049207D">
        <w:rPr>
          <w:lang w:val="en-US"/>
        </w:rPr>
        <w:t xml:space="preserve">. This finding </w:t>
      </w:r>
      <w:r w:rsidR="006D67C2">
        <w:rPr>
          <w:lang w:val="en-US"/>
        </w:rPr>
        <w:t xml:space="preserve">was </w:t>
      </w:r>
      <w:proofErr w:type="gramStart"/>
      <w:r w:rsidR="00B20674">
        <w:rPr>
          <w:lang w:val="en-US"/>
        </w:rPr>
        <w:t xml:space="preserve">fairly </w:t>
      </w:r>
      <w:r w:rsidR="00862DDA">
        <w:rPr>
          <w:lang w:val="en-US"/>
        </w:rPr>
        <w:t>consistent</w:t>
      </w:r>
      <w:proofErr w:type="gramEnd"/>
      <w:r w:rsidR="00862DDA">
        <w:rPr>
          <w:lang w:val="en-US"/>
        </w:rPr>
        <w:t xml:space="preserve"> with the 5</w:t>
      </w:r>
      <w:r w:rsidR="00810A49">
        <w:rPr>
          <w:lang w:val="en-US"/>
        </w:rPr>
        <w:t>3-68% de</w:t>
      </w:r>
      <w:r w:rsidR="00862DDA">
        <w:rPr>
          <w:lang w:val="en-US"/>
        </w:rPr>
        <w:t xml:space="preserve">crease reported by </w:t>
      </w:r>
      <w:proofErr w:type="spellStart"/>
      <w:r w:rsidR="00862DDA">
        <w:rPr>
          <w:lang w:val="en-US"/>
        </w:rPr>
        <w:t>Lamberger-Felber</w:t>
      </w:r>
      <w:proofErr w:type="spellEnd"/>
      <w:r w:rsidR="00862DDA">
        <w:rPr>
          <w:lang w:val="en-US"/>
        </w:rPr>
        <w:t xml:space="preserve"> (2001) for numbers and names</w:t>
      </w:r>
      <w:r w:rsidR="0049207D">
        <w:rPr>
          <w:lang w:val="en-US"/>
        </w:rPr>
        <w:t>, when copies of speeches were made available to the interpreter</w:t>
      </w:r>
      <w:r>
        <w:rPr>
          <w:lang w:val="en-US"/>
        </w:rPr>
        <w:t>.</w:t>
      </w:r>
      <w:r w:rsidR="00105173">
        <w:rPr>
          <w:lang w:val="en-US"/>
        </w:rPr>
        <w:t xml:space="preserve"> </w:t>
      </w:r>
      <w:r w:rsidR="00EF0C61">
        <w:rPr>
          <w:lang w:val="en-US"/>
        </w:rPr>
        <w:t>A paired t-test show</w:t>
      </w:r>
      <w:r w:rsidR="006D67C2">
        <w:rPr>
          <w:lang w:val="en-US"/>
        </w:rPr>
        <w:t>ed</w:t>
      </w:r>
      <w:r w:rsidR="00EF0C61">
        <w:rPr>
          <w:lang w:val="en-US"/>
        </w:rPr>
        <w:t xml:space="preserve"> that th</w:t>
      </w:r>
      <w:r w:rsidR="0049207D">
        <w:rPr>
          <w:lang w:val="en-US"/>
        </w:rPr>
        <w:t>e</w:t>
      </w:r>
      <w:r w:rsidR="00EF0C61">
        <w:rPr>
          <w:lang w:val="en-US"/>
        </w:rPr>
        <w:t xml:space="preserve"> performance difference </w:t>
      </w:r>
      <w:r w:rsidR="006D67C2">
        <w:rPr>
          <w:lang w:val="en-US"/>
        </w:rPr>
        <w:t xml:space="preserve">was </w:t>
      </w:r>
      <w:r w:rsidR="00EF0C61">
        <w:rPr>
          <w:lang w:val="en-US"/>
        </w:rPr>
        <w:t>highly significant</w:t>
      </w:r>
      <w:r w:rsidR="003D03D9">
        <w:rPr>
          <w:lang w:val="en-US"/>
        </w:rPr>
        <w:t xml:space="preserve"> for both source languages</w:t>
      </w:r>
      <w:r w:rsidR="00EF0C61">
        <w:rPr>
          <w:lang w:val="en-US"/>
        </w:rPr>
        <w:t xml:space="preserve"> (p &lt; 0.001). It should not </w:t>
      </w:r>
      <w:r w:rsidR="00B20674">
        <w:rPr>
          <w:lang w:val="en-US"/>
        </w:rPr>
        <w:t xml:space="preserve">come as a </w:t>
      </w:r>
      <w:r w:rsidR="00EF0C61">
        <w:rPr>
          <w:lang w:val="en-US"/>
        </w:rPr>
        <w:t>surprise that</w:t>
      </w:r>
      <w:r w:rsidR="0072004F">
        <w:rPr>
          <w:lang w:val="en-US"/>
        </w:rPr>
        <w:t xml:space="preserve"> i</w:t>
      </w:r>
      <w:r w:rsidR="00105173">
        <w:rPr>
          <w:lang w:val="en-US"/>
        </w:rPr>
        <w:t xml:space="preserve">ndividuals that scored poorly without support </w:t>
      </w:r>
      <w:r w:rsidR="00EF0C61">
        <w:rPr>
          <w:lang w:val="en-US"/>
        </w:rPr>
        <w:t xml:space="preserve">benefit most from having </w:t>
      </w:r>
      <w:r w:rsidR="00525859">
        <w:rPr>
          <w:lang w:val="en-US"/>
        </w:rPr>
        <w:t>it,</w:t>
      </w:r>
      <w:r w:rsidR="00EF0C61">
        <w:rPr>
          <w:lang w:val="en-US"/>
        </w:rPr>
        <w:t xml:space="preserve"> at least in absolute terms of avoided </w:t>
      </w:r>
      <w:r w:rsidR="00525859">
        <w:rPr>
          <w:lang w:val="en-US"/>
        </w:rPr>
        <w:t>errors (up to 21 fewer errors on 40 numbers)</w:t>
      </w:r>
      <w:r w:rsidR="00EF0C61">
        <w:rPr>
          <w:lang w:val="en-US"/>
        </w:rPr>
        <w:t>. Interestingly, relative error reduction</w:t>
      </w:r>
      <w:r w:rsidR="00D428C7">
        <w:rPr>
          <w:lang w:val="en-US"/>
        </w:rPr>
        <w:t xml:space="preserve"> </w:t>
      </w:r>
      <w:r w:rsidR="006D67C2">
        <w:rPr>
          <w:lang w:val="en-US"/>
        </w:rPr>
        <w:t xml:space="preserve">was </w:t>
      </w:r>
      <w:r w:rsidR="00D428C7">
        <w:rPr>
          <w:lang w:val="en-US"/>
        </w:rPr>
        <w:t xml:space="preserve">moderate (43%) to high (90%) regardless of a </w:t>
      </w:r>
      <w:r w:rsidR="00525859">
        <w:rPr>
          <w:lang w:val="en-US"/>
        </w:rPr>
        <w:t>subject</w:t>
      </w:r>
      <w:r w:rsidR="00D428C7">
        <w:rPr>
          <w:lang w:val="en-US"/>
        </w:rPr>
        <w:t>’</w:t>
      </w:r>
      <w:r w:rsidR="004E4292">
        <w:rPr>
          <w:lang w:val="en-US"/>
        </w:rPr>
        <w:t xml:space="preserve">s performance in the control setting. </w:t>
      </w:r>
      <w:r w:rsidR="006E77A8">
        <w:rPr>
          <w:lang w:val="en-US"/>
        </w:rPr>
        <w:t xml:space="preserve">In other words, even if an interpreter </w:t>
      </w:r>
      <w:r w:rsidR="006D67C2">
        <w:rPr>
          <w:lang w:val="en-US"/>
        </w:rPr>
        <w:t xml:space="preserve">was </w:t>
      </w:r>
      <w:r w:rsidR="0089122B">
        <w:rPr>
          <w:lang w:val="en-US"/>
        </w:rPr>
        <w:t>highly competent at conveying</w:t>
      </w:r>
      <w:r w:rsidR="006E77A8">
        <w:rPr>
          <w:lang w:val="en-US"/>
        </w:rPr>
        <w:t xml:space="preserve"> numbers without support, he or she </w:t>
      </w:r>
      <w:proofErr w:type="gramStart"/>
      <w:r w:rsidR="006D67C2">
        <w:rPr>
          <w:lang w:val="en-US"/>
        </w:rPr>
        <w:t>was able</w:t>
      </w:r>
      <w:r w:rsidR="006E77A8">
        <w:rPr>
          <w:lang w:val="en-US"/>
        </w:rPr>
        <w:t xml:space="preserve"> to</w:t>
      </w:r>
      <w:proofErr w:type="gramEnd"/>
      <w:r w:rsidR="006E77A8">
        <w:rPr>
          <w:lang w:val="en-US"/>
        </w:rPr>
        <w:t xml:space="preserve"> </w:t>
      </w:r>
      <w:r w:rsidR="00DE5E0D">
        <w:rPr>
          <w:lang w:val="en-US"/>
        </w:rPr>
        <w:t>reduce their error rate significantly when support is available.</w:t>
      </w:r>
    </w:p>
    <w:p w14:paraId="299CC7ED" w14:textId="20E19CFB" w:rsidR="00B279B2" w:rsidRDefault="00DE29D4" w:rsidP="00DE29D4">
      <w:pPr>
        <w:rPr>
          <w:lang w:val="en-US"/>
        </w:rPr>
      </w:pPr>
      <w:r>
        <w:rPr>
          <w:lang w:val="en-US"/>
        </w:rPr>
        <w:t xml:space="preserve">It is obvious from these results that CAI support for numbers has the potential of </w:t>
      </w:r>
      <w:r w:rsidR="00B20674">
        <w:rPr>
          <w:lang w:val="en-US"/>
        </w:rPr>
        <w:t>drastically reducing</w:t>
      </w:r>
      <w:r>
        <w:rPr>
          <w:lang w:val="en-US"/>
        </w:rPr>
        <w:t xml:space="preserve"> errors on numbers. Nevertheless, i</w:t>
      </w:r>
      <w:r w:rsidR="00B279B2">
        <w:rPr>
          <w:lang w:val="en-US"/>
        </w:rPr>
        <w:t>t needs to be emphasized</w:t>
      </w:r>
      <w:r w:rsidR="00DE5E0D">
        <w:rPr>
          <w:lang w:val="en-US"/>
        </w:rPr>
        <w:t xml:space="preserve"> that these results indicate</w:t>
      </w:r>
      <w:r w:rsidR="00B279B2">
        <w:rPr>
          <w:lang w:val="en-US"/>
        </w:rPr>
        <w:t xml:space="preserve"> the ceiling performance </w:t>
      </w:r>
      <w:r w:rsidR="00DE5E0D">
        <w:rPr>
          <w:lang w:val="en-US"/>
        </w:rPr>
        <w:t>of what</w:t>
      </w:r>
      <w:r w:rsidR="00B279B2">
        <w:rPr>
          <w:lang w:val="en-US"/>
        </w:rPr>
        <w:t xml:space="preserve"> </w:t>
      </w:r>
      <w:r w:rsidR="00DE5E0D">
        <w:rPr>
          <w:lang w:val="en-US"/>
        </w:rPr>
        <w:t xml:space="preserve">can be achieved with </w:t>
      </w:r>
      <w:r>
        <w:rPr>
          <w:lang w:val="en-US"/>
        </w:rPr>
        <w:t>technological support -</w:t>
      </w:r>
      <w:r w:rsidR="00DE5E0D">
        <w:rPr>
          <w:lang w:val="en-US"/>
        </w:rPr>
        <w:t xml:space="preserve"> or with a dedicated booth</w:t>
      </w:r>
      <w:r w:rsidR="00B20674">
        <w:rPr>
          <w:lang w:val="en-US"/>
        </w:rPr>
        <w:t xml:space="preserve"> </w:t>
      </w:r>
      <w:r w:rsidR="00DE5E0D">
        <w:rPr>
          <w:lang w:val="en-US"/>
        </w:rPr>
        <w:t>mate, for that matter.</w:t>
      </w:r>
      <w:r w:rsidR="00B02BD6">
        <w:rPr>
          <w:lang w:val="en-US"/>
        </w:rPr>
        <w:t xml:space="preserve"> The</w:t>
      </w:r>
      <w:r>
        <w:rPr>
          <w:lang w:val="en-US"/>
        </w:rPr>
        <w:t xml:space="preserve"> tested</w:t>
      </w:r>
      <w:r w:rsidR="00B279B2">
        <w:rPr>
          <w:lang w:val="en-US"/>
        </w:rPr>
        <w:t xml:space="preserve"> mock-up system has minimal delay and </w:t>
      </w:r>
      <w:r>
        <w:rPr>
          <w:lang w:val="en-US"/>
        </w:rPr>
        <w:t>its</w:t>
      </w:r>
      <w:r w:rsidR="00B279B2">
        <w:rPr>
          <w:lang w:val="en-US"/>
        </w:rPr>
        <w:t xml:space="preserve"> output is entirely accurate. </w:t>
      </w:r>
      <w:r>
        <w:rPr>
          <w:lang w:val="en-US"/>
        </w:rPr>
        <w:t xml:space="preserve">With such a reliable system, </w:t>
      </w:r>
      <w:r w:rsidR="00B279B2">
        <w:rPr>
          <w:lang w:val="en-US"/>
        </w:rPr>
        <w:t xml:space="preserve">the interpreter can </w:t>
      </w:r>
      <w:r>
        <w:rPr>
          <w:lang w:val="en-US"/>
        </w:rPr>
        <w:t>choose to reduce the listening and memory efforts to focus more on production</w:t>
      </w:r>
      <w:r w:rsidR="00B279B2">
        <w:rPr>
          <w:lang w:val="en-US"/>
        </w:rPr>
        <w:t>.</w:t>
      </w:r>
      <w:r>
        <w:rPr>
          <w:lang w:val="en-US"/>
        </w:rPr>
        <w:t xml:space="preserve"> Further research is required to test how imperfect output would affect the distribution of effort.</w:t>
      </w:r>
    </w:p>
    <w:p w14:paraId="6A54FE8E" w14:textId="01B17061" w:rsidR="009C53E8" w:rsidRDefault="000F3360" w:rsidP="005F4AF6">
      <w:pPr>
        <w:rPr>
          <w:lang w:val="en-US"/>
        </w:rPr>
      </w:pPr>
      <w:r>
        <w:rPr>
          <w:lang w:val="en-US"/>
        </w:rPr>
        <w:t xml:space="preserve">Feedback from the questionnaires indicated that </w:t>
      </w:r>
      <w:r w:rsidR="00DE29D4">
        <w:rPr>
          <w:lang w:val="en-US"/>
        </w:rPr>
        <w:t xml:space="preserve">all </w:t>
      </w:r>
      <w:r>
        <w:rPr>
          <w:lang w:val="en-US"/>
        </w:rPr>
        <w:t xml:space="preserve">participants </w:t>
      </w:r>
      <w:r w:rsidR="00DE29D4">
        <w:rPr>
          <w:lang w:val="en-US"/>
        </w:rPr>
        <w:t>perceived the support as helpful</w:t>
      </w:r>
      <w:r w:rsidR="00A83CF8">
        <w:rPr>
          <w:lang w:val="en-US"/>
        </w:rPr>
        <w:t xml:space="preserve">. </w:t>
      </w:r>
      <w:r w:rsidR="009C53E8">
        <w:rPr>
          <w:lang w:val="en-US"/>
        </w:rPr>
        <w:t xml:space="preserve">Three participants reported that it took some time to get used to the system, for the others the transition was almost immediate. Two respondents were sometimes distracted by the system because it focused their attention on numbers at the expense of other content. Future evaluations should elucidate if distraction can be reduced with increased familiarity with number support, or different ways of providing it. Specifically, adding units (e.g. </w:t>
      </w:r>
      <w:r w:rsidR="009C53E8">
        <w:rPr>
          <w:i/>
          <w:iCs/>
          <w:lang w:val="en-US"/>
        </w:rPr>
        <w:t xml:space="preserve">km </w:t>
      </w:r>
      <w:r w:rsidR="009C53E8">
        <w:rPr>
          <w:lang w:val="en-US"/>
        </w:rPr>
        <w:t xml:space="preserve">or </w:t>
      </w:r>
      <w:r w:rsidR="009C53E8" w:rsidRPr="009C53E8">
        <w:rPr>
          <w:i/>
          <w:iCs/>
          <w:lang w:val="en-US"/>
        </w:rPr>
        <w:t>percent</w:t>
      </w:r>
      <w:r w:rsidR="009C53E8">
        <w:rPr>
          <w:lang w:val="en-US"/>
        </w:rPr>
        <w:t xml:space="preserve">) </w:t>
      </w:r>
      <w:r w:rsidR="009C53E8" w:rsidRPr="009C53E8">
        <w:rPr>
          <w:lang w:val="en-US"/>
        </w:rPr>
        <w:t>or</w:t>
      </w:r>
      <w:r w:rsidR="009C53E8">
        <w:rPr>
          <w:lang w:val="en-US"/>
        </w:rPr>
        <w:t xml:space="preserve"> concepts to the numbers could be beneficial to </w:t>
      </w:r>
      <w:r w:rsidR="005F4AF6">
        <w:rPr>
          <w:lang w:val="en-US"/>
        </w:rPr>
        <w:t>recall their usage in context, although this may require cues that are specific to the source language.</w:t>
      </w:r>
    </w:p>
    <w:p w14:paraId="41FAE816" w14:textId="29F91BE7" w:rsidR="000F3360" w:rsidRDefault="000F3360" w:rsidP="00FD612A">
      <w:pPr>
        <w:pStyle w:val="Heading3"/>
        <w:rPr>
          <w:lang w:val="en-US"/>
        </w:rPr>
      </w:pPr>
      <w:r>
        <w:rPr>
          <w:lang w:val="en-US"/>
        </w:rPr>
        <w:t xml:space="preserve">The </w:t>
      </w:r>
      <w:r w:rsidR="00FD612A">
        <w:rPr>
          <w:lang w:val="en-US"/>
        </w:rPr>
        <w:t>influence</w:t>
      </w:r>
      <w:r>
        <w:rPr>
          <w:lang w:val="en-US"/>
        </w:rPr>
        <w:t xml:space="preserve"> of number typ</w:t>
      </w:r>
      <w:r w:rsidR="00FD612A">
        <w:rPr>
          <w:lang w:val="en-US"/>
        </w:rPr>
        <w:t>e</w:t>
      </w:r>
    </w:p>
    <w:p w14:paraId="30E215F9" w14:textId="6675B6C6" w:rsidR="007A3B5A" w:rsidRDefault="007A3B5A" w:rsidP="00CE57B3">
      <w:pPr>
        <w:rPr>
          <w:lang w:val="en-US"/>
        </w:rPr>
      </w:pPr>
      <w:r>
        <w:rPr>
          <w:lang w:val="en-US"/>
        </w:rPr>
        <w:t>The numbers expressed in the experimental speeches were balanced over four categories: simple and complex whole numbers, decimals and dates</w:t>
      </w:r>
      <w:r w:rsidR="002857A6">
        <w:rPr>
          <w:lang w:val="en-US"/>
        </w:rPr>
        <w:t>. Figure 2</w:t>
      </w:r>
      <w:r w:rsidR="00CE57B3">
        <w:rPr>
          <w:lang w:val="en-US"/>
        </w:rPr>
        <w:t xml:space="preserve"> </w:t>
      </w:r>
      <w:r w:rsidR="00076C0C">
        <w:rPr>
          <w:lang w:val="en-US"/>
        </w:rPr>
        <w:t xml:space="preserve">shows the </w:t>
      </w:r>
      <w:r w:rsidR="00FB7BF9">
        <w:rPr>
          <w:lang w:val="en-US"/>
        </w:rPr>
        <w:t xml:space="preserve">performance in terms of accuracy, categorized by </w:t>
      </w:r>
      <w:r>
        <w:rPr>
          <w:lang w:val="en-US"/>
        </w:rPr>
        <w:t xml:space="preserve">these </w:t>
      </w:r>
      <w:r w:rsidR="00FB7BF9">
        <w:rPr>
          <w:lang w:val="en-US"/>
        </w:rPr>
        <w:t>number type</w:t>
      </w:r>
      <w:r>
        <w:rPr>
          <w:lang w:val="en-US"/>
        </w:rPr>
        <w:t>s.</w:t>
      </w:r>
    </w:p>
    <w:p w14:paraId="052B05B3" w14:textId="48A0EB61" w:rsidR="00FB7BF9" w:rsidRDefault="00760C58" w:rsidP="00760C58">
      <w:pPr>
        <w:jc w:val="center"/>
        <w:rPr>
          <w:lang w:val="en-US"/>
        </w:rPr>
      </w:pPr>
      <w:r>
        <w:rPr>
          <w:noProof/>
          <w:lang w:val="en-GB" w:eastAsia="en-GB"/>
        </w:rPr>
        <w:lastRenderedPageBreak/>
        <w:drawing>
          <wp:inline distT="0" distB="0" distL="0" distR="0" wp14:anchorId="0C61F301" wp14:editId="24B434EC">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2743200"/>
                    </a:xfrm>
                    <a:prstGeom prst="rect">
                      <a:avLst/>
                    </a:prstGeom>
                  </pic:spPr>
                </pic:pic>
              </a:graphicData>
            </a:graphic>
          </wp:inline>
        </w:drawing>
      </w:r>
    </w:p>
    <w:p w14:paraId="1CCEBC8C" w14:textId="4839A511" w:rsidR="007A3B5A" w:rsidRDefault="007A3B5A" w:rsidP="002857A6">
      <w:pPr>
        <w:pStyle w:val="Caption"/>
        <w:jc w:val="center"/>
        <w:rPr>
          <w:lang w:val="en-US"/>
        </w:rPr>
      </w:pPr>
      <w:bookmarkStart w:id="1" w:name="_Ref505637121"/>
      <w:r w:rsidRPr="00DB1A07">
        <w:rPr>
          <w:lang w:val="en-US"/>
        </w:rPr>
        <w:t xml:space="preserve">Figure </w:t>
      </w:r>
      <w:r w:rsidR="002857A6">
        <w:rPr>
          <w:lang w:val="en-US"/>
        </w:rPr>
        <w:t>2</w:t>
      </w:r>
      <w:bookmarkEnd w:id="1"/>
      <w:r w:rsidRPr="00DB1A07">
        <w:rPr>
          <w:lang w:val="en-US"/>
        </w:rPr>
        <w:t>: Average accuracy per number type in both experimental conditions</w:t>
      </w:r>
    </w:p>
    <w:p w14:paraId="6789F61E" w14:textId="39CFD2CD" w:rsidR="009E0FF8" w:rsidRDefault="008427FC" w:rsidP="00293356">
      <w:pPr>
        <w:rPr>
          <w:lang w:val="en-US"/>
        </w:rPr>
      </w:pPr>
      <w:r>
        <w:rPr>
          <w:lang w:val="en-US"/>
        </w:rPr>
        <w:t xml:space="preserve">It </w:t>
      </w:r>
      <w:r w:rsidR="007A3B5A">
        <w:rPr>
          <w:lang w:val="en-US"/>
        </w:rPr>
        <w:t>can</w:t>
      </w:r>
      <w:r>
        <w:rPr>
          <w:lang w:val="en-US"/>
        </w:rPr>
        <w:t xml:space="preserve"> be</w:t>
      </w:r>
      <w:r w:rsidR="007A3B5A">
        <w:rPr>
          <w:lang w:val="en-US"/>
        </w:rPr>
        <w:t xml:space="preserve"> observe</w:t>
      </w:r>
      <w:r>
        <w:rPr>
          <w:lang w:val="en-US"/>
        </w:rPr>
        <w:t>d</w:t>
      </w:r>
      <w:r w:rsidR="007A3B5A">
        <w:rPr>
          <w:lang w:val="en-US"/>
        </w:rPr>
        <w:t xml:space="preserve"> that in the standard setting without support, interpreters experience most difficulties with complex and decimal numbers. Accuracies for these types are low at </w:t>
      </w:r>
      <w:r w:rsidR="009277EF">
        <w:rPr>
          <w:lang w:val="en-US"/>
        </w:rPr>
        <w:t xml:space="preserve">32% </w:t>
      </w:r>
      <w:r w:rsidR="007A3B5A">
        <w:rPr>
          <w:lang w:val="en-US"/>
        </w:rPr>
        <w:t xml:space="preserve">and </w:t>
      </w:r>
      <w:r w:rsidR="009277EF">
        <w:rPr>
          <w:lang w:val="en-US"/>
        </w:rPr>
        <w:t>51%</w:t>
      </w:r>
      <w:r w:rsidR="007A3B5A">
        <w:rPr>
          <w:lang w:val="en-US"/>
        </w:rPr>
        <w:t>, respectively, compared to around 70% for both simple numbers and dates.</w:t>
      </w:r>
      <w:r w:rsidR="009E0FF8">
        <w:rPr>
          <w:lang w:val="en-US"/>
        </w:rPr>
        <w:t xml:space="preserve"> These results corroborate previous findings. </w:t>
      </w:r>
      <w:r w:rsidR="00293356">
        <w:rPr>
          <w:lang w:val="en-US"/>
        </w:rPr>
        <w:t>This</w:t>
      </w:r>
      <w:r w:rsidR="00F2716D">
        <w:rPr>
          <w:lang w:val="en-US"/>
        </w:rPr>
        <w:t xml:space="preserve"> study used the same number typology as </w:t>
      </w:r>
      <w:proofErr w:type="spellStart"/>
      <w:r w:rsidR="003C42FA">
        <w:rPr>
          <w:lang w:val="en-US"/>
        </w:rPr>
        <w:t>Mazza</w:t>
      </w:r>
      <w:proofErr w:type="spellEnd"/>
      <w:r w:rsidR="009277EF">
        <w:rPr>
          <w:lang w:val="en-US"/>
        </w:rPr>
        <w:t xml:space="preserve"> </w:t>
      </w:r>
      <w:r w:rsidR="007A3B5A">
        <w:rPr>
          <w:lang w:val="en-US"/>
        </w:rPr>
        <w:t>(</w:t>
      </w:r>
      <w:r w:rsidR="009277EF">
        <w:rPr>
          <w:lang w:val="en-US"/>
        </w:rPr>
        <w:t>2001</w:t>
      </w:r>
      <w:r w:rsidR="007A3B5A">
        <w:rPr>
          <w:lang w:val="en-US"/>
        </w:rPr>
        <w:t>)</w:t>
      </w:r>
      <w:r w:rsidR="00F2716D">
        <w:rPr>
          <w:lang w:val="en-US"/>
        </w:rPr>
        <w:t>, with the exception that we distinguish whole numbers based on co</w:t>
      </w:r>
      <w:r w:rsidR="00D04F42">
        <w:rPr>
          <w:lang w:val="en-US"/>
        </w:rPr>
        <w:t>mplexity rather than size;</w:t>
      </w:r>
      <w:r w:rsidR="00F2716D">
        <w:rPr>
          <w:lang w:val="en-US"/>
        </w:rPr>
        <w:t xml:space="preserve"> </w:t>
      </w:r>
      <w:proofErr w:type="spellStart"/>
      <w:r w:rsidR="00A1478E">
        <w:rPr>
          <w:lang w:val="en-US"/>
        </w:rPr>
        <w:t>Pinochi</w:t>
      </w:r>
      <w:proofErr w:type="spellEnd"/>
      <w:r w:rsidR="00A1478E">
        <w:rPr>
          <w:lang w:val="en-US"/>
        </w:rPr>
        <w:t xml:space="preserve"> (2009) separates whole numbers into three categories, based on the complexity of pronouncing them. In </w:t>
      </w:r>
      <w:r w:rsidR="00D04F42">
        <w:rPr>
          <w:lang w:val="en-US"/>
        </w:rPr>
        <w:t xml:space="preserve">all three </w:t>
      </w:r>
      <w:r w:rsidR="00A1478E">
        <w:rPr>
          <w:lang w:val="en-US"/>
        </w:rPr>
        <w:t>studies, large or complex whole numbers are found to cause the most errors, followed by decimals, and small or simple whole numbers and dates are the easiest to interpret.</w:t>
      </w:r>
    </w:p>
    <w:p w14:paraId="516B3F41" w14:textId="71F9D8CB" w:rsidR="00D676BF" w:rsidRDefault="00E740C1" w:rsidP="00947521">
      <w:pPr>
        <w:rPr>
          <w:lang w:val="en-US"/>
        </w:rPr>
      </w:pPr>
      <w:r>
        <w:rPr>
          <w:lang w:val="en-US"/>
        </w:rPr>
        <w:t>When interpreters have access to technological support, the differences in error rate per number type almost disappear</w:t>
      </w:r>
      <w:r w:rsidR="00D04F42">
        <w:rPr>
          <w:lang w:val="en-US"/>
        </w:rPr>
        <w:t xml:space="preserve">. </w:t>
      </w:r>
      <w:r w:rsidR="00D676BF">
        <w:rPr>
          <w:lang w:val="en-US"/>
        </w:rPr>
        <w:t xml:space="preserve">Overall, we see that each type benefits from </w:t>
      </w:r>
      <w:r w:rsidR="00D04F42">
        <w:rPr>
          <w:lang w:val="en-US"/>
        </w:rPr>
        <w:t>it</w:t>
      </w:r>
      <w:r w:rsidR="00D676BF">
        <w:rPr>
          <w:lang w:val="en-US"/>
        </w:rPr>
        <w:t xml:space="preserve">. </w:t>
      </w:r>
      <w:r w:rsidR="005D4053">
        <w:rPr>
          <w:lang w:val="en-US"/>
        </w:rPr>
        <w:t>As expected, t</w:t>
      </w:r>
      <w:r w:rsidR="00D676BF">
        <w:rPr>
          <w:lang w:val="en-US"/>
        </w:rPr>
        <w:t xml:space="preserve">he largest gain is for complex whole and decimal numbers, </w:t>
      </w:r>
      <w:r w:rsidR="00947521">
        <w:rPr>
          <w:lang w:val="en-US"/>
        </w:rPr>
        <w:t xml:space="preserve">with </w:t>
      </w:r>
      <w:r w:rsidR="00D676BF">
        <w:rPr>
          <w:lang w:val="en-US"/>
        </w:rPr>
        <w:t>absolute error reductions of 50 and 39%, respectively</w:t>
      </w:r>
      <w:r w:rsidR="005D4053">
        <w:rPr>
          <w:lang w:val="en-US"/>
        </w:rPr>
        <w:t xml:space="preserve"> (significant at p &lt; 0.01)</w:t>
      </w:r>
      <w:r w:rsidR="00D676BF">
        <w:rPr>
          <w:lang w:val="en-US"/>
        </w:rPr>
        <w:t xml:space="preserve">. Even for the simpler number categories, however, </w:t>
      </w:r>
      <w:r w:rsidR="00932635">
        <w:rPr>
          <w:lang w:val="en-US"/>
        </w:rPr>
        <w:t>there are</w:t>
      </w:r>
      <w:r w:rsidR="00D676BF">
        <w:rPr>
          <w:lang w:val="en-US"/>
        </w:rPr>
        <w:t xml:space="preserve"> significant improvements</w:t>
      </w:r>
      <w:r w:rsidR="005D4053">
        <w:rPr>
          <w:lang w:val="en-US"/>
        </w:rPr>
        <w:t xml:space="preserve"> (p &lt; 0.05)</w:t>
      </w:r>
      <w:r w:rsidR="00D676BF">
        <w:rPr>
          <w:lang w:val="en-US"/>
        </w:rPr>
        <w:t xml:space="preserve">. With technological support, accuracy is almost identical </w:t>
      </w:r>
      <w:r w:rsidR="00D86355">
        <w:rPr>
          <w:lang w:val="en-US"/>
        </w:rPr>
        <w:t xml:space="preserve">across </w:t>
      </w:r>
      <w:r w:rsidR="00D676BF">
        <w:rPr>
          <w:lang w:val="en-US"/>
        </w:rPr>
        <w:t xml:space="preserve">number types, which suggests that the remaining errors </w:t>
      </w:r>
      <w:r w:rsidR="00D86355">
        <w:rPr>
          <w:lang w:val="en-US"/>
        </w:rPr>
        <w:t xml:space="preserve">are due to factors other than the complexity of the number. </w:t>
      </w:r>
      <w:r w:rsidR="00EF515A">
        <w:rPr>
          <w:lang w:val="en-US"/>
        </w:rPr>
        <w:t>A detailed analysis of the remaining errors is still to be made</w:t>
      </w:r>
      <w:r w:rsidR="003A2A79">
        <w:rPr>
          <w:lang w:val="en-US"/>
        </w:rPr>
        <w:t xml:space="preserve">. </w:t>
      </w:r>
      <w:r w:rsidR="00D86355">
        <w:rPr>
          <w:lang w:val="en-US"/>
        </w:rPr>
        <w:t xml:space="preserve"> </w:t>
      </w:r>
      <w:r w:rsidR="00D676BF">
        <w:rPr>
          <w:lang w:val="en-US"/>
        </w:rPr>
        <w:t xml:space="preserve"> </w:t>
      </w:r>
    </w:p>
    <w:p w14:paraId="67C9DC69" w14:textId="762094A5" w:rsidR="005443EF" w:rsidRDefault="005443EF" w:rsidP="00FD612A">
      <w:pPr>
        <w:pStyle w:val="Heading3"/>
        <w:rPr>
          <w:lang w:val="en-US"/>
        </w:rPr>
      </w:pPr>
      <w:r>
        <w:rPr>
          <w:lang w:val="en-US"/>
        </w:rPr>
        <w:t xml:space="preserve">Error </w:t>
      </w:r>
      <w:r w:rsidR="00FD612A">
        <w:rPr>
          <w:lang w:val="en-US"/>
        </w:rPr>
        <w:t xml:space="preserve">type </w:t>
      </w:r>
      <w:r>
        <w:rPr>
          <w:lang w:val="en-US"/>
        </w:rPr>
        <w:t>analysis</w:t>
      </w:r>
    </w:p>
    <w:p w14:paraId="3AFE4978" w14:textId="797AB54E" w:rsidR="00AD40C2" w:rsidRPr="00760C58" w:rsidRDefault="00FE1ED0" w:rsidP="00CE57B3">
      <w:pPr>
        <w:rPr>
          <w:lang w:val="en-US"/>
        </w:rPr>
      </w:pPr>
      <w:r>
        <w:rPr>
          <w:lang w:val="en-US"/>
        </w:rPr>
        <w:t>A total of</w:t>
      </w:r>
      <w:r w:rsidR="000B05BC">
        <w:rPr>
          <w:lang w:val="en-US"/>
        </w:rPr>
        <w:t xml:space="preserve"> 228 errors </w:t>
      </w:r>
      <w:r>
        <w:rPr>
          <w:lang w:val="en-US"/>
        </w:rPr>
        <w:t xml:space="preserve">was </w:t>
      </w:r>
      <w:r w:rsidR="000B05BC">
        <w:rPr>
          <w:lang w:val="en-US"/>
        </w:rPr>
        <w:t xml:space="preserve">observed in </w:t>
      </w:r>
      <w:r>
        <w:rPr>
          <w:lang w:val="en-US"/>
        </w:rPr>
        <w:t xml:space="preserve">the experiment. </w:t>
      </w:r>
      <w:r w:rsidR="002857A6">
        <w:rPr>
          <w:lang w:val="en-US"/>
        </w:rPr>
        <w:t>Figure 3</w:t>
      </w:r>
      <w:r w:rsidR="00CE57B3">
        <w:rPr>
          <w:lang w:val="en-US"/>
        </w:rPr>
        <w:t xml:space="preserve"> </w:t>
      </w:r>
      <w:r w:rsidR="00BD6E26">
        <w:rPr>
          <w:lang w:val="en-US"/>
        </w:rPr>
        <w:t>presents</w:t>
      </w:r>
      <w:r w:rsidR="00177321">
        <w:rPr>
          <w:lang w:val="en-US"/>
        </w:rPr>
        <w:t xml:space="preserve"> them </w:t>
      </w:r>
      <w:r w:rsidR="00BD6E26">
        <w:rPr>
          <w:lang w:val="en-US"/>
        </w:rPr>
        <w:t>separated</w:t>
      </w:r>
      <w:r w:rsidR="00177321">
        <w:rPr>
          <w:lang w:val="en-US"/>
        </w:rPr>
        <w:t xml:space="preserve"> by type.</w:t>
      </w:r>
    </w:p>
    <w:p w14:paraId="6072CE24" w14:textId="05AD619F" w:rsidR="00760C58" w:rsidRDefault="00760C58" w:rsidP="007A3B5A">
      <w:pPr>
        <w:keepNext/>
        <w:jc w:val="center"/>
      </w:pPr>
      <w:r>
        <w:rPr>
          <w:noProof/>
          <w:lang w:val="en-GB" w:eastAsia="en-GB"/>
        </w:rPr>
        <w:lastRenderedPageBreak/>
        <w:drawing>
          <wp:inline distT="0" distB="0" distL="0" distR="0" wp14:anchorId="6786C5A9" wp14:editId="3859C760">
            <wp:extent cx="4559300" cy="3251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9300" cy="3251200"/>
                    </a:xfrm>
                    <a:prstGeom prst="rect">
                      <a:avLst/>
                    </a:prstGeom>
                  </pic:spPr>
                </pic:pic>
              </a:graphicData>
            </a:graphic>
          </wp:inline>
        </w:drawing>
      </w:r>
    </w:p>
    <w:p w14:paraId="0459D5A6" w14:textId="1D727814" w:rsidR="00AD40C2" w:rsidRPr="00C25EF8" w:rsidRDefault="00AD40C2" w:rsidP="002857A6">
      <w:pPr>
        <w:pStyle w:val="Caption"/>
        <w:jc w:val="center"/>
        <w:rPr>
          <w:lang w:val="en-US"/>
        </w:rPr>
      </w:pPr>
      <w:bookmarkStart w:id="2" w:name="_Ref505633473"/>
      <w:r w:rsidRPr="00DB1A07">
        <w:rPr>
          <w:lang w:val="en-US"/>
        </w:rPr>
        <w:t xml:space="preserve">Figure </w:t>
      </w:r>
      <w:r w:rsidR="002857A6">
        <w:rPr>
          <w:lang w:val="en-US"/>
        </w:rPr>
        <w:t>3</w:t>
      </w:r>
      <w:bookmarkEnd w:id="2"/>
      <w:r w:rsidRPr="00DB1A07">
        <w:rPr>
          <w:lang w:val="en-US"/>
        </w:rPr>
        <w:t>: Error count per type in both experimental conditions</w:t>
      </w:r>
    </w:p>
    <w:p w14:paraId="0CD36F18" w14:textId="01D8E489" w:rsidR="00652FDC" w:rsidRDefault="00BD6E26" w:rsidP="008F7638">
      <w:pPr>
        <w:rPr>
          <w:lang w:val="en-US"/>
        </w:rPr>
      </w:pPr>
      <w:r>
        <w:rPr>
          <w:lang w:val="en-US"/>
        </w:rPr>
        <w:t xml:space="preserve">By far the most frequently occurring error is omission, regardless of the availability of </w:t>
      </w:r>
      <w:r w:rsidR="008F7638">
        <w:rPr>
          <w:lang w:val="en-US"/>
        </w:rPr>
        <w:t xml:space="preserve">technological </w:t>
      </w:r>
      <w:r>
        <w:rPr>
          <w:lang w:val="en-US"/>
        </w:rPr>
        <w:t xml:space="preserve">support. </w:t>
      </w:r>
      <w:r w:rsidR="00932635">
        <w:rPr>
          <w:lang w:val="en-US"/>
        </w:rPr>
        <w:t xml:space="preserve">Technological support </w:t>
      </w:r>
      <w:r w:rsidR="008F7638">
        <w:rPr>
          <w:lang w:val="en-US"/>
        </w:rPr>
        <w:t xml:space="preserve">significantly reduces the number of omissions (p &lt; 0.05), but </w:t>
      </w:r>
      <w:r w:rsidR="007D42AD">
        <w:rPr>
          <w:lang w:val="en-US"/>
        </w:rPr>
        <w:t xml:space="preserve">omissions </w:t>
      </w:r>
      <w:r w:rsidR="008F7638">
        <w:rPr>
          <w:lang w:val="en-US"/>
        </w:rPr>
        <w:t>remain frequent and their relative weight</w:t>
      </w:r>
      <w:r w:rsidR="007D42AD">
        <w:rPr>
          <w:lang w:val="en-US"/>
        </w:rPr>
        <w:t xml:space="preserve"> in the total error load</w:t>
      </w:r>
      <w:r w:rsidR="008F7638">
        <w:rPr>
          <w:lang w:val="en-US"/>
        </w:rPr>
        <w:t xml:space="preserve"> increases from 61 to 72%. </w:t>
      </w:r>
      <w:r>
        <w:rPr>
          <w:lang w:val="en-US"/>
        </w:rPr>
        <w:t>We see two possible explanations for this. Some numbers come in information-dense section</w:t>
      </w:r>
      <w:r w:rsidR="007D42AD">
        <w:rPr>
          <w:lang w:val="en-US"/>
        </w:rPr>
        <w:t>s</w:t>
      </w:r>
      <w:r>
        <w:rPr>
          <w:lang w:val="en-US"/>
        </w:rPr>
        <w:t xml:space="preserve"> of a speech, and omitting them may be a necessity to limit cognitive load or to avoid increasing EVS. In such cases, even having the number available on screen would not help in reproducing it in context. Second, it could be that technological support causes complacency or confusion when numbers are heard. If an interpreter reduces the listening effort and relies on a support system to receive the number, adequate context may be lacking to convey its meaning.</w:t>
      </w:r>
    </w:p>
    <w:p w14:paraId="587EBB9E" w14:textId="4B9C4C36" w:rsidR="008F7638" w:rsidRDefault="00AD40C2" w:rsidP="003852F9">
      <w:pPr>
        <w:rPr>
          <w:lang w:val="en-US"/>
        </w:rPr>
      </w:pPr>
      <w:r>
        <w:rPr>
          <w:lang w:val="en-US"/>
        </w:rPr>
        <w:t>Approximations are often used in the control setting,</w:t>
      </w:r>
      <w:r w:rsidR="005A15AD">
        <w:rPr>
          <w:lang w:val="en-US"/>
        </w:rPr>
        <w:t xml:space="preserve"> </w:t>
      </w:r>
      <w:r w:rsidR="00540D6E">
        <w:rPr>
          <w:lang w:val="en-US"/>
        </w:rPr>
        <w:t>but only wh</w:t>
      </w:r>
      <w:r w:rsidR="005A15AD">
        <w:rPr>
          <w:lang w:val="en-US"/>
        </w:rPr>
        <w:t xml:space="preserve">en the source stimulus was a </w:t>
      </w:r>
      <w:r w:rsidR="00540D6E">
        <w:rPr>
          <w:lang w:val="en-US"/>
        </w:rPr>
        <w:t xml:space="preserve">decimal or a </w:t>
      </w:r>
      <w:r w:rsidR="005A15AD">
        <w:rPr>
          <w:lang w:val="en-US"/>
        </w:rPr>
        <w:t xml:space="preserve">complex </w:t>
      </w:r>
      <w:r w:rsidR="00540D6E">
        <w:rPr>
          <w:lang w:val="en-US"/>
        </w:rPr>
        <w:t xml:space="preserve">whole </w:t>
      </w:r>
      <w:r w:rsidR="005A15AD">
        <w:rPr>
          <w:lang w:val="en-US"/>
        </w:rPr>
        <w:t>number</w:t>
      </w:r>
      <w:r w:rsidR="00540D6E">
        <w:rPr>
          <w:lang w:val="en-US"/>
        </w:rPr>
        <w:t xml:space="preserve">. </w:t>
      </w:r>
      <w:r w:rsidR="008F7638">
        <w:rPr>
          <w:lang w:val="en-US"/>
        </w:rPr>
        <w:t xml:space="preserve">Approximating </w:t>
      </w:r>
      <w:r>
        <w:rPr>
          <w:lang w:val="en-US"/>
        </w:rPr>
        <w:t>is a useful strategy when numbers have not been entirely</w:t>
      </w:r>
      <w:r w:rsidR="00E96AFA">
        <w:rPr>
          <w:lang w:val="en-US"/>
        </w:rPr>
        <w:t xml:space="preserve"> </w:t>
      </w:r>
      <w:r w:rsidR="00F05BD9">
        <w:rPr>
          <w:lang w:val="en-US"/>
        </w:rPr>
        <w:t xml:space="preserve">understood, </w:t>
      </w:r>
      <w:r w:rsidR="00E96AFA">
        <w:rPr>
          <w:lang w:val="en-US"/>
        </w:rPr>
        <w:t xml:space="preserve">or </w:t>
      </w:r>
      <w:r w:rsidR="00F05BD9">
        <w:rPr>
          <w:lang w:val="en-US"/>
        </w:rPr>
        <w:t xml:space="preserve">when </w:t>
      </w:r>
      <w:r w:rsidR="00E96AFA">
        <w:rPr>
          <w:lang w:val="en-US"/>
        </w:rPr>
        <w:t>they are too large to fit in working memory</w:t>
      </w:r>
      <w:r>
        <w:rPr>
          <w:lang w:val="en-US"/>
        </w:rPr>
        <w:t>.</w:t>
      </w:r>
      <w:r w:rsidR="005A15AD">
        <w:rPr>
          <w:lang w:val="en-US"/>
        </w:rPr>
        <w:t xml:space="preserve"> </w:t>
      </w:r>
      <w:r>
        <w:rPr>
          <w:lang w:val="en-US"/>
        </w:rPr>
        <w:t xml:space="preserve">With the addition of technological support, this strategy is </w:t>
      </w:r>
      <w:r w:rsidR="00F05BD9">
        <w:rPr>
          <w:lang w:val="en-US"/>
        </w:rPr>
        <w:t xml:space="preserve">used almost 10 times less often, </w:t>
      </w:r>
      <w:r w:rsidR="003852F9">
        <w:rPr>
          <w:lang w:val="en-US"/>
        </w:rPr>
        <w:t>since the tasks of comprehension and working memory are effectively solved. The error reduction is significant</w:t>
      </w:r>
      <w:r w:rsidR="00F05BD9">
        <w:rPr>
          <w:lang w:val="en-US"/>
        </w:rPr>
        <w:t xml:space="preserve"> at p &lt; 0.001.</w:t>
      </w:r>
    </w:p>
    <w:p w14:paraId="7EA250F0" w14:textId="3A01AF97" w:rsidR="000F6D2F" w:rsidRDefault="00685FA0" w:rsidP="004E3E2D">
      <w:pPr>
        <w:rPr>
          <w:lang w:val="en-US"/>
        </w:rPr>
      </w:pPr>
      <w:r>
        <w:rPr>
          <w:lang w:val="en-US"/>
        </w:rPr>
        <w:t xml:space="preserve">Lexical </w:t>
      </w:r>
      <w:r w:rsidR="003852F9">
        <w:rPr>
          <w:lang w:val="en-US"/>
        </w:rPr>
        <w:t xml:space="preserve">mistakes, the third most frequent error in the control setting, occur three times less often </w:t>
      </w:r>
      <w:r w:rsidR="009E1064">
        <w:rPr>
          <w:lang w:val="en-US"/>
        </w:rPr>
        <w:t>when support is available.</w:t>
      </w:r>
      <w:r w:rsidR="003852F9">
        <w:rPr>
          <w:lang w:val="en-US"/>
        </w:rPr>
        <w:t xml:space="preserve"> </w:t>
      </w:r>
      <w:r>
        <w:rPr>
          <w:lang w:val="en-US"/>
        </w:rPr>
        <w:t>T</w:t>
      </w:r>
      <w:r w:rsidR="007941F3">
        <w:rPr>
          <w:lang w:val="en-US"/>
        </w:rPr>
        <w:t>he other</w:t>
      </w:r>
      <w:r w:rsidR="00E61DBB">
        <w:rPr>
          <w:lang w:val="en-US"/>
        </w:rPr>
        <w:t xml:space="preserve"> four</w:t>
      </w:r>
      <w:r w:rsidR="007941F3">
        <w:rPr>
          <w:lang w:val="en-US"/>
        </w:rPr>
        <w:t xml:space="preserve"> </w:t>
      </w:r>
      <w:r w:rsidR="009E1064">
        <w:rPr>
          <w:lang w:val="en-US"/>
        </w:rPr>
        <w:t>error categories</w:t>
      </w:r>
      <w:r w:rsidR="007941F3">
        <w:rPr>
          <w:lang w:val="en-US"/>
        </w:rPr>
        <w:t xml:space="preserve"> d</w:t>
      </w:r>
      <w:r w:rsidR="009E1064">
        <w:rPr>
          <w:lang w:val="en-US"/>
        </w:rPr>
        <w:t xml:space="preserve">o not </w:t>
      </w:r>
      <w:r w:rsidR="004E3E2D">
        <w:rPr>
          <w:lang w:val="en-US"/>
        </w:rPr>
        <w:t>occur</w:t>
      </w:r>
      <w:r w:rsidR="009E1064">
        <w:rPr>
          <w:lang w:val="en-US"/>
        </w:rPr>
        <w:t xml:space="preserve"> </w:t>
      </w:r>
      <w:r w:rsidR="00E61DBB">
        <w:rPr>
          <w:lang w:val="en-US"/>
        </w:rPr>
        <w:t>frequent</w:t>
      </w:r>
      <w:r w:rsidR="004E3E2D">
        <w:rPr>
          <w:lang w:val="en-US"/>
        </w:rPr>
        <w:t>ly</w:t>
      </w:r>
      <w:r w:rsidR="00E61DBB">
        <w:rPr>
          <w:lang w:val="en-US"/>
        </w:rPr>
        <w:t xml:space="preserve"> in either of the settings. Differences between the two experimental settings</w:t>
      </w:r>
      <w:r w:rsidR="009E1064">
        <w:rPr>
          <w:lang w:val="en-US"/>
        </w:rPr>
        <w:t xml:space="preserve"> </w:t>
      </w:r>
      <w:r w:rsidR="00E61DBB">
        <w:rPr>
          <w:lang w:val="en-US"/>
        </w:rPr>
        <w:t>are not significant or lack support.</w:t>
      </w:r>
    </w:p>
    <w:p w14:paraId="12BA8DB7" w14:textId="4D55A6DD" w:rsidR="00303AC2" w:rsidRDefault="00E61DBB" w:rsidP="002552B8">
      <w:pPr>
        <w:rPr>
          <w:lang w:val="en-US"/>
        </w:rPr>
      </w:pPr>
      <w:r>
        <w:rPr>
          <w:lang w:val="en-US"/>
        </w:rPr>
        <w:t xml:space="preserve">The error distributions are in line with the findings of </w:t>
      </w:r>
      <w:proofErr w:type="spellStart"/>
      <w:r w:rsidR="002552B8">
        <w:rPr>
          <w:lang w:val="en-US"/>
        </w:rPr>
        <w:t>Mazza</w:t>
      </w:r>
      <w:proofErr w:type="spellEnd"/>
      <w:r w:rsidR="002552B8">
        <w:rPr>
          <w:lang w:val="en-US"/>
        </w:rPr>
        <w:t xml:space="preserve"> (2001) and </w:t>
      </w:r>
      <w:proofErr w:type="spellStart"/>
      <w:r>
        <w:rPr>
          <w:lang w:val="en-US"/>
        </w:rPr>
        <w:t>Pinochi</w:t>
      </w:r>
      <w:proofErr w:type="spellEnd"/>
      <w:r>
        <w:rPr>
          <w:lang w:val="en-US"/>
        </w:rPr>
        <w:t xml:space="preserve"> (2009), who also found omissions and app</w:t>
      </w:r>
      <w:r w:rsidR="002552B8">
        <w:rPr>
          <w:lang w:val="en-US"/>
        </w:rPr>
        <w:t>roximations to be most frequent, in that order.</w:t>
      </w:r>
    </w:p>
    <w:p w14:paraId="03BBEAF0" w14:textId="0CAFD23B" w:rsidR="00AA3C4E" w:rsidRDefault="00134240" w:rsidP="00524A1C">
      <w:pPr>
        <w:pStyle w:val="Heading2"/>
        <w:numPr>
          <w:ilvl w:val="0"/>
          <w:numId w:val="5"/>
        </w:numPr>
        <w:rPr>
          <w:lang w:val="en-US"/>
        </w:rPr>
      </w:pPr>
      <w:r w:rsidRPr="00CD76CD">
        <w:rPr>
          <w:lang w:val="en-US"/>
        </w:rPr>
        <w:t>Conclusions and future work</w:t>
      </w:r>
    </w:p>
    <w:p w14:paraId="672BAB73" w14:textId="4DA6EF2A" w:rsidR="000F6ADD" w:rsidRDefault="009B0E2E" w:rsidP="00F60C45">
      <w:pPr>
        <w:rPr>
          <w:lang w:val="en-US"/>
        </w:rPr>
      </w:pPr>
      <w:r>
        <w:rPr>
          <w:lang w:val="en-US"/>
        </w:rPr>
        <w:t xml:space="preserve">This paper </w:t>
      </w:r>
      <w:r w:rsidR="00F60C45">
        <w:rPr>
          <w:lang w:val="en-US"/>
        </w:rPr>
        <w:t xml:space="preserve">presented an </w:t>
      </w:r>
      <w:r w:rsidR="000F6ADD">
        <w:rPr>
          <w:lang w:val="en-US"/>
        </w:rPr>
        <w:t xml:space="preserve">experimental </w:t>
      </w:r>
      <w:r w:rsidR="00F60C45">
        <w:rPr>
          <w:lang w:val="en-US"/>
        </w:rPr>
        <w:t xml:space="preserve">pilot </w:t>
      </w:r>
      <w:r w:rsidR="000F6ADD">
        <w:rPr>
          <w:lang w:val="en-US"/>
        </w:rPr>
        <w:t>study of the potential impact of booth technolo</w:t>
      </w:r>
      <w:r w:rsidR="00A941C6">
        <w:rPr>
          <w:lang w:val="en-US"/>
        </w:rPr>
        <w:t>gy that supports the interpretation of</w:t>
      </w:r>
      <w:r w:rsidR="000F6ADD">
        <w:rPr>
          <w:lang w:val="en-US"/>
        </w:rPr>
        <w:t xml:space="preserve"> numbers. Our mock-up system simulates </w:t>
      </w:r>
      <w:r w:rsidR="000F6ADD" w:rsidRPr="000F6ADD">
        <w:rPr>
          <w:lang w:val="en-US"/>
        </w:rPr>
        <w:t xml:space="preserve">technology that </w:t>
      </w:r>
      <w:r w:rsidR="000F6ADD" w:rsidRPr="000F6ADD">
        <w:rPr>
          <w:lang w:val="en-US"/>
        </w:rPr>
        <w:lastRenderedPageBreak/>
        <w:t>automatically recognizes numbers in the source speech and presents them on a screen</w:t>
      </w:r>
      <w:r w:rsidR="000F6ADD">
        <w:rPr>
          <w:lang w:val="en-US"/>
        </w:rPr>
        <w:t xml:space="preserve"> in the conference room, </w:t>
      </w:r>
      <w:proofErr w:type="gramStart"/>
      <w:r w:rsidR="000F6ADD">
        <w:rPr>
          <w:lang w:val="en-US"/>
        </w:rPr>
        <w:t>in order to</w:t>
      </w:r>
      <w:proofErr w:type="gramEnd"/>
      <w:r w:rsidR="000F6ADD" w:rsidRPr="000F6ADD">
        <w:rPr>
          <w:lang w:val="en-US"/>
        </w:rPr>
        <w:t xml:space="preserve"> reduce the cognitive load and improve t</w:t>
      </w:r>
      <w:r w:rsidR="000F6ADD">
        <w:rPr>
          <w:lang w:val="en-US"/>
        </w:rPr>
        <w:t>ranslation quality.</w:t>
      </w:r>
      <w:r w:rsidR="003A2A79">
        <w:rPr>
          <w:lang w:val="en-US"/>
        </w:rPr>
        <w:t xml:space="preserve"> </w:t>
      </w:r>
    </w:p>
    <w:p w14:paraId="23F460D0" w14:textId="01E99C27" w:rsidR="00134240" w:rsidRDefault="009B0E2E" w:rsidP="009B0E2E">
      <w:pPr>
        <w:rPr>
          <w:lang w:val="en-US"/>
        </w:rPr>
      </w:pPr>
      <w:r>
        <w:rPr>
          <w:lang w:val="en-US"/>
        </w:rPr>
        <w:t>T</w:t>
      </w:r>
      <w:r w:rsidR="00134240" w:rsidRPr="00C25EF8">
        <w:rPr>
          <w:lang w:val="en-US"/>
        </w:rPr>
        <w:t>echnological support improves overall a</w:t>
      </w:r>
      <w:r w:rsidR="00CD76CD">
        <w:rPr>
          <w:lang w:val="en-US"/>
        </w:rPr>
        <w:t>ccuracy on numbers from 56.5 to 8</w:t>
      </w:r>
      <w:r w:rsidR="0049207D">
        <w:rPr>
          <w:lang w:val="en-US"/>
        </w:rPr>
        <w:t>6</w:t>
      </w:r>
      <w:r w:rsidR="00CD76CD">
        <w:rPr>
          <w:lang w:val="en-US"/>
        </w:rPr>
        <w:t>.</w:t>
      </w:r>
      <w:r w:rsidR="0049207D">
        <w:rPr>
          <w:lang w:val="en-US"/>
        </w:rPr>
        <w:t>5</w:t>
      </w:r>
      <w:r w:rsidR="00134240" w:rsidRPr="00C25EF8">
        <w:rPr>
          <w:lang w:val="en-US"/>
        </w:rPr>
        <w:t xml:space="preserve"> percent, reducing the amount of errors by two thirds. The improvement is statistically significant </w:t>
      </w:r>
      <w:r w:rsidR="00334532">
        <w:rPr>
          <w:lang w:val="en-US"/>
        </w:rPr>
        <w:t xml:space="preserve">for </w:t>
      </w:r>
      <w:r w:rsidR="00134240" w:rsidRPr="00C25EF8">
        <w:rPr>
          <w:lang w:val="en-US"/>
        </w:rPr>
        <w:t xml:space="preserve">all </w:t>
      </w:r>
      <w:r w:rsidR="00334532">
        <w:rPr>
          <w:lang w:val="en-US"/>
        </w:rPr>
        <w:t>participants</w:t>
      </w:r>
      <w:r w:rsidR="00134240" w:rsidRPr="00C25EF8">
        <w:rPr>
          <w:lang w:val="en-US"/>
        </w:rPr>
        <w:t xml:space="preserve">. </w:t>
      </w:r>
      <w:r w:rsidR="00CD76CD">
        <w:rPr>
          <w:lang w:val="en-US"/>
        </w:rPr>
        <w:t>Technological help</w:t>
      </w:r>
      <w:r w:rsidR="00134240" w:rsidRPr="00C25EF8">
        <w:rPr>
          <w:lang w:val="en-US"/>
        </w:rPr>
        <w:t xml:space="preserve"> is most helpful in reducing errors on </w:t>
      </w:r>
      <w:r w:rsidR="00CD76CD">
        <w:rPr>
          <w:lang w:val="en-US"/>
        </w:rPr>
        <w:t>complex</w:t>
      </w:r>
      <w:r w:rsidR="00134240" w:rsidRPr="00C25EF8">
        <w:rPr>
          <w:lang w:val="en-US"/>
        </w:rPr>
        <w:t xml:space="preserve"> numbers</w:t>
      </w:r>
      <w:r w:rsidR="00CD76CD">
        <w:rPr>
          <w:lang w:val="en-US"/>
        </w:rPr>
        <w:t xml:space="preserve"> and decimals</w:t>
      </w:r>
      <w:r w:rsidR="00134240" w:rsidRPr="00C25EF8">
        <w:rPr>
          <w:lang w:val="en-US"/>
        </w:rPr>
        <w:t>, the two categories that are most often interpreted incorrectly. Omissions are the most frequent error, followed by approximations. The occurrence of the latter drops by almost 90 per</w:t>
      </w:r>
      <w:r w:rsidR="00CD76CD">
        <w:rPr>
          <w:lang w:val="en-US"/>
        </w:rPr>
        <w:t>cent when support is available.</w:t>
      </w:r>
    </w:p>
    <w:p w14:paraId="5BB99B5D" w14:textId="11396514" w:rsidR="00CD76CD" w:rsidRDefault="00CD76CD" w:rsidP="00462E45">
      <w:pPr>
        <w:rPr>
          <w:lang w:val="en-US"/>
        </w:rPr>
      </w:pPr>
      <w:r>
        <w:rPr>
          <w:lang w:val="en-US"/>
        </w:rPr>
        <w:t xml:space="preserve">Since the experiment was performed with </w:t>
      </w:r>
      <w:r w:rsidRPr="00CD76CD">
        <w:rPr>
          <w:lang w:val="en-US"/>
        </w:rPr>
        <w:t>s</w:t>
      </w:r>
      <w:r>
        <w:rPr>
          <w:lang w:val="en-US"/>
        </w:rPr>
        <w:t>tudents</w:t>
      </w:r>
      <w:r w:rsidRPr="00CD76CD">
        <w:rPr>
          <w:lang w:val="en-US"/>
        </w:rPr>
        <w:t xml:space="preserve">, </w:t>
      </w:r>
      <w:r>
        <w:rPr>
          <w:lang w:val="en-US"/>
        </w:rPr>
        <w:t xml:space="preserve">the </w:t>
      </w:r>
      <w:r w:rsidRPr="00CD76CD">
        <w:rPr>
          <w:lang w:val="en-US"/>
        </w:rPr>
        <w:t xml:space="preserve">results are not </w:t>
      </w:r>
      <w:r>
        <w:rPr>
          <w:lang w:val="en-US"/>
        </w:rPr>
        <w:t xml:space="preserve">readily applicable to </w:t>
      </w:r>
      <w:r w:rsidRPr="00CD76CD">
        <w:rPr>
          <w:lang w:val="en-US"/>
        </w:rPr>
        <w:t>professional interpreters.</w:t>
      </w:r>
      <w:r>
        <w:rPr>
          <w:lang w:val="en-US"/>
        </w:rPr>
        <w:t xml:space="preserve"> </w:t>
      </w:r>
      <w:r w:rsidR="002E4636">
        <w:rPr>
          <w:lang w:val="en-US"/>
        </w:rPr>
        <w:t>Even though</w:t>
      </w:r>
      <w:r>
        <w:rPr>
          <w:lang w:val="en-US"/>
        </w:rPr>
        <w:t xml:space="preserve"> t</w:t>
      </w:r>
      <w:r w:rsidR="00134240" w:rsidRPr="00C25EF8">
        <w:rPr>
          <w:lang w:val="en-US"/>
        </w:rPr>
        <w:t xml:space="preserve">he outcome of the experiment </w:t>
      </w:r>
      <w:r>
        <w:rPr>
          <w:lang w:val="en-US"/>
        </w:rPr>
        <w:t>clearly shows the potential of CAI support for numbers</w:t>
      </w:r>
      <w:r w:rsidR="00134240" w:rsidRPr="00C25EF8">
        <w:rPr>
          <w:lang w:val="en-US"/>
        </w:rPr>
        <w:t>, it must be emphasized that our experimental design is not based on automatic recognition of numbers in speech. Automatic Speech Recognition might not achieve perfect recognition</w:t>
      </w:r>
      <w:r>
        <w:rPr>
          <w:lang w:val="en-US"/>
        </w:rPr>
        <w:t xml:space="preserve"> and minimal latency</w:t>
      </w:r>
      <w:r w:rsidR="00134240" w:rsidRPr="00C25EF8">
        <w:rPr>
          <w:lang w:val="en-US"/>
        </w:rPr>
        <w:t>. Therefore, our results describe the ceiling performance that could be achieved with such a</w:t>
      </w:r>
      <w:r w:rsidR="002E4636">
        <w:rPr>
          <w:lang w:val="en-US"/>
        </w:rPr>
        <w:t>n ideal</w:t>
      </w:r>
      <w:r w:rsidR="00134240" w:rsidRPr="00C25EF8">
        <w:rPr>
          <w:lang w:val="en-US"/>
        </w:rPr>
        <w:t xml:space="preserve"> system. </w:t>
      </w:r>
      <w:r>
        <w:rPr>
          <w:lang w:val="en-US"/>
        </w:rPr>
        <w:t>Further</w:t>
      </w:r>
      <w:r w:rsidR="00134240" w:rsidRPr="00C25EF8">
        <w:rPr>
          <w:lang w:val="en-US"/>
        </w:rPr>
        <w:t xml:space="preserve"> studies </w:t>
      </w:r>
      <w:r>
        <w:rPr>
          <w:lang w:val="en-US"/>
        </w:rPr>
        <w:t>should</w:t>
      </w:r>
      <w:r w:rsidR="00134240" w:rsidRPr="00C25EF8">
        <w:rPr>
          <w:lang w:val="en-US"/>
        </w:rPr>
        <w:t xml:space="preserve"> be carried out on how interpreters deal with discrepancies between auditory input from </w:t>
      </w:r>
      <w:r>
        <w:rPr>
          <w:lang w:val="en-US"/>
        </w:rPr>
        <w:t xml:space="preserve">a </w:t>
      </w:r>
      <w:r w:rsidR="00134240" w:rsidRPr="00C25EF8">
        <w:rPr>
          <w:lang w:val="en-US"/>
        </w:rPr>
        <w:t xml:space="preserve">speaker and visual input from </w:t>
      </w:r>
      <w:r>
        <w:rPr>
          <w:lang w:val="en-US"/>
        </w:rPr>
        <w:t>an automatic recognition system, increased delay or different modes of presentation.</w:t>
      </w:r>
      <w:r w:rsidR="003A2A79">
        <w:rPr>
          <w:lang w:val="en-US"/>
        </w:rPr>
        <w:t xml:space="preserve"> Further research should also focus on the rendition of items used in combination with numbers, as it is known that interpreters </w:t>
      </w:r>
      <w:r w:rsidR="00356CC4">
        <w:rPr>
          <w:lang w:val="en-US"/>
        </w:rPr>
        <w:t>tend to direct so many of their attentional resources to numbers that errors also frequently occur in th</w:t>
      </w:r>
      <w:r w:rsidR="004156FA">
        <w:rPr>
          <w:lang w:val="en-US"/>
        </w:rPr>
        <w:t>e context of numbers (</w:t>
      </w:r>
      <w:proofErr w:type="spellStart"/>
      <w:r w:rsidR="004156FA">
        <w:rPr>
          <w:lang w:val="en-US"/>
        </w:rPr>
        <w:t>Gile</w:t>
      </w:r>
      <w:proofErr w:type="spellEnd"/>
      <w:r w:rsidR="004156FA">
        <w:rPr>
          <w:lang w:val="en-US"/>
        </w:rPr>
        <w:t xml:space="preserve"> 1998).</w:t>
      </w:r>
    </w:p>
    <w:p w14:paraId="53C46D1B" w14:textId="53D5DD94" w:rsidR="00AA3C4E" w:rsidRPr="00414482" w:rsidRDefault="00134240" w:rsidP="00134240">
      <w:pPr>
        <w:pStyle w:val="Heading2"/>
        <w:rPr>
          <w:lang w:val="en-US"/>
        </w:rPr>
      </w:pPr>
      <w:r w:rsidRPr="00414482">
        <w:rPr>
          <w:lang w:val="en-US"/>
        </w:rPr>
        <w:t>References</w:t>
      </w:r>
    </w:p>
    <w:p w14:paraId="632EABED" w14:textId="2756E73B" w:rsidR="003849FA" w:rsidRPr="003F1B0E" w:rsidRDefault="003849FA" w:rsidP="000F6ADD">
      <w:pPr>
        <w:rPr>
          <w:rFonts w:ascii="Calibri" w:hAnsi="Calibri"/>
          <w:lang w:val="en-US"/>
        </w:rPr>
      </w:pPr>
      <w:proofErr w:type="spellStart"/>
      <w:r w:rsidRPr="003F1B0E">
        <w:rPr>
          <w:rFonts w:ascii="Calibri" w:hAnsi="Calibri"/>
          <w:lang w:val="en-US"/>
        </w:rPr>
        <w:t>Alessa</w:t>
      </w:r>
      <w:r w:rsidR="003F1B0E">
        <w:rPr>
          <w:rFonts w:ascii="Calibri" w:hAnsi="Calibri"/>
          <w:lang w:val="en-US"/>
        </w:rPr>
        <w:t>ndrini</w:t>
      </w:r>
      <w:proofErr w:type="spellEnd"/>
      <w:r w:rsidR="003F1B0E">
        <w:rPr>
          <w:rFonts w:ascii="Calibri" w:hAnsi="Calibri"/>
          <w:lang w:val="en-US"/>
        </w:rPr>
        <w:t>, M. (1990). Translating N</w:t>
      </w:r>
      <w:r w:rsidRPr="003F1B0E">
        <w:rPr>
          <w:rFonts w:ascii="Calibri" w:hAnsi="Calibri"/>
          <w:lang w:val="en-US"/>
        </w:rPr>
        <w:t xml:space="preserve">umbers </w:t>
      </w:r>
      <w:r w:rsidR="003F1B0E">
        <w:rPr>
          <w:rFonts w:ascii="Calibri" w:hAnsi="Calibri"/>
          <w:lang w:val="en-US"/>
        </w:rPr>
        <w:t>in Consecutive Interpretation: An Experimental S</w:t>
      </w:r>
      <w:r w:rsidRPr="003F1B0E">
        <w:rPr>
          <w:rFonts w:ascii="Calibri" w:hAnsi="Calibri"/>
          <w:lang w:val="en-US"/>
        </w:rPr>
        <w:t xml:space="preserve">tudy. </w:t>
      </w:r>
      <w:r w:rsidRPr="003F1B0E">
        <w:rPr>
          <w:rFonts w:ascii="Calibri" w:hAnsi="Calibri"/>
          <w:i/>
          <w:lang w:val="en-US"/>
        </w:rPr>
        <w:t>The Interpreters’ Newsletter</w:t>
      </w:r>
      <w:r w:rsidRPr="003F1B0E">
        <w:rPr>
          <w:rFonts w:ascii="Calibri" w:hAnsi="Calibri"/>
          <w:lang w:val="en-US"/>
        </w:rPr>
        <w:t>, 3, 77-80.</w:t>
      </w:r>
    </w:p>
    <w:p w14:paraId="09B6E700" w14:textId="2DAEBEAF" w:rsidR="000F6ADD" w:rsidRPr="003F1B0E" w:rsidRDefault="000F6ADD" w:rsidP="003F1B0E">
      <w:pPr>
        <w:rPr>
          <w:rFonts w:ascii="Calibri" w:hAnsi="Calibri"/>
          <w:lang w:val="en-GB"/>
        </w:rPr>
      </w:pPr>
      <w:r w:rsidRPr="003F1B0E">
        <w:rPr>
          <w:rFonts w:ascii="Calibri" w:hAnsi="Calibri"/>
          <w:lang w:val="en-US"/>
        </w:rPr>
        <w:t xml:space="preserve">Braun, S., &amp; </w:t>
      </w:r>
      <w:proofErr w:type="spellStart"/>
      <w:r w:rsidRPr="003F1B0E">
        <w:rPr>
          <w:rFonts w:ascii="Calibri" w:hAnsi="Calibri"/>
          <w:lang w:val="en-US"/>
        </w:rPr>
        <w:t>Clarici</w:t>
      </w:r>
      <w:proofErr w:type="spellEnd"/>
      <w:r w:rsidRPr="003F1B0E">
        <w:rPr>
          <w:rFonts w:ascii="Calibri" w:hAnsi="Calibri"/>
          <w:lang w:val="en-US"/>
        </w:rPr>
        <w:t xml:space="preserve">, A. (1996). </w:t>
      </w:r>
      <w:r w:rsidR="003F1B0E">
        <w:rPr>
          <w:rFonts w:ascii="Calibri" w:hAnsi="Calibri"/>
          <w:lang w:val="en-GB"/>
        </w:rPr>
        <w:t>Inaccuracy for N</w:t>
      </w:r>
      <w:r w:rsidRPr="003F1B0E">
        <w:rPr>
          <w:rFonts w:ascii="Calibri" w:hAnsi="Calibri"/>
          <w:lang w:val="en-GB"/>
        </w:rPr>
        <w:t>umerals i</w:t>
      </w:r>
      <w:r w:rsidR="003F1B0E">
        <w:rPr>
          <w:rFonts w:ascii="Calibri" w:hAnsi="Calibri"/>
          <w:lang w:val="en-GB"/>
        </w:rPr>
        <w:t xml:space="preserve">n Simultaneous Interpretation: </w:t>
      </w:r>
      <w:proofErr w:type="spellStart"/>
      <w:r w:rsidR="003F1B0E">
        <w:rPr>
          <w:rFonts w:ascii="Calibri" w:hAnsi="Calibri"/>
          <w:lang w:val="en-GB"/>
        </w:rPr>
        <w:t>N</w:t>
      </w:r>
      <w:r w:rsidRPr="003F1B0E">
        <w:rPr>
          <w:rFonts w:ascii="Calibri" w:hAnsi="Calibri"/>
          <w:lang w:val="en-GB"/>
        </w:rPr>
        <w:t>eurolinguistic</w:t>
      </w:r>
      <w:proofErr w:type="spellEnd"/>
      <w:r w:rsidRPr="003F1B0E">
        <w:rPr>
          <w:rFonts w:ascii="Calibri" w:hAnsi="Calibri"/>
          <w:lang w:val="en-GB"/>
        </w:rPr>
        <w:t xml:space="preserve"> and </w:t>
      </w:r>
      <w:r w:rsidR="003F1B0E">
        <w:rPr>
          <w:rFonts w:ascii="Calibri" w:hAnsi="Calibri"/>
          <w:lang w:val="en-GB"/>
        </w:rPr>
        <w:t>Neuropsychological P</w:t>
      </w:r>
      <w:r w:rsidRPr="003F1B0E">
        <w:rPr>
          <w:rFonts w:ascii="Calibri" w:hAnsi="Calibri"/>
          <w:lang w:val="en-GB"/>
        </w:rPr>
        <w:t xml:space="preserve">erspectives. </w:t>
      </w:r>
      <w:r w:rsidRPr="003F1B0E">
        <w:rPr>
          <w:rFonts w:ascii="Calibri" w:hAnsi="Calibri"/>
          <w:i/>
          <w:iCs/>
          <w:lang w:val="en-GB"/>
        </w:rPr>
        <w:t>The Interpreters’ Newsletter</w:t>
      </w:r>
      <w:r w:rsidRPr="003F1B0E">
        <w:rPr>
          <w:rFonts w:ascii="Calibri" w:hAnsi="Calibri"/>
          <w:lang w:val="en-GB"/>
        </w:rPr>
        <w:t xml:space="preserve">, </w:t>
      </w:r>
      <w:r w:rsidRPr="003F1B0E">
        <w:rPr>
          <w:rFonts w:ascii="Calibri" w:hAnsi="Calibri"/>
          <w:i/>
          <w:iCs/>
          <w:lang w:val="en-GB"/>
        </w:rPr>
        <w:t>7</w:t>
      </w:r>
      <w:r w:rsidRPr="003F1B0E">
        <w:rPr>
          <w:rFonts w:ascii="Calibri" w:hAnsi="Calibri"/>
          <w:lang w:val="en-GB"/>
        </w:rPr>
        <w:t>, 85–102.</w:t>
      </w:r>
    </w:p>
    <w:p w14:paraId="32CE0FA1" w14:textId="65CBFA02" w:rsidR="0009028F" w:rsidRPr="003F1B0E" w:rsidRDefault="0009028F" w:rsidP="000F6ADD">
      <w:pPr>
        <w:rPr>
          <w:rFonts w:ascii="Calibri" w:hAnsi="Calibri"/>
          <w:lang w:val="en-GB"/>
        </w:rPr>
      </w:pPr>
      <w:r w:rsidRPr="003F1B0E">
        <w:rPr>
          <w:rFonts w:ascii="Calibri" w:hAnsi="Calibri"/>
          <w:lang w:val="en-GB"/>
        </w:rPr>
        <w:t xml:space="preserve">Collard, C., &amp; </w:t>
      </w:r>
      <w:proofErr w:type="spellStart"/>
      <w:r w:rsidRPr="003F1B0E">
        <w:rPr>
          <w:rFonts w:ascii="Calibri" w:hAnsi="Calibri"/>
          <w:lang w:val="en-GB"/>
        </w:rPr>
        <w:t>Defrancq</w:t>
      </w:r>
      <w:proofErr w:type="spellEnd"/>
      <w:r w:rsidRPr="003F1B0E">
        <w:rPr>
          <w:rFonts w:ascii="Calibri" w:hAnsi="Calibri"/>
          <w:lang w:val="en-GB"/>
        </w:rPr>
        <w:t xml:space="preserve">, B. (2017). Sex </w:t>
      </w:r>
      <w:r w:rsidR="003F1B0E">
        <w:rPr>
          <w:rFonts w:ascii="Calibri" w:hAnsi="Calibri"/>
          <w:lang w:val="en-GB"/>
        </w:rPr>
        <w:t>D</w:t>
      </w:r>
      <w:r w:rsidRPr="003F1B0E">
        <w:rPr>
          <w:rFonts w:ascii="Calibri" w:hAnsi="Calibri"/>
          <w:lang w:val="en-GB"/>
        </w:rPr>
        <w:t>ifferences</w:t>
      </w:r>
      <w:r w:rsidR="003F1B0E">
        <w:rPr>
          <w:rFonts w:ascii="Calibri" w:hAnsi="Calibri"/>
          <w:lang w:val="en-GB"/>
        </w:rPr>
        <w:t xml:space="preserve"> in Simultaneous Interpreting: A</w:t>
      </w:r>
      <w:r w:rsidR="00462E45">
        <w:rPr>
          <w:rFonts w:ascii="Calibri" w:hAnsi="Calibri"/>
          <w:lang w:val="en-GB"/>
        </w:rPr>
        <w:t xml:space="preserve"> Corpus-B</w:t>
      </w:r>
      <w:r w:rsidR="003F1B0E">
        <w:rPr>
          <w:rFonts w:ascii="Calibri" w:hAnsi="Calibri"/>
          <w:lang w:val="en-GB"/>
        </w:rPr>
        <w:t>ased S</w:t>
      </w:r>
      <w:r w:rsidRPr="003F1B0E">
        <w:rPr>
          <w:rFonts w:ascii="Calibri" w:hAnsi="Calibri"/>
          <w:lang w:val="en-GB"/>
        </w:rPr>
        <w:t>tudy. Poster presented at the CIUTI Forum 2017.</w:t>
      </w:r>
    </w:p>
    <w:p w14:paraId="643CA1F3" w14:textId="66AA3BC6" w:rsidR="00231A2B" w:rsidRPr="00E60879" w:rsidRDefault="00231A2B" w:rsidP="000F6ADD">
      <w:pPr>
        <w:rPr>
          <w:rFonts w:ascii="Calibri" w:hAnsi="Calibri"/>
          <w:lang w:val="es-ES"/>
        </w:rPr>
      </w:pPr>
      <w:proofErr w:type="spellStart"/>
      <w:r w:rsidRPr="003F1B0E">
        <w:rPr>
          <w:rFonts w:ascii="Calibri" w:hAnsi="Calibri"/>
          <w:lang w:val="en-US"/>
        </w:rPr>
        <w:t>Corpas</w:t>
      </w:r>
      <w:proofErr w:type="spellEnd"/>
      <w:r w:rsidRPr="003F1B0E">
        <w:rPr>
          <w:rFonts w:ascii="Calibri" w:hAnsi="Calibri"/>
          <w:lang w:val="en-US"/>
        </w:rPr>
        <w:t xml:space="preserve"> Pastor, G., &amp; Fern, L. (2016). A Survey of Interpreters’ Needs and Practices Related to Language Technology.</w:t>
      </w:r>
      <w:r w:rsidRPr="003F1B0E">
        <w:rPr>
          <w:rFonts w:ascii="Calibri" w:hAnsi="Calibri"/>
          <w:i/>
          <w:lang w:val="en-US"/>
        </w:rPr>
        <w:t xml:space="preserve"> </w:t>
      </w:r>
      <w:proofErr w:type="spellStart"/>
      <w:r w:rsidRPr="00E60879">
        <w:rPr>
          <w:rFonts w:ascii="Calibri" w:hAnsi="Calibri"/>
          <w:i/>
          <w:lang w:val="es-ES"/>
        </w:rPr>
        <w:t>Technical</w:t>
      </w:r>
      <w:proofErr w:type="spellEnd"/>
      <w:r w:rsidRPr="00E60879">
        <w:rPr>
          <w:rFonts w:ascii="Calibri" w:hAnsi="Calibri"/>
          <w:i/>
          <w:lang w:val="es-ES"/>
        </w:rPr>
        <w:t xml:space="preserve"> </w:t>
      </w:r>
      <w:proofErr w:type="spellStart"/>
      <w:r w:rsidRPr="00E60879">
        <w:rPr>
          <w:rFonts w:ascii="Calibri" w:hAnsi="Calibri"/>
          <w:i/>
          <w:lang w:val="es-ES"/>
        </w:rPr>
        <w:t>Report</w:t>
      </w:r>
      <w:proofErr w:type="spellEnd"/>
      <w:r w:rsidRPr="00E60879">
        <w:rPr>
          <w:rFonts w:ascii="Calibri" w:hAnsi="Calibri"/>
          <w:i/>
          <w:lang w:val="es-ES"/>
        </w:rPr>
        <w:t xml:space="preserve"> FFI2012-38881-MINECO/TI-DT-2016-1</w:t>
      </w:r>
      <w:r w:rsidRPr="00E60879">
        <w:rPr>
          <w:rFonts w:ascii="Calibri" w:hAnsi="Calibri"/>
          <w:lang w:val="es-ES"/>
        </w:rPr>
        <w:t xml:space="preserve">. </w:t>
      </w:r>
      <w:r w:rsidR="003F1B0E" w:rsidRPr="00E60879">
        <w:rPr>
          <w:rFonts w:ascii="Calibri" w:hAnsi="Calibri"/>
          <w:lang w:val="es-ES"/>
        </w:rPr>
        <w:t xml:space="preserve">Málaga: </w:t>
      </w:r>
      <w:proofErr w:type="spellStart"/>
      <w:r w:rsidRPr="00E60879">
        <w:rPr>
          <w:rFonts w:ascii="Calibri" w:hAnsi="Calibri"/>
          <w:lang w:val="es-ES"/>
        </w:rPr>
        <w:t>University</w:t>
      </w:r>
      <w:proofErr w:type="spellEnd"/>
      <w:r w:rsidRPr="00E60879">
        <w:rPr>
          <w:rFonts w:ascii="Calibri" w:hAnsi="Calibri"/>
          <w:lang w:val="es-ES"/>
        </w:rPr>
        <w:t xml:space="preserve"> of Má</w:t>
      </w:r>
      <w:r w:rsidR="003F1B0E" w:rsidRPr="00E60879">
        <w:rPr>
          <w:rFonts w:ascii="Calibri" w:hAnsi="Calibri"/>
          <w:lang w:val="es-ES"/>
        </w:rPr>
        <w:t>laga.</w:t>
      </w:r>
    </w:p>
    <w:p w14:paraId="45108085" w14:textId="33B28F9F" w:rsidR="000F6ADD" w:rsidRPr="003F1B0E" w:rsidRDefault="000F6ADD" w:rsidP="000F6ADD">
      <w:pPr>
        <w:rPr>
          <w:rFonts w:ascii="Calibri" w:hAnsi="Calibri"/>
          <w:lang w:val="en-GB"/>
        </w:rPr>
      </w:pPr>
      <w:r w:rsidRPr="00E60879">
        <w:rPr>
          <w:rFonts w:ascii="Calibri" w:hAnsi="Calibri"/>
          <w:lang w:val="es-ES"/>
        </w:rPr>
        <w:t xml:space="preserve">Costa, H., Corpas Pastor, G., &amp; Durán-Muñoz, I. (2018). </w:t>
      </w:r>
      <w:r w:rsidRPr="003F1B0E">
        <w:rPr>
          <w:rFonts w:ascii="Calibri" w:hAnsi="Calibri"/>
          <w:lang w:val="en-GB"/>
        </w:rPr>
        <w:t xml:space="preserve">Assessing Terminology Management Systems for Interpreters. In G. </w:t>
      </w:r>
      <w:proofErr w:type="spellStart"/>
      <w:r w:rsidRPr="003F1B0E">
        <w:rPr>
          <w:rFonts w:ascii="Calibri" w:hAnsi="Calibri"/>
          <w:lang w:val="en-GB"/>
        </w:rPr>
        <w:t>Corpas</w:t>
      </w:r>
      <w:proofErr w:type="spellEnd"/>
      <w:r w:rsidRPr="003F1B0E">
        <w:rPr>
          <w:rFonts w:ascii="Calibri" w:hAnsi="Calibri"/>
          <w:lang w:val="en-GB"/>
        </w:rPr>
        <w:t xml:space="preserve"> Pastor &amp; I. </w:t>
      </w:r>
      <w:proofErr w:type="spellStart"/>
      <w:r w:rsidRPr="003F1B0E">
        <w:rPr>
          <w:rFonts w:ascii="Calibri" w:hAnsi="Calibri"/>
          <w:lang w:val="en-GB"/>
        </w:rPr>
        <w:t>Durán</w:t>
      </w:r>
      <w:proofErr w:type="spellEnd"/>
      <w:r w:rsidRPr="003F1B0E">
        <w:rPr>
          <w:rFonts w:ascii="Calibri" w:hAnsi="Calibri"/>
          <w:lang w:val="en-GB"/>
        </w:rPr>
        <w:t xml:space="preserve">-Muñoz (Eds.), </w:t>
      </w:r>
      <w:r w:rsidRPr="003F1B0E">
        <w:rPr>
          <w:rFonts w:ascii="Calibri" w:hAnsi="Calibri"/>
          <w:i/>
          <w:iCs/>
          <w:lang w:val="en-GB"/>
        </w:rPr>
        <w:t>Trends in E-Tools and Resources for Translators and Interpreters</w:t>
      </w:r>
      <w:r w:rsidRPr="003F1B0E">
        <w:rPr>
          <w:rFonts w:ascii="Calibri" w:hAnsi="Calibri"/>
          <w:lang w:val="en-GB"/>
        </w:rPr>
        <w:t xml:space="preserve"> (pp. 57–84). Brill.</w:t>
      </w:r>
    </w:p>
    <w:p w14:paraId="6BFDB290" w14:textId="6AF74BB3" w:rsidR="00777AAB" w:rsidRPr="003F1B0E" w:rsidRDefault="00777AAB" w:rsidP="00777AAB">
      <w:pPr>
        <w:rPr>
          <w:rFonts w:ascii="Calibri" w:hAnsi="Calibri"/>
          <w:lang w:val="en-GB"/>
        </w:rPr>
      </w:pPr>
      <w:r w:rsidRPr="003F1B0E">
        <w:rPr>
          <w:rFonts w:ascii="Calibri" w:hAnsi="Calibri"/>
          <w:lang w:val="en-GB"/>
        </w:rPr>
        <w:t xml:space="preserve">Council of Europe. </w:t>
      </w:r>
      <w:r w:rsidR="00944EFB" w:rsidRPr="003F1B0E">
        <w:rPr>
          <w:rFonts w:ascii="Calibri" w:hAnsi="Calibri"/>
          <w:lang w:val="en-GB"/>
        </w:rPr>
        <w:t>(</w:t>
      </w:r>
      <w:r w:rsidRPr="003F1B0E">
        <w:rPr>
          <w:rFonts w:ascii="Calibri" w:hAnsi="Calibri"/>
          <w:lang w:val="en-GB"/>
        </w:rPr>
        <w:t>2001</w:t>
      </w:r>
      <w:r w:rsidR="00944EFB" w:rsidRPr="003F1B0E">
        <w:rPr>
          <w:rFonts w:ascii="Calibri" w:hAnsi="Calibri"/>
          <w:lang w:val="en-GB"/>
        </w:rPr>
        <w:t>)</w:t>
      </w:r>
      <w:r w:rsidR="003F1B0E">
        <w:rPr>
          <w:rFonts w:ascii="Calibri" w:hAnsi="Calibri"/>
          <w:lang w:val="en-GB"/>
        </w:rPr>
        <w:t>. Common European Framework of Reference for Languages: Learning, Teaching, A</w:t>
      </w:r>
      <w:r w:rsidRPr="003F1B0E">
        <w:rPr>
          <w:rFonts w:ascii="Calibri" w:hAnsi="Calibri"/>
          <w:lang w:val="en-GB"/>
        </w:rPr>
        <w:t>ssessment. Cambridge, U.K.: Press Syndicate of the University of Cambridge.</w:t>
      </w:r>
    </w:p>
    <w:p w14:paraId="62B8210F" w14:textId="61E47BBC" w:rsidR="00944EFB" w:rsidRPr="003F1B0E" w:rsidRDefault="00944EFB" w:rsidP="003F1B0E">
      <w:pPr>
        <w:rPr>
          <w:rFonts w:ascii="Calibri" w:hAnsi="Calibri"/>
          <w:lang w:val="en-GB"/>
        </w:rPr>
      </w:pPr>
      <w:proofErr w:type="spellStart"/>
      <w:r w:rsidRPr="003F1B0E">
        <w:rPr>
          <w:rFonts w:ascii="Calibri" w:hAnsi="Calibri"/>
          <w:lang w:val="en-GB"/>
        </w:rPr>
        <w:t>Fantinuoli</w:t>
      </w:r>
      <w:proofErr w:type="spellEnd"/>
      <w:r w:rsidRPr="003F1B0E">
        <w:rPr>
          <w:rFonts w:ascii="Calibri" w:hAnsi="Calibri"/>
          <w:lang w:val="en-GB"/>
        </w:rPr>
        <w:t xml:space="preserve">, C. (2012). Design and Implementation of a Terminology and Knowledge Management Software for Conference Interpreter. </w:t>
      </w:r>
      <w:r w:rsidR="003F1B0E">
        <w:rPr>
          <w:rFonts w:ascii="Calibri" w:hAnsi="Calibri"/>
          <w:lang w:val="en-GB"/>
        </w:rPr>
        <w:t xml:space="preserve">PhD thesis. </w:t>
      </w:r>
      <w:r w:rsidRPr="003F1B0E">
        <w:rPr>
          <w:rFonts w:ascii="Calibri" w:hAnsi="Calibri"/>
          <w:lang w:val="en-GB"/>
        </w:rPr>
        <w:t xml:space="preserve">Mainz: </w:t>
      </w:r>
      <w:r w:rsidR="003C4134" w:rsidRPr="003F1B0E">
        <w:rPr>
          <w:rFonts w:ascii="Calibri" w:hAnsi="Calibri"/>
          <w:lang w:val="en-GB"/>
        </w:rPr>
        <w:t>University of Mainz</w:t>
      </w:r>
      <w:r w:rsidRPr="003F1B0E">
        <w:rPr>
          <w:rFonts w:ascii="Calibri" w:hAnsi="Calibri"/>
          <w:lang w:val="en-GB"/>
        </w:rPr>
        <w:t>.</w:t>
      </w:r>
    </w:p>
    <w:p w14:paraId="119E1DFB" w14:textId="302B0BD3" w:rsidR="000F6ADD" w:rsidRPr="003F1B0E" w:rsidRDefault="000F6ADD" w:rsidP="000F6ADD">
      <w:pPr>
        <w:rPr>
          <w:rFonts w:ascii="Calibri" w:hAnsi="Calibri"/>
          <w:lang w:val="en-GB"/>
        </w:rPr>
      </w:pPr>
      <w:proofErr w:type="spellStart"/>
      <w:r w:rsidRPr="003F1B0E">
        <w:rPr>
          <w:rFonts w:ascii="Calibri" w:hAnsi="Calibri"/>
          <w:lang w:val="en-GB"/>
        </w:rPr>
        <w:t>Fantinuoli</w:t>
      </w:r>
      <w:proofErr w:type="spellEnd"/>
      <w:r w:rsidRPr="003F1B0E">
        <w:rPr>
          <w:rFonts w:ascii="Calibri" w:hAnsi="Calibri"/>
          <w:lang w:val="en-GB"/>
        </w:rPr>
        <w:t>, C. (2017a</w:t>
      </w:r>
      <w:r w:rsidR="00462E45">
        <w:rPr>
          <w:rFonts w:ascii="Calibri" w:hAnsi="Calibri"/>
          <w:lang w:val="en-GB"/>
        </w:rPr>
        <w:t>). Computer-A</w:t>
      </w:r>
      <w:r w:rsidR="003F1B0E">
        <w:rPr>
          <w:rFonts w:ascii="Calibri" w:hAnsi="Calibri"/>
          <w:lang w:val="en-GB"/>
        </w:rPr>
        <w:t>ssisted Preparation in Conference I</w:t>
      </w:r>
      <w:r w:rsidRPr="003F1B0E">
        <w:rPr>
          <w:rFonts w:ascii="Calibri" w:hAnsi="Calibri"/>
          <w:lang w:val="en-GB"/>
        </w:rPr>
        <w:t xml:space="preserve">nterpreting. </w:t>
      </w:r>
      <w:r w:rsidRPr="003F1B0E">
        <w:rPr>
          <w:rFonts w:ascii="Calibri" w:hAnsi="Calibri"/>
          <w:i/>
          <w:iCs/>
          <w:lang w:val="en-GB"/>
        </w:rPr>
        <w:t>Translation &amp; Interpreting</w:t>
      </w:r>
      <w:r w:rsidRPr="003F1B0E">
        <w:rPr>
          <w:rFonts w:ascii="Calibri" w:hAnsi="Calibri"/>
          <w:lang w:val="en-GB"/>
        </w:rPr>
        <w:t xml:space="preserve">, </w:t>
      </w:r>
      <w:r w:rsidRPr="003F1B0E">
        <w:rPr>
          <w:rFonts w:ascii="Calibri" w:hAnsi="Calibri"/>
          <w:iCs/>
          <w:lang w:val="en-GB"/>
        </w:rPr>
        <w:t>9</w:t>
      </w:r>
      <w:r w:rsidRPr="003F1B0E">
        <w:rPr>
          <w:rFonts w:ascii="Calibri" w:hAnsi="Calibri"/>
          <w:lang w:val="en-GB"/>
        </w:rPr>
        <w:t>(2), 24–37.</w:t>
      </w:r>
    </w:p>
    <w:p w14:paraId="7116E50E" w14:textId="77777777" w:rsidR="000F6ADD" w:rsidRPr="003F1B0E" w:rsidRDefault="000F6ADD" w:rsidP="000F6ADD">
      <w:pPr>
        <w:rPr>
          <w:rFonts w:ascii="Calibri" w:hAnsi="Calibri"/>
          <w:lang w:val="en-GB"/>
        </w:rPr>
      </w:pPr>
      <w:proofErr w:type="spellStart"/>
      <w:r w:rsidRPr="003F1B0E">
        <w:rPr>
          <w:rFonts w:ascii="Calibri" w:hAnsi="Calibri"/>
          <w:lang w:val="en-GB"/>
        </w:rPr>
        <w:t>Fantinuoli</w:t>
      </w:r>
      <w:proofErr w:type="spellEnd"/>
      <w:r w:rsidRPr="003F1B0E">
        <w:rPr>
          <w:rFonts w:ascii="Calibri" w:hAnsi="Calibri"/>
          <w:lang w:val="en-GB"/>
        </w:rPr>
        <w:t xml:space="preserve">, C. (2017b). Speech Recognition in the Interpreter Workstation. In </w:t>
      </w:r>
      <w:r w:rsidRPr="003F1B0E">
        <w:rPr>
          <w:rFonts w:ascii="Calibri" w:hAnsi="Calibri"/>
          <w:i/>
          <w:iCs/>
          <w:lang w:val="en-GB"/>
        </w:rPr>
        <w:t>Proceedings of the Translating and the Computer 39 Conference</w:t>
      </w:r>
      <w:r w:rsidRPr="003F1B0E">
        <w:rPr>
          <w:rFonts w:ascii="Calibri" w:hAnsi="Calibri"/>
          <w:lang w:val="en-GB"/>
        </w:rPr>
        <w:t>. London.</w:t>
      </w:r>
    </w:p>
    <w:p w14:paraId="3D232776" w14:textId="4E58809D" w:rsidR="000F6ADD" w:rsidRPr="003F1B0E" w:rsidRDefault="000F6ADD" w:rsidP="000F6ADD">
      <w:pPr>
        <w:rPr>
          <w:rFonts w:ascii="Calibri" w:hAnsi="Calibri"/>
          <w:lang w:val="en-GB"/>
        </w:rPr>
      </w:pPr>
      <w:proofErr w:type="spellStart"/>
      <w:r w:rsidRPr="003F1B0E">
        <w:rPr>
          <w:rFonts w:ascii="Calibri" w:hAnsi="Calibri"/>
          <w:lang w:val="en-GB"/>
        </w:rPr>
        <w:lastRenderedPageBreak/>
        <w:t>Fantinuoli</w:t>
      </w:r>
      <w:proofErr w:type="spellEnd"/>
      <w:r w:rsidRPr="003F1B0E">
        <w:rPr>
          <w:rFonts w:ascii="Calibri" w:hAnsi="Calibri"/>
          <w:lang w:val="en-GB"/>
        </w:rPr>
        <w:t xml:space="preserve">, C. (2018). Computer-Assisted Interpreting: Challenges and Future Perspectives. In G. </w:t>
      </w:r>
      <w:proofErr w:type="spellStart"/>
      <w:r w:rsidRPr="003F1B0E">
        <w:rPr>
          <w:rFonts w:ascii="Calibri" w:hAnsi="Calibri"/>
          <w:lang w:val="en-GB"/>
        </w:rPr>
        <w:t>Corpas</w:t>
      </w:r>
      <w:proofErr w:type="spellEnd"/>
      <w:r w:rsidRPr="003F1B0E">
        <w:rPr>
          <w:rFonts w:ascii="Calibri" w:hAnsi="Calibri"/>
          <w:lang w:val="en-GB"/>
        </w:rPr>
        <w:t xml:space="preserve"> Pastor &amp; I. </w:t>
      </w:r>
      <w:proofErr w:type="spellStart"/>
      <w:r w:rsidRPr="003F1B0E">
        <w:rPr>
          <w:rFonts w:ascii="Calibri" w:hAnsi="Calibri"/>
          <w:lang w:val="en-GB"/>
        </w:rPr>
        <w:t>Durán</w:t>
      </w:r>
      <w:proofErr w:type="spellEnd"/>
      <w:r w:rsidRPr="003F1B0E">
        <w:rPr>
          <w:rFonts w:ascii="Calibri" w:hAnsi="Calibri"/>
          <w:lang w:val="en-GB"/>
        </w:rPr>
        <w:t xml:space="preserve">-Muñoz (Eds.), </w:t>
      </w:r>
      <w:r w:rsidRPr="003F1B0E">
        <w:rPr>
          <w:rFonts w:ascii="Calibri" w:hAnsi="Calibri"/>
          <w:i/>
          <w:iCs/>
          <w:lang w:val="en-GB"/>
        </w:rPr>
        <w:t>Trends in E-Tools and Resources for Translators and Interpreters</w:t>
      </w:r>
      <w:r w:rsidRPr="003F1B0E">
        <w:rPr>
          <w:rFonts w:ascii="Calibri" w:hAnsi="Calibri"/>
          <w:lang w:val="en-GB"/>
        </w:rPr>
        <w:t xml:space="preserve"> (pp. 153–174). Brill.</w:t>
      </w:r>
    </w:p>
    <w:p w14:paraId="344AEE10" w14:textId="23727AAB" w:rsidR="00F95216" w:rsidRDefault="00F95216" w:rsidP="000F6ADD">
      <w:pPr>
        <w:rPr>
          <w:rFonts w:ascii="Calibri" w:hAnsi="Calibri"/>
          <w:lang w:val="en-GB"/>
        </w:rPr>
      </w:pPr>
      <w:proofErr w:type="spellStart"/>
      <w:r w:rsidRPr="003F1B0E">
        <w:rPr>
          <w:rFonts w:ascii="Calibri" w:hAnsi="Calibri"/>
          <w:lang w:val="en-GB"/>
        </w:rPr>
        <w:t>Gile</w:t>
      </w:r>
      <w:proofErr w:type="spellEnd"/>
      <w:r w:rsidRPr="003F1B0E">
        <w:rPr>
          <w:rFonts w:ascii="Calibri" w:hAnsi="Calibri"/>
          <w:lang w:val="en-GB"/>
        </w:rPr>
        <w:t xml:space="preserve">, D. (1995). Basic Concepts and Models for Interpreter and Translator Training. Amsterdam: </w:t>
      </w:r>
      <w:proofErr w:type="spellStart"/>
      <w:r w:rsidRPr="003F1B0E">
        <w:rPr>
          <w:rFonts w:ascii="Calibri" w:hAnsi="Calibri"/>
          <w:lang w:val="en-GB"/>
        </w:rPr>
        <w:t>Benjamins</w:t>
      </w:r>
      <w:proofErr w:type="spellEnd"/>
      <w:r w:rsidRPr="003F1B0E">
        <w:rPr>
          <w:rFonts w:ascii="Calibri" w:hAnsi="Calibri"/>
          <w:lang w:val="en-GB"/>
        </w:rPr>
        <w:t>.</w:t>
      </w:r>
    </w:p>
    <w:p w14:paraId="79D8C178" w14:textId="5EDE16C4" w:rsidR="004156FA" w:rsidRDefault="004156FA" w:rsidP="000F6ADD">
      <w:pPr>
        <w:rPr>
          <w:rFonts w:ascii="Calibri" w:hAnsi="Calibri"/>
          <w:lang w:val="en-GB"/>
        </w:rPr>
      </w:pPr>
      <w:proofErr w:type="spellStart"/>
      <w:r>
        <w:rPr>
          <w:rFonts w:ascii="Calibri" w:hAnsi="Calibri"/>
          <w:lang w:val="en-GB"/>
        </w:rPr>
        <w:t>Gile</w:t>
      </w:r>
      <w:proofErr w:type="spellEnd"/>
      <w:r>
        <w:rPr>
          <w:rFonts w:ascii="Calibri" w:hAnsi="Calibri"/>
          <w:lang w:val="en-GB"/>
        </w:rPr>
        <w:t>, D. (199</w:t>
      </w:r>
      <w:r w:rsidRPr="006813E1">
        <w:rPr>
          <w:lang w:val="en-GB"/>
        </w:rPr>
        <w:t xml:space="preserve">9). Testing the Tight Rope Hypothesis in </w:t>
      </w:r>
      <w:r w:rsidR="000D11B7">
        <w:rPr>
          <w:lang w:val="en-GB"/>
        </w:rPr>
        <w:t>Si</w:t>
      </w:r>
      <w:r w:rsidRPr="006813E1">
        <w:rPr>
          <w:lang w:val="en-GB"/>
        </w:rPr>
        <w:t xml:space="preserve">multaneous </w:t>
      </w:r>
      <w:r w:rsidR="000D11B7">
        <w:rPr>
          <w:lang w:val="en-GB"/>
        </w:rPr>
        <w:t>I</w:t>
      </w:r>
      <w:r w:rsidRPr="006813E1">
        <w:rPr>
          <w:lang w:val="en-GB"/>
        </w:rPr>
        <w:t xml:space="preserve">nterpreting – </w:t>
      </w:r>
      <w:r w:rsidR="000D11B7">
        <w:rPr>
          <w:lang w:val="en-GB"/>
        </w:rPr>
        <w:t>A</w:t>
      </w:r>
      <w:r w:rsidRPr="006813E1">
        <w:rPr>
          <w:lang w:val="en-GB"/>
        </w:rPr>
        <w:t xml:space="preserve"> </w:t>
      </w:r>
      <w:r w:rsidR="000D11B7">
        <w:rPr>
          <w:lang w:val="en-GB"/>
        </w:rPr>
        <w:t>C</w:t>
      </w:r>
      <w:r w:rsidRPr="006813E1">
        <w:rPr>
          <w:lang w:val="en-GB"/>
        </w:rPr>
        <w:t xml:space="preserve">ontribution. </w:t>
      </w:r>
      <w:r w:rsidRPr="006813E1">
        <w:rPr>
          <w:i/>
          <w:iCs/>
          <w:lang w:val="en-GB"/>
        </w:rPr>
        <w:t xml:space="preserve">Hermes, </w:t>
      </w:r>
      <w:r w:rsidRPr="006813E1">
        <w:rPr>
          <w:lang w:val="en-GB"/>
        </w:rPr>
        <w:t>23, 153-172.</w:t>
      </w:r>
    </w:p>
    <w:p w14:paraId="227FA466" w14:textId="100058C9" w:rsidR="004156FA" w:rsidRDefault="004156FA" w:rsidP="000F6ADD">
      <w:pPr>
        <w:rPr>
          <w:rFonts w:ascii="Calibri" w:hAnsi="Calibri"/>
          <w:lang w:val="en-GB"/>
        </w:rPr>
      </w:pPr>
      <w:proofErr w:type="spellStart"/>
      <w:r>
        <w:rPr>
          <w:rFonts w:ascii="Calibri" w:hAnsi="Calibri"/>
          <w:lang w:val="en-GB"/>
        </w:rPr>
        <w:t>Gile</w:t>
      </w:r>
      <w:proofErr w:type="spellEnd"/>
      <w:r>
        <w:rPr>
          <w:rFonts w:ascii="Calibri" w:hAnsi="Calibri"/>
          <w:lang w:val="en-GB"/>
        </w:rPr>
        <w:t>, D. (2009)</w:t>
      </w:r>
      <w:r w:rsidR="00AE44AE">
        <w:rPr>
          <w:rFonts w:ascii="Calibri" w:hAnsi="Calibri"/>
          <w:lang w:val="en-GB"/>
        </w:rPr>
        <w:t xml:space="preserve">. Basic Concepts and Models in Translator and Interpreter Training. Amsterdam: </w:t>
      </w:r>
      <w:proofErr w:type="spellStart"/>
      <w:r w:rsidR="00AE44AE">
        <w:rPr>
          <w:rFonts w:ascii="Calibri" w:hAnsi="Calibri"/>
          <w:lang w:val="en-GB"/>
        </w:rPr>
        <w:t>Benjamins</w:t>
      </w:r>
      <w:proofErr w:type="spellEnd"/>
      <w:r w:rsidR="00AE44AE">
        <w:rPr>
          <w:rFonts w:ascii="Calibri" w:hAnsi="Calibri"/>
          <w:lang w:val="en-GB"/>
        </w:rPr>
        <w:t>.</w:t>
      </w:r>
    </w:p>
    <w:p w14:paraId="785ACAA4" w14:textId="59CA06F7" w:rsidR="00707274" w:rsidRDefault="00707274" w:rsidP="000F6ADD">
      <w:pPr>
        <w:rPr>
          <w:rFonts w:ascii="Calibri" w:hAnsi="Calibri"/>
          <w:lang w:val="en-GB"/>
        </w:rPr>
      </w:pPr>
      <w:r>
        <w:rPr>
          <w:rFonts w:ascii="Calibri" w:hAnsi="Calibri"/>
          <w:lang w:val="en-GB"/>
        </w:rPr>
        <w:t xml:space="preserve">Goldsmith, J. (2017). A Comparative </w:t>
      </w:r>
      <w:r w:rsidR="000D11B7">
        <w:rPr>
          <w:rFonts w:ascii="Calibri" w:hAnsi="Calibri"/>
          <w:lang w:val="en-GB"/>
        </w:rPr>
        <w:t>U</w:t>
      </w:r>
      <w:r>
        <w:rPr>
          <w:rFonts w:ascii="Calibri" w:hAnsi="Calibri"/>
          <w:lang w:val="en-GB"/>
        </w:rPr>
        <w:t xml:space="preserve">ser </w:t>
      </w:r>
      <w:r w:rsidR="000D11B7">
        <w:rPr>
          <w:rFonts w:ascii="Calibri" w:hAnsi="Calibri"/>
          <w:lang w:val="en-GB"/>
        </w:rPr>
        <w:t>E</w:t>
      </w:r>
      <w:r>
        <w:rPr>
          <w:rFonts w:ascii="Calibri" w:hAnsi="Calibri"/>
          <w:lang w:val="en-GB"/>
        </w:rPr>
        <w:t xml:space="preserve">valuation of </w:t>
      </w:r>
      <w:r w:rsidR="000D11B7">
        <w:rPr>
          <w:rFonts w:ascii="Calibri" w:hAnsi="Calibri"/>
          <w:lang w:val="en-GB"/>
        </w:rPr>
        <w:t>T</w:t>
      </w:r>
      <w:r>
        <w:rPr>
          <w:rFonts w:ascii="Calibri" w:hAnsi="Calibri"/>
          <w:lang w:val="en-GB"/>
        </w:rPr>
        <w:t xml:space="preserve">ablets and </w:t>
      </w:r>
      <w:r w:rsidR="000D11B7">
        <w:rPr>
          <w:rFonts w:ascii="Calibri" w:hAnsi="Calibri"/>
          <w:lang w:val="en-GB"/>
        </w:rPr>
        <w:t>T</w:t>
      </w:r>
      <w:r>
        <w:rPr>
          <w:rFonts w:ascii="Calibri" w:hAnsi="Calibri"/>
          <w:lang w:val="en-GB"/>
        </w:rPr>
        <w:t xml:space="preserve">ools for </w:t>
      </w:r>
      <w:r w:rsidR="000D11B7">
        <w:rPr>
          <w:rFonts w:ascii="Calibri" w:hAnsi="Calibri"/>
          <w:lang w:val="en-GB"/>
        </w:rPr>
        <w:t>C</w:t>
      </w:r>
      <w:r>
        <w:rPr>
          <w:rFonts w:ascii="Calibri" w:hAnsi="Calibri"/>
          <w:lang w:val="en-GB"/>
        </w:rPr>
        <w:t xml:space="preserve">onsecutive </w:t>
      </w:r>
      <w:r w:rsidR="000D11B7">
        <w:rPr>
          <w:rFonts w:ascii="Calibri" w:hAnsi="Calibri"/>
          <w:lang w:val="en-GB"/>
        </w:rPr>
        <w:t>I</w:t>
      </w:r>
      <w:r>
        <w:rPr>
          <w:rFonts w:ascii="Calibri" w:hAnsi="Calibri"/>
          <w:lang w:val="en-GB"/>
        </w:rPr>
        <w:t xml:space="preserve">nterpreters. </w:t>
      </w:r>
      <w:r>
        <w:rPr>
          <w:rFonts w:ascii="Calibri" w:hAnsi="Calibri"/>
          <w:i/>
          <w:lang w:val="en-GB"/>
        </w:rPr>
        <w:t>Proceedings of Translating and the Computer</w:t>
      </w:r>
      <w:r>
        <w:rPr>
          <w:rFonts w:ascii="Calibri" w:hAnsi="Calibri"/>
          <w:lang w:val="en-GB"/>
        </w:rPr>
        <w:t xml:space="preserve"> 39, 40-50.</w:t>
      </w:r>
    </w:p>
    <w:p w14:paraId="6401E712" w14:textId="7108673C" w:rsidR="009754C7" w:rsidRPr="003F1B0E" w:rsidRDefault="009754C7" w:rsidP="000F6ADD">
      <w:pPr>
        <w:rPr>
          <w:rFonts w:ascii="Calibri" w:hAnsi="Calibri"/>
          <w:lang w:val="en-GB"/>
        </w:rPr>
      </w:pPr>
      <w:r w:rsidRPr="003F1B0E">
        <w:rPr>
          <w:rFonts w:ascii="Calibri" w:hAnsi="Calibri"/>
          <w:lang w:val="en-GB"/>
        </w:rPr>
        <w:t xml:space="preserve">Jones, R. (2002). </w:t>
      </w:r>
      <w:r w:rsidRPr="003F1B0E">
        <w:rPr>
          <w:rFonts w:ascii="Calibri" w:hAnsi="Calibri"/>
          <w:iCs/>
          <w:lang w:val="en-GB"/>
        </w:rPr>
        <w:t>Conference Interpreting Explained.</w:t>
      </w:r>
      <w:r w:rsidRPr="003F1B0E">
        <w:rPr>
          <w:rFonts w:ascii="Calibri" w:hAnsi="Calibri"/>
          <w:lang w:val="en-GB"/>
        </w:rPr>
        <w:t xml:space="preserve"> Abingdon/New York: Routledge.</w:t>
      </w:r>
    </w:p>
    <w:p w14:paraId="5C675F55" w14:textId="4F6C6BB0" w:rsidR="00A6381D" w:rsidRPr="00E60879" w:rsidRDefault="00A6381D" w:rsidP="003F1B0E">
      <w:pPr>
        <w:rPr>
          <w:rFonts w:ascii="Calibri" w:hAnsi="Calibri"/>
          <w:lang w:val="en-US"/>
        </w:rPr>
      </w:pPr>
      <w:proofErr w:type="spellStart"/>
      <w:r w:rsidRPr="003F1B0E">
        <w:rPr>
          <w:rFonts w:ascii="Calibri" w:hAnsi="Calibri"/>
          <w:lang w:val="en-GB"/>
        </w:rPr>
        <w:t>Korpal</w:t>
      </w:r>
      <w:proofErr w:type="spellEnd"/>
      <w:r w:rsidRPr="003F1B0E">
        <w:rPr>
          <w:rFonts w:ascii="Calibri" w:hAnsi="Calibri"/>
          <w:lang w:val="en-GB"/>
        </w:rPr>
        <w:t xml:space="preserve">, P. (2016). </w:t>
      </w:r>
      <w:r w:rsidR="003F1B0E">
        <w:rPr>
          <w:rFonts w:ascii="Calibri" w:hAnsi="Calibri"/>
          <w:lang w:val="en-GB"/>
        </w:rPr>
        <w:t>Linguistic and P</w:t>
      </w:r>
      <w:r w:rsidRPr="003F1B0E">
        <w:rPr>
          <w:rFonts w:ascii="Calibri" w:hAnsi="Calibri"/>
          <w:lang w:val="en-GB"/>
        </w:rPr>
        <w:t xml:space="preserve">sychological </w:t>
      </w:r>
      <w:r w:rsidR="003F1B0E">
        <w:rPr>
          <w:rFonts w:ascii="Calibri" w:hAnsi="Calibri"/>
          <w:lang w:val="en-GB"/>
        </w:rPr>
        <w:t>Indicators of Stress in Simultaneous I</w:t>
      </w:r>
      <w:r w:rsidRPr="003F1B0E">
        <w:rPr>
          <w:rFonts w:ascii="Calibri" w:hAnsi="Calibri"/>
          <w:lang w:val="en-GB"/>
        </w:rPr>
        <w:t xml:space="preserve">nterpreting. </w:t>
      </w:r>
      <w:r w:rsidR="003F1B0E">
        <w:rPr>
          <w:rFonts w:ascii="Calibri" w:hAnsi="Calibri"/>
          <w:lang w:val="en-US"/>
        </w:rPr>
        <w:t xml:space="preserve">PhD thesis. </w:t>
      </w:r>
      <w:r w:rsidRPr="003F1B0E">
        <w:rPr>
          <w:rFonts w:ascii="Calibri" w:hAnsi="Calibri"/>
          <w:lang w:val="en-GB"/>
        </w:rPr>
        <w:t>Poznan: Adam Mickiewicz University.</w:t>
      </w:r>
    </w:p>
    <w:p w14:paraId="2416F46D" w14:textId="3156B222" w:rsidR="0082598A" w:rsidRPr="003F1B0E" w:rsidRDefault="0082598A" w:rsidP="0082598A">
      <w:pPr>
        <w:rPr>
          <w:rFonts w:ascii="Calibri" w:hAnsi="Calibri"/>
          <w:lang w:val="en-US"/>
        </w:rPr>
      </w:pPr>
      <w:proofErr w:type="spellStart"/>
      <w:r w:rsidRPr="003F1B0E">
        <w:rPr>
          <w:rFonts w:ascii="Calibri" w:hAnsi="Calibri"/>
          <w:lang w:val="en-US"/>
        </w:rPr>
        <w:t>Lamberger-Fe</w:t>
      </w:r>
      <w:r w:rsidR="00462E45">
        <w:rPr>
          <w:rFonts w:ascii="Calibri" w:hAnsi="Calibri"/>
          <w:lang w:val="en-US"/>
        </w:rPr>
        <w:t>lber</w:t>
      </w:r>
      <w:proofErr w:type="spellEnd"/>
      <w:r w:rsidR="00462E45">
        <w:rPr>
          <w:rFonts w:ascii="Calibri" w:hAnsi="Calibri"/>
          <w:lang w:val="en-US"/>
        </w:rPr>
        <w:t>, H. (2001). Text-O</w:t>
      </w:r>
      <w:r w:rsidR="003F1B0E">
        <w:rPr>
          <w:rFonts w:ascii="Calibri" w:hAnsi="Calibri"/>
          <w:lang w:val="en-US"/>
        </w:rPr>
        <w:t>riented Research into Inte</w:t>
      </w:r>
      <w:r w:rsidR="00462E45">
        <w:rPr>
          <w:rFonts w:ascii="Calibri" w:hAnsi="Calibri"/>
          <w:lang w:val="en-US"/>
        </w:rPr>
        <w:t>rpreting: Examples from a Case-S</w:t>
      </w:r>
      <w:r w:rsidRPr="003F1B0E">
        <w:rPr>
          <w:rFonts w:ascii="Calibri" w:hAnsi="Calibri"/>
          <w:lang w:val="en-US"/>
        </w:rPr>
        <w:t xml:space="preserve">tudy. </w:t>
      </w:r>
      <w:r w:rsidRPr="003F1B0E">
        <w:rPr>
          <w:rFonts w:ascii="Calibri" w:hAnsi="Calibri"/>
          <w:i/>
          <w:lang w:val="en-US"/>
        </w:rPr>
        <w:t>Hermes</w:t>
      </w:r>
      <w:r w:rsidRPr="003F1B0E">
        <w:rPr>
          <w:rFonts w:ascii="Calibri" w:hAnsi="Calibri"/>
          <w:lang w:val="en-US"/>
        </w:rPr>
        <w:t>, 26, 39-63.</w:t>
      </w:r>
    </w:p>
    <w:p w14:paraId="79F0CDBE" w14:textId="036B846B" w:rsidR="000F6ADD" w:rsidRPr="003F1B0E" w:rsidRDefault="000F6ADD" w:rsidP="000F6ADD">
      <w:pPr>
        <w:rPr>
          <w:rFonts w:ascii="Calibri" w:hAnsi="Calibri"/>
          <w:lang w:val="en-GB"/>
        </w:rPr>
      </w:pPr>
      <w:proofErr w:type="spellStart"/>
      <w:r w:rsidRPr="003F1B0E">
        <w:rPr>
          <w:rFonts w:ascii="Calibri" w:hAnsi="Calibri"/>
          <w:lang w:val="en-GB"/>
        </w:rPr>
        <w:t>Mazza</w:t>
      </w:r>
      <w:proofErr w:type="spellEnd"/>
      <w:r w:rsidRPr="003F1B0E">
        <w:rPr>
          <w:rFonts w:ascii="Calibri" w:hAnsi="Calibri"/>
          <w:lang w:val="en-GB"/>
        </w:rPr>
        <w:t>,</w:t>
      </w:r>
      <w:r w:rsidR="003F1B0E">
        <w:rPr>
          <w:rFonts w:ascii="Calibri" w:hAnsi="Calibri"/>
          <w:lang w:val="en-GB"/>
        </w:rPr>
        <w:t xml:space="preserve"> C. (2001). Numbers in Simultaneous I</w:t>
      </w:r>
      <w:r w:rsidRPr="003F1B0E">
        <w:rPr>
          <w:rFonts w:ascii="Calibri" w:hAnsi="Calibri"/>
          <w:lang w:val="en-GB"/>
        </w:rPr>
        <w:t xml:space="preserve">nterpretation. </w:t>
      </w:r>
      <w:r w:rsidRPr="003F1B0E">
        <w:rPr>
          <w:rFonts w:ascii="Calibri" w:hAnsi="Calibri"/>
          <w:i/>
          <w:iCs/>
          <w:lang w:val="en-GB"/>
        </w:rPr>
        <w:t>The Interpreters’ Newsletter</w:t>
      </w:r>
      <w:r w:rsidRPr="003F1B0E">
        <w:rPr>
          <w:rFonts w:ascii="Calibri" w:hAnsi="Calibri"/>
          <w:lang w:val="en-GB"/>
        </w:rPr>
        <w:t xml:space="preserve">, </w:t>
      </w:r>
      <w:r w:rsidRPr="003F1B0E">
        <w:rPr>
          <w:rFonts w:ascii="Calibri" w:hAnsi="Calibri"/>
          <w:i/>
          <w:iCs/>
          <w:lang w:val="en-GB"/>
        </w:rPr>
        <w:t>11</w:t>
      </w:r>
      <w:r w:rsidRPr="003F1B0E">
        <w:rPr>
          <w:rFonts w:ascii="Calibri" w:hAnsi="Calibri"/>
          <w:lang w:val="en-GB"/>
        </w:rPr>
        <w:t>, 87–104.</w:t>
      </w:r>
    </w:p>
    <w:p w14:paraId="5020D19D" w14:textId="20F58C17" w:rsidR="0076067E" w:rsidRDefault="00EE5773" w:rsidP="00524A1C">
      <w:pPr>
        <w:pStyle w:val="Default"/>
        <w:spacing w:after="160"/>
        <w:rPr>
          <w:rFonts w:ascii="Calibri" w:hAnsi="Calibri" w:cstheme="minorBidi"/>
          <w:bCs/>
          <w:iCs/>
          <w:sz w:val="22"/>
          <w:szCs w:val="22"/>
          <w:lang w:val="en-US"/>
        </w:rPr>
      </w:pPr>
      <w:r w:rsidRPr="003F1B0E">
        <w:rPr>
          <w:rFonts w:ascii="Calibri" w:hAnsi="Calibri" w:cstheme="minorBidi"/>
          <w:sz w:val="22"/>
          <w:szCs w:val="22"/>
          <w:lang w:val="en-GB"/>
        </w:rPr>
        <w:t xml:space="preserve">Orlando, M. (2014). </w:t>
      </w:r>
      <w:r w:rsidR="003F1B0E">
        <w:rPr>
          <w:rFonts w:ascii="Calibri" w:hAnsi="Calibri" w:cstheme="minorBidi"/>
          <w:bCs/>
          <w:sz w:val="22"/>
          <w:szCs w:val="22"/>
          <w:lang w:val="en-US"/>
        </w:rPr>
        <w:t>A Study on the Amenability of Digital Pen Technology in a Hybrid Mode of I</w:t>
      </w:r>
      <w:r w:rsidRPr="003F1B0E">
        <w:rPr>
          <w:rFonts w:ascii="Calibri" w:hAnsi="Calibri" w:cstheme="minorBidi"/>
          <w:bCs/>
          <w:sz w:val="22"/>
          <w:szCs w:val="22"/>
          <w:lang w:val="en-US"/>
        </w:rPr>
        <w:t xml:space="preserve">nterpreting: </w:t>
      </w:r>
      <w:proofErr w:type="spellStart"/>
      <w:r w:rsidR="00462E45">
        <w:rPr>
          <w:rFonts w:ascii="Calibri" w:hAnsi="Calibri" w:cstheme="minorBidi"/>
          <w:bCs/>
          <w:iCs/>
          <w:sz w:val="22"/>
          <w:szCs w:val="22"/>
          <w:lang w:val="en-US"/>
        </w:rPr>
        <w:t>Consec</w:t>
      </w:r>
      <w:proofErr w:type="spellEnd"/>
      <w:r w:rsidR="00462E45">
        <w:rPr>
          <w:rFonts w:ascii="Calibri" w:hAnsi="Calibri" w:cstheme="minorBidi"/>
          <w:bCs/>
          <w:iCs/>
          <w:sz w:val="22"/>
          <w:szCs w:val="22"/>
          <w:lang w:val="en-US"/>
        </w:rPr>
        <w:t>-S</w:t>
      </w:r>
      <w:r w:rsidR="003F1B0E">
        <w:rPr>
          <w:rFonts w:ascii="Calibri" w:hAnsi="Calibri" w:cstheme="minorBidi"/>
          <w:bCs/>
          <w:iCs/>
          <w:sz w:val="22"/>
          <w:szCs w:val="22"/>
          <w:lang w:val="en-US"/>
        </w:rPr>
        <w:t>imul with N</w:t>
      </w:r>
      <w:r w:rsidRPr="003F1B0E">
        <w:rPr>
          <w:rFonts w:ascii="Calibri" w:hAnsi="Calibri" w:cstheme="minorBidi"/>
          <w:bCs/>
          <w:iCs/>
          <w:sz w:val="22"/>
          <w:szCs w:val="22"/>
          <w:lang w:val="en-US"/>
        </w:rPr>
        <w:t xml:space="preserve">otes. </w:t>
      </w:r>
      <w:r w:rsidRPr="003F1B0E">
        <w:rPr>
          <w:rFonts w:ascii="Calibri" w:hAnsi="Calibri" w:cstheme="minorBidi"/>
          <w:bCs/>
          <w:i/>
          <w:iCs/>
          <w:sz w:val="22"/>
          <w:szCs w:val="22"/>
          <w:lang w:val="en-US"/>
        </w:rPr>
        <w:t>Translation and Interpreting</w:t>
      </w:r>
      <w:r w:rsidRPr="003F1B0E">
        <w:rPr>
          <w:rFonts w:ascii="Calibri" w:hAnsi="Calibri" w:cstheme="minorBidi"/>
          <w:bCs/>
          <w:iCs/>
          <w:sz w:val="22"/>
          <w:szCs w:val="22"/>
          <w:lang w:val="en-US"/>
        </w:rPr>
        <w:t>, 6(2), pp. 39-54.</w:t>
      </w:r>
    </w:p>
    <w:p w14:paraId="070C02A9" w14:textId="0552D183" w:rsidR="00E71B9A" w:rsidRPr="00E71B9A" w:rsidRDefault="00E71B9A" w:rsidP="00524A1C">
      <w:pPr>
        <w:pStyle w:val="Default"/>
        <w:spacing w:after="160"/>
        <w:rPr>
          <w:rFonts w:ascii="Calibri" w:hAnsi="Calibri" w:cstheme="minorBidi"/>
          <w:bCs/>
          <w:iCs/>
          <w:sz w:val="22"/>
          <w:szCs w:val="22"/>
          <w:lang w:val="en-US"/>
        </w:rPr>
      </w:pPr>
      <w:r w:rsidRPr="00E60879">
        <w:rPr>
          <w:rFonts w:ascii="Calibri" w:hAnsi="Calibri"/>
          <w:sz w:val="22"/>
          <w:szCs w:val="22"/>
          <w:lang w:val="en-US"/>
        </w:rPr>
        <w:t xml:space="preserve">Orlando, M. </w:t>
      </w:r>
      <w:r>
        <w:rPr>
          <w:rFonts w:ascii="Calibri" w:hAnsi="Calibri"/>
          <w:sz w:val="22"/>
          <w:szCs w:val="22"/>
          <w:lang w:val="en-US"/>
        </w:rPr>
        <w:t>(</w:t>
      </w:r>
      <w:r w:rsidRPr="00E60879">
        <w:rPr>
          <w:rFonts w:ascii="Calibri" w:hAnsi="Calibri"/>
          <w:sz w:val="22"/>
          <w:szCs w:val="22"/>
          <w:lang w:val="en-US"/>
        </w:rPr>
        <w:t>2016</w:t>
      </w:r>
      <w:r>
        <w:rPr>
          <w:rFonts w:ascii="Calibri" w:hAnsi="Calibri"/>
          <w:sz w:val="22"/>
          <w:szCs w:val="22"/>
          <w:lang w:val="en-US"/>
        </w:rPr>
        <w:t>)</w:t>
      </w:r>
      <w:r w:rsidRPr="00E60879">
        <w:rPr>
          <w:rFonts w:ascii="Calibri" w:hAnsi="Calibri"/>
          <w:sz w:val="22"/>
          <w:szCs w:val="22"/>
          <w:lang w:val="en-US"/>
        </w:rPr>
        <w:t>. Training 21</w:t>
      </w:r>
      <w:r w:rsidRPr="00E60879">
        <w:rPr>
          <w:rFonts w:ascii="Calibri" w:hAnsi="Calibri"/>
          <w:sz w:val="22"/>
          <w:szCs w:val="22"/>
          <w:vertAlign w:val="superscript"/>
          <w:lang w:val="en-US"/>
        </w:rPr>
        <w:t>st</w:t>
      </w:r>
      <w:r w:rsidRPr="00E60879">
        <w:rPr>
          <w:rFonts w:ascii="Calibri" w:hAnsi="Calibri"/>
          <w:sz w:val="22"/>
          <w:szCs w:val="22"/>
          <w:lang w:val="en-US"/>
        </w:rPr>
        <w:t xml:space="preserve"> Century Translators and Interpreters: At the Crossroads of Practice, Research and Pedagogy. Berlin: </w:t>
      </w:r>
      <w:proofErr w:type="spellStart"/>
      <w:r w:rsidRPr="00E60879">
        <w:rPr>
          <w:rFonts w:ascii="Calibri" w:hAnsi="Calibri"/>
          <w:sz w:val="22"/>
          <w:szCs w:val="22"/>
          <w:lang w:val="en-US"/>
        </w:rPr>
        <w:t>Timme</w:t>
      </w:r>
      <w:proofErr w:type="spellEnd"/>
      <w:r w:rsidRPr="00E60879">
        <w:rPr>
          <w:rFonts w:ascii="Calibri" w:hAnsi="Calibri"/>
          <w:sz w:val="22"/>
          <w:szCs w:val="22"/>
          <w:lang w:val="en-US"/>
        </w:rPr>
        <w:t>.</w:t>
      </w:r>
    </w:p>
    <w:p w14:paraId="2611EEA2" w14:textId="6C7FCF70" w:rsidR="000F6ADD" w:rsidRPr="003F1B0E" w:rsidRDefault="000F6ADD" w:rsidP="000F6ADD">
      <w:pPr>
        <w:rPr>
          <w:rFonts w:ascii="Calibri" w:hAnsi="Calibri"/>
          <w:lang w:val="en-GB"/>
        </w:rPr>
      </w:pPr>
      <w:proofErr w:type="spellStart"/>
      <w:r w:rsidRPr="003F1B0E">
        <w:rPr>
          <w:rFonts w:ascii="Calibri" w:hAnsi="Calibri"/>
          <w:lang w:val="en-GB"/>
        </w:rPr>
        <w:t>Pinochi</w:t>
      </w:r>
      <w:proofErr w:type="spellEnd"/>
      <w:r w:rsidRPr="003F1B0E">
        <w:rPr>
          <w:rFonts w:ascii="Calibri" w:hAnsi="Calibri"/>
          <w:lang w:val="en-GB"/>
        </w:rPr>
        <w:t xml:space="preserve">, D. (2009). Simultaneous Interpretation of Numbers: Comparing German and English to Italian. An Experimental Study. </w:t>
      </w:r>
      <w:r w:rsidRPr="003F1B0E">
        <w:rPr>
          <w:rFonts w:ascii="Calibri" w:hAnsi="Calibri"/>
          <w:i/>
          <w:iCs/>
          <w:lang w:val="en-GB"/>
        </w:rPr>
        <w:t>The Interpreters’ Newsletter</w:t>
      </w:r>
      <w:r w:rsidRPr="003F1B0E">
        <w:rPr>
          <w:rFonts w:ascii="Calibri" w:hAnsi="Calibri"/>
          <w:lang w:val="en-GB"/>
        </w:rPr>
        <w:t xml:space="preserve">, </w:t>
      </w:r>
      <w:r w:rsidRPr="003F1B0E">
        <w:rPr>
          <w:rFonts w:ascii="Calibri" w:hAnsi="Calibri"/>
          <w:iCs/>
          <w:lang w:val="en-GB"/>
        </w:rPr>
        <w:t>14</w:t>
      </w:r>
      <w:r w:rsidRPr="003F1B0E">
        <w:rPr>
          <w:rFonts w:ascii="Calibri" w:hAnsi="Calibri"/>
          <w:lang w:val="en-GB"/>
        </w:rPr>
        <w:t>, 33–57.</w:t>
      </w:r>
    </w:p>
    <w:p w14:paraId="7E45EC9A" w14:textId="0442BF16" w:rsidR="00781243" w:rsidRDefault="007B60A2" w:rsidP="000F6ADD">
      <w:pPr>
        <w:rPr>
          <w:rFonts w:ascii="Calibri" w:hAnsi="Calibri"/>
          <w:lang w:val="en-GB"/>
        </w:rPr>
      </w:pPr>
      <w:r w:rsidRPr="003F1B0E">
        <w:rPr>
          <w:rFonts w:ascii="Calibri" w:hAnsi="Calibri"/>
          <w:lang w:val="en-GB"/>
        </w:rPr>
        <w:t xml:space="preserve">Mead, P. (2015). Numbers. In F. </w:t>
      </w:r>
      <w:proofErr w:type="spellStart"/>
      <w:r w:rsidRPr="003F1B0E">
        <w:rPr>
          <w:rFonts w:ascii="Calibri" w:hAnsi="Calibri"/>
          <w:lang w:val="en-GB"/>
        </w:rPr>
        <w:t>Pöchhacker</w:t>
      </w:r>
      <w:proofErr w:type="spellEnd"/>
      <w:r w:rsidRPr="003F1B0E">
        <w:rPr>
          <w:rFonts w:ascii="Calibri" w:hAnsi="Calibri"/>
          <w:lang w:val="en-GB"/>
        </w:rPr>
        <w:t xml:space="preserve"> </w:t>
      </w:r>
      <w:r w:rsidR="00781243" w:rsidRPr="003F1B0E">
        <w:rPr>
          <w:rFonts w:ascii="Calibri" w:hAnsi="Calibri"/>
          <w:lang w:val="en-GB"/>
        </w:rPr>
        <w:t>(</w:t>
      </w:r>
      <w:r w:rsidRPr="003F1B0E">
        <w:rPr>
          <w:rFonts w:ascii="Calibri" w:hAnsi="Calibri"/>
          <w:lang w:val="en-GB"/>
        </w:rPr>
        <w:t>Ed.)</w:t>
      </w:r>
      <w:r w:rsidR="00781243" w:rsidRPr="003F1B0E">
        <w:rPr>
          <w:rFonts w:ascii="Calibri" w:hAnsi="Calibri"/>
          <w:lang w:val="en-GB"/>
        </w:rPr>
        <w:t xml:space="preserve"> </w:t>
      </w:r>
      <w:r w:rsidR="00781243" w:rsidRPr="003F1B0E">
        <w:rPr>
          <w:rFonts w:ascii="Calibri" w:hAnsi="Calibri"/>
          <w:i/>
          <w:lang w:val="en-GB"/>
        </w:rPr>
        <w:t xml:space="preserve">Routledge </w:t>
      </w:r>
      <w:proofErr w:type="spellStart"/>
      <w:r w:rsidR="00781243" w:rsidRPr="003F1B0E">
        <w:rPr>
          <w:rFonts w:ascii="Calibri" w:hAnsi="Calibri"/>
          <w:i/>
          <w:lang w:val="en-GB"/>
        </w:rPr>
        <w:t>Encyclopedia</w:t>
      </w:r>
      <w:proofErr w:type="spellEnd"/>
      <w:r w:rsidR="00781243" w:rsidRPr="003F1B0E">
        <w:rPr>
          <w:rFonts w:ascii="Calibri" w:hAnsi="Calibri"/>
          <w:i/>
          <w:lang w:val="en-GB"/>
        </w:rPr>
        <w:t xml:space="preserve"> of Interpreting Studies</w:t>
      </w:r>
      <w:r w:rsidRPr="003F1B0E">
        <w:rPr>
          <w:rFonts w:ascii="Calibri" w:hAnsi="Calibri"/>
          <w:lang w:val="en-GB"/>
        </w:rPr>
        <w:t xml:space="preserve"> (pp. 286-288)</w:t>
      </w:r>
      <w:r w:rsidR="00781243" w:rsidRPr="003F1B0E">
        <w:rPr>
          <w:rFonts w:ascii="Calibri" w:hAnsi="Calibri"/>
          <w:lang w:val="en-GB"/>
        </w:rPr>
        <w:t xml:space="preserve">. </w:t>
      </w:r>
      <w:r w:rsidR="00C359C3" w:rsidRPr="003F1B0E">
        <w:rPr>
          <w:rFonts w:ascii="Calibri" w:hAnsi="Calibri"/>
          <w:lang w:val="en-GB"/>
        </w:rPr>
        <w:t>Abingdon</w:t>
      </w:r>
      <w:r w:rsidR="00111DFF" w:rsidRPr="003F1B0E">
        <w:rPr>
          <w:rFonts w:ascii="Calibri" w:hAnsi="Calibri"/>
          <w:lang w:val="en-GB"/>
        </w:rPr>
        <w:t>/New York: Routledge</w:t>
      </w:r>
      <w:r w:rsidR="00F72064">
        <w:rPr>
          <w:rFonts w:ascii="Calibri" w:hAnsi="Calibri"/>
          <w:lang w:val="en-GB"/>
        </w:rPr>
        <w:t>.</w:t>
      </w:r>
    </w:p>
    <w:p w14:paraId="0FA95296" w14:textId="68681FE9" w:rsidR="00952718" w:rsidRPr="003F1B0E" w:rsidRDefault="00952718" w:rsidP="000F6ADD">
      <w:pPr>
        <w:rPr>
          <w:rFonts w:ascii="Calibri" w:hAnsi="Calibri"/>
          <w:lang w:val="en-GB"/>
        </w:rPr>
      </w:pPr>
      <w:proofErr w:type="spellStart"/>
      <w:r w:rsidRPr="00E103FF">
        <w:rPr>
          <w:rFonts w:ascii="Calibri" w:hAnsi="Calibri" w:cs="Calibri"/>
          <w:lang w:val="en-US"/>
        </w:rPr>
        <w:t>Seeber</w:t>
      </w:r>
      <w:proofErr w:type="spellEnd"/>
      <w:r w:rsidRPr="00E103FF">
        <w:rPr>
          <w:rFonts w:ascii="Calibri" w:hAnsi="Calibri" w:cs="Calibri"/>
          <w:lang w:val="en-US"/>
        </w:rPr>
        <w:t>, K</w:t>
      </w:r>
      <w:r>
        <w:rPr>
          <w:rFonts w:ascii="Calibri" w:hAnsi="Calibri" w:cs="Calibri"/>
          <w:lang w:val="en-US"/>
        </w:rPr>
        <w:t>. (</w:t>
      </w:r>
      <w:r w:rsidRPr="00E103FF">
        <w:rPr>
          <w:rFonts w:ascii="Calibri" w:hAnsi="Calibri" w:cs="Calibri"/>
          <w:lang w:val="en-US"/>
        </w:rPr>
        <w:t>20</w:t>
      </w:r>
      <w:r>
        <w:rPr>
          <w:rFonts w:ascii="Calibri" w:hAnsi="Calibri" w:cs="Calibri"/>
          <w:lang w:val="en-US"/>
        </w:rPr>
        <w:t>11)</w:t>
      </w:r>
      <w:r w:rsidRPr="00E103FF">
        <w:rPr>
          <w:rFonts w:ascii="Calibri" w:hAnsi="Calibri" w:cs="Calibri"/>
          <w:lang w:val="en-US"/>
        </w:rPr>
        <w:t>.</w:t>
      </w:r>
      <w:r w:rsidRPr="003F54AE">
        <w:rPr>
          <w:lang w:val="en-US"/>
        </w:rPr>
        <w:t xml:space="preserve"> Cognitive </w:t>
      </w:r>
      <w:r w:rsidR="000D11B7">
        <w:rPr>
          <w:lang w:val="en-US"/>
        </w:rPr>
        <w:t>L</w:t>
      </w:r>
      <w:r w:rsidRPr="003F54AE">
        <w:rPr>
          <w:lang w:val="en-US"/>
        </w:rPr>
        <w:t xml:space="preserve">oad in </w:t>
      </w:r>
      <w:r w:rsidR="000D11B7">
        <w:rPr>
          <w:lang w:val="en-US"/>
        </w:rPr>
        <w:t>S</w:t>
      </w:r>
      <w:r w:rsidRPr="003F54AE">
        <w:rPr>
          <w:lang w:val="en-US"/>
        </w:rPr>
        <w:t xml:space="preserve">imultaneous </w:t>
      </w:r>
      <w:r w:rsidR="000D11B7">
        <w:rPr>
          <w:lang w:val="en-US"/>
        </w:rPr>
        <w:t>I</w:t>
      </w:r>
      <w:r w:rsidRPr="003F54AE">
        <w:rPr>
          <w:lang w:val="en-US"/>
        </w:rPr>
        <w:t xml:space="preserve">nterpreting: Existing </w:t>
      </w:r>
      <w:r w:rsidR="000D11B7">
        <w:rPr>
          <w:lang w:val="en-US"/>
        </w:rPr>
        <w:t>T</w:t>
      </w:r>
      <w:r w:rsidRPr="003F54AE">
        <w:rPr>
          <w:lang w:val="en-US"/>
        </w:rPr>
        <w:t xml:space="preserve">heories – </w:t>
      </w:r>
      <w:r w:rsidR="000D11B7">
        <w:rPr>
          <w:lang w:val="en-US"/>
        </w:rPr>
        <w:t>N</w:t>
      </w:r>
      <w:r w:rsidRPr="003F54AE">
        <w:rPr>
          <w:lang w:val="en-US"/>
        </w:rPr>
        <w:t xml:space="preserve">ew </w:t>
      </w:r>
      <w:r w:rsidR="000D11B7">
        <w:rPr>
          <w:lang w:val="en-US"/>
        </w:rPr>
        <w:t>M</w:t>
      </w:r>
      <w:r w:rsidRPr="003F54AE">
        <w:rPr>
          <w:lang w:val="en-US"/>
        </w:rPr>
        <w:t>odels</w:t>
      </w:r>
      <w:r>
        <w:rPr>
          <w:lang w:val="en-US"/>
        </w:rPr>
        <w:t xml:space="preserve">. </w:t>
      </w:r>
      <w:r>
        <w:rPr>
          <w:i/>
          <w:lang w:val="en-US"/>
        </w:rPr>
        <w:t>Interpreting</w:t>
      </w:r>
      <w:r w:rsidRPr="00CE7291">
        <w:rPr>
          <w:i/>
          <w:lang w:val="en-US"/>
        </w:rPr>
        <w:t xml:space="preserve">, </w:t>
      </w:r>
      <w:r w:rsidRPr="00CE7291">
        <w:rPr>
          <w:lang w:val="en-US"/>
        </w:rPr>
        <w:t>13(2)</w:t>
      </w:r>
      <w:r>
        <w:rPr>
          <w:lang w:val="en-US"/>
        </w:rPr>
        <w:t>,</w:t>
      </w:r>
      <w:r w:rsidRPr="00CE7291">
        <w:rPr>
          <w:lang w:val="en-US"/>
        </w:rPr>
        <w:t xml:space="preserve"> 176-204.</w:t>
      </w:r>
    </w:p>
    <w:p w14:paraId="51E8838B" w14:textId="72944FDC" w:rsidR="000F6ADD" w:rsidRPr="003F1B0E" w:rsidRDefault="000F6ADD" w:rsidP="000F6ADD">
      <w:pPr>
        <w:rPr>
          <w:rFonts w:ascii="Calibri" w:hAnsi="Calibri"/>
          <w:lang w:val="en-US"/>
        </w:rPr>
      </w:pPr>
      <w:proofErr w:type="spellStart"/>
      <w:r w:rsidRPr="003F1B0E">
        <w:rPr>
          <w:rFonts w:ascii="Calibri" w:hAnsi="Calibri"/>
          <w:lang w:val="en-US"/>
        </w:rPr>
        <w:t>Seeber</w:t>
      </w:r>
      <w:proofErr w:type="spellEnd"/>
      <w:r w:rsidRPr="003F1B0E">
        <w:rPr>
          <w:rFonts w:ascii="Calibri" w:hAnsi="Calibri"/>
          <w:lang w:val="en-US"/>
        </w:rPr>
        <w:t>, K. (2015)</w:t>
      </w:r>
      <w:r w:rsidR="00174EFC" w:rsidRPr="003F1B0E">
        <w:rPr>
          <w:rFonts w:ascii="Calibri" w:hAnsi="Calibri"/>
          <w:lang w:val="en-US"/>
        </w:rPr>
        <w:t>.</w:t>
      </w:r>
      <w:r w:rsidR="00F72064">
        <w:rPr>
          <w:rFonts w:ascii="Calibri" w:hAnsi="Calibri"/>
          <w:lang w:val="en-US"/>
        </w:rPr>
        <w:t xml:space="preserve"> Simultaneous I</w:t>
      </w:r>
      <w:r w:rsidRPr="003F1B0E">
        <w:rPr>
          <w:rFonts w:ascii="Calibri" w:hAnsi="Calibri"/>
          <w:lang w:val="en-US"/>
        </w:rPr>
        <w:t xml:space="preserve">nterpreting. In H. </w:t>
      </w:r>
      <w:proofErr w:type="spellStart"/>
      <w:r w:rsidRPr="003F1B0E">
        <w:rPr>
          <w:rFonts w:ascii="Calibri" w:hAnsi="Calibri"/>
          <w:lang w:val="en-US"/>
        </w:rPr>
        <w:t>Mikkelsen</w:t>
      </w:r>
      <w:proofErr w:type="spellEnd"/>
      <w:r w:rsidRPr="003F1B0E">
        <w:rPr>
          <w:rFonts w:ascii="Calibri" w:hAnsi="Calibri"/>
          <w:lang w:val="en-US"/>
        </w:rPr>
        <w:t xml:space="preserve"> &amp; R. </w:t>
      </w:r>
      <w:proofErr w:type="spellStart"/>
      <w:r w:rsidRPr="003F1B0E">
        <w:rPr>
          <w:rFonts w:ascii="Calibri" w:hAnsi="Calibri"/>
          <w:lang w:val="en-US"/>
        </w:rPr>
        <w:t>Jourdenais</w:t>
      </w:r>
      <w:proofErr w:type="spellEnd"/>
      <w:r w:rsidRPr="003F1B0E">
        <w:rPr>
          <w:rFonts w:ascii="Calibri" w:hAnsi="Calibri"/>
          <w:lang w:val="en-US"/>
        </w:rPr>
        <w:t xml:space="preserve"> (eds.) </w:t>
      </w:r>
      <w:r w:rsidRPr="003F1B0E">
        <w:rPr>
          <w:rFonts w:ascii="Calibri" w:hAnsi="Calibri"/>
          <w:i/>
          <w:lang w:val="en-US"/>
        </w:rPr>
        <w:t>The Routledge Handbook of Interpreting</w:t>
      </w:r>
      <w:r w:rsidRPr="003F1B0E">
        <w:rPr>
          <w:rFonts w:ascii="Calibri" w:hAnsi="Calibri"/>
          <w:lang w:val="en-US"/>
        </w:rPr>
        <w:t>. Oxon/New York: Routledge.</w:t>
      </w:r>
    </w:p>
    <w:p w14:paraId="7A421EA0" w14:textId="2DBA244F" w:rsidR="0081288C" w:rsidRPr="00E60879" w:rsidRDefault="000F6ADD" w:rsidP="0081288C">
      <w:pPr>
        <w:rPr>
          <w:rFonts w:ascii="Calibri" w:hAnsi="Calibri"/>
          <w:lang w:val="fr-FR"/>
        </w:rPr>
      </w:pPr>
      <w:proofErr w:type="spellStart"/>
      <w:r w:rsidRPr="00E60879">
        <w:rPr>
          <w:rFonts w:ascii="Calibri" w:hAnsi="Calibri"/>
          <w:lang w:val="en-US"/>
        </w:rPr>
        <w:t>Seleskovitch</w:t>
      </w:r>
      <w:proofErr w:type="spellEnd"/>
      <w:r w:rsidRPr="00E60879">
        <w:rPr>
          <w:rFonts w:ascii="Calibri" w:hAnsi="Calibri"/>
          <w:lang w:val="en-US"/>
        </w:rPr>
        <w:t xml:space="preserve"> D. (1975)</w:t>
      </w:r>
      <w:r w:rsidR="00174EFC" w:rsidRPr="00E60879">
        <w:rPr>
          <w:rFonts w:ascii="Calibri" w:hAnsi="Calibri"/>
          <w:lang w:val="en-US"/>
        </w:rPr>
        <w:t>.</w:t>
      </w:r>
      <w:r w:rsidRPr="00E60879">
        <w:rPr>
          <w:rFonts w:ascii="Calibri" w:hAnsi="Calibri"/>
          <w:lang w:val="en-US"/>
        </w:rPr>
        <w:t xml:space="preserve"> </w:t>
      </w:r>
      <w:r w:rsidR="00F72064">
        <w:rPr>
          <w:rFonts w:ascii="Calibri" w:hAnsi="Calibri"/>
          <w:i/>
          <w:iCs/>
          <w:lang w:val="fr-FR"/>
        </w:rPr>
        <w:t>Langage, L</w:t>
      </w:r>
      <w:r w:rsidRPr="003F1B0E">
        <w:rPr>
          <w:rFonts w:ascii="Calibri" w:hAnsi="Calibri"/>
          <w:i/>
          <w:iCs/>
          <w:lang w:val="fr-FR"/>
        </w:rPr>
        <w:t>an</w:t>
      </w:r>
      <w:r w:rsidR="00F72064">
        <w:rPr>
          <w:rFonts w:ascii="Calibri" w:hAnsi="Calibri"/>
          <w:i/>
          <w:iCs/>
          <w:lang w:val="fr-FR"/>
        </w:rPr>
        <w:t>gue et M</w:t>
      </w:r>
      <w:r w:rsidRPr="003F1B0E">
        <w:rPr>
          <w:rFonts w:ascii="Calibri" w:hAnsi="Calibri"/>
          <w:i/>
          <w:iCs/>
          <w:lang w:val="fr-FR"/>
        </w:rPr>
        <w:t xml:space="preserve">émoire. </w:t>
      </w:r>
      <w:r w:rsidR="00F72064">
        <w:rPr>
          <w:rFonts w:ascii="Calibri" w:hAnsi="Calibri"/>
          <w:i/>
          <w:iCs/>
          <w:lang w:val="fr-BE"/>
        </w:rPr>
        <w:t>Etude de la Prise de N</w:t>
      </w:r>
      <w:r w:rsidRPr="003F1B0E">
        <w:rPr>
          <w:rFonts w:ascii="Calibri" w:hAnsi="Calibri"/>
          <w:i/>
          <w:iCs/>
          <w:lang w:val="fr-BE"/>
        </w:rPr>
        <w:t>otes</w:t>
      </w:r>
      <w:r w:rsidR="0081288C" w:rsidRPr="003F1B0E">
        <w:rPr>
          <w:rFonts w:ascii="Calibri" w:hAnsi="Calibri"/>
          <w:i/>
          <w:iCs/>
          <w:lang w:val="fr-BE"/>
        </w:rPr>
        <w:t xml:space="preserve"> </w:t>
      </w:r>
      <w:r w:rsidR="00F72064">
        <w:rPr>
          <w:rFonts w:ascii="Calibri" w:hAnsi="Calibri"/>
          <w:i/>
          <w:iCs/>
          <w:lang w:val="fr-BE"/>
        </w:rPr>
        <w:t xml:space="preserve">en </w:t>
      </w:r>
      <w:proofErr w:type="spellStart"/>
      <w:r w:rsidR="00F72064">
        <w:rPr>
          <w:rFonts w:ascii="Calibri" w:hAnsi="Calibri"/>
          <w:i/>
          <w:iCs/>
          <w:lang w:val="fr-BE"/>
        </w:rPr>
        <w:t>Interpretation</w:t>
      </w:r>
      <w:proofErr w:type="spellEnd"/>
      <w:r w:rsidR="00F72064">
        <w:rPr>
          <w:rFonts w:ascii="Calibri" w:hAnsi="Calibri"/>
          <w:i/>
          <w:iCs/>
          <w:lang w:val="fr-BE"/>
        </w:rPr>
        <w:t xml:space="preserve"> C</w:t>
      </w:r>
      <w:r w:rsidRPr="003F1B0E">
        <w:rPr>
          <w:rFonts w:ascii="Calibri" w:hAnsi="Calibri"/>
          <w:i/>
          <w:iCs/>
          <w:lang w:val="fr-BE"/>
        </w:rPr>
        <w:t>onsécutive</w:t>
      </w:r>
      <w:r w:rsidRPr="003F1B0E">
        <w:rPr>
          <w:rFonts w:ascii="Calibri" w:hAnsi="Calibri"/>
          <w:lang w:val="fr-BE"/>
        </w:rPr>
        <w:t xml:space="preserve">, Paris, </w:t>
      </w:r>
      <w:proofErr w:type="spellStart"/>
      <w:r w:rsidRPr="003F1B0E">
        <w:rPr>
          <w:rFonts w:ascii="Calibri" w:hAnsi="Calibri"/>
          <w:lang w:val="fr-BE"/>
        </w:rPr>
        <w:t>Minard</w:t>
      </w:r>
      <w:proofErr w:type="spellEnd"/>
      <w:r w:rsidRPr="003F1B0E">
        <w:rPr>
          <w:rFonts w:ascii="Calibri" w:hAnsi="Calibri"/>
          <w:lang w:val="fr-BE"/>
        </w:rPr>
        <w:t xml:space="preserve"> Lettres Modernes.</w:t>
      </w:r>
      <w:r w:rsidR="0081288C" w:rsidRPr="00E60879">
        <w:rPr>
          <w:rFonts w:ascii="Calibri" w:hAnsi="Calibri"/>
          <w:lang w:val="fr-FR"/>
        </w:rPr>
        <w:t xml:space="preserve"> </w:t>
      </w:r>
    </w:p>
    <w:p w14:paraId="0543C7CC" w14:textId="1FC92D44" w:rsidR="00174EFC" w:rsidRPr="003F1B0E" w:rsidRDefault="00174EFC" w:rsidP="000F6ADD">
      <w:pPr>
        <w:rPr>
          <w:rFonts w:ascii="Calibri" w:hAnsi="Calibri"/>
          <w:lang w:val="en-US"/>
        </w:rPr>
      </w:pPr>
      <w:proofErr w:type="spellStart"/>
      <w:r w:rsidRPr="003F1B0E">
        <w:rPr>
          <w:rFonts w:ascii="Calibri" w:hAnsi="Calibri"/>
          <w:lang w:val="en-US"/>
        </w:rPr>
        <w:t>Setton</w:t>
      </w:r>
      <w:proofErr w:type="spellEnd"/>
      <w:r w:rsidRPr="003F1B0E">
        <w:rPr>
          <w:rFonts w:ascii="Calibri" w:hAnsi="Calibri"/>
          <w:lang w:val="en-US"/>
        </w:rPr>
        <w:t xml:space="preserve">, R. (1999). </w:t>
      </w:r>
      <w:r w:rsidR="00F72064">
        <w:rPr>
          <w:rFonts w:ascii="Calibri" w:hAnsi="Calibri"/>
          <w:lang w:val="en-US"/>
        </w:rPr>
        <w:t>Simultaneous Interpretation. A Cognitive-Pragmatic A</w:t>
      </w:r>
      <w:r w:rsidRPr="003F1B0E">
        <w:rPr>
          <w:rFonts w:ascii="Calibri" w:hAnsi="Calibri"/>
          <w:lang w:val="en-US"/>
        </w:rPr>
        <w:t>nalysis. Amsterdam: Benjamins.</w:t>
      </w:r>
    </w:p>
    <w:p w14:paraId="767AC101" w14:textId="6E12387D" w:rsidR="006A3A3C" w:rsidRPr="00E60879" w:rsidRDefault="006A3A3C" w:rsidP="003F1B0E">
      <w:pPr>
        <w:rPr>
          <w:rFonts w:ascii="Calibri" w:hAnsi="Calibri"/>
          <w:lang w:val="de-DE"/>
        </w:rPr>
      </w:pPr>
      <w:proofErr w:type="spellStart"/>
      <w:r w:rsidRPr="003F1B0E">
        <w:rPr>
          <w:rFonts w:ascii="Calibri" w:hAnsi="Calibri"/>
          <w:lang w:val="en-US"/>
        </w:rPr>
        <w:t>Timarová</w:t>
      </w:r>
      <w:proofErr w:type="spellEnd"/>
      <w:r w:rsidRPr="003F1B0E">
        <w:rPr>
          <w:rFonts w:ascii="Calibri" w:hAnsi="Calibri"/>
          <w:lang w:val="en-US"/>
        </w:rPr>
        <w:t xml:space="preserve">, S. (2012). </w:t>
      </w:r>
      <w:r w:rsidRPr="003F1B0E">
        <w:rPr>
          <w:rFonts w:ascii="Calibri" w:hAnsi="Calibri"/>
          <w:iCs/>
          <w:lang w:val="en-US"/>
        </w:rPr>
        <w:t>Working Memory in Simultaneous Interpreting</w:t>
      </w:r>
      <w:r w:rsidRPr="003F1B0E">
        <w:rPr>
          <w:rFonts w:ascii="Calibri" w:hAnsi="Calibri"/>
          <w:lang w:val="en-US"/>
        </w:rPr>
        <w:t>.</w:t>
      </w:r>
      <w:r w:rsidR="003F1B0E">
        <w:rPr>
          <w:rFonts w:ascii="Calibri" w:hAnsi="Calibri"/>
          <w:lang w:val="en-US"/>
        </w:rPr>
        <w:t xml:space="preserve"> </w:t>
      </w:r>
      <w:proofErr w:type="spellStart"/>
      <w:r w:rsidR="003F1B0E" w:rsidRPr="00E60879">
        <w:rPr>
          <w:rFonts w:ascii="Calibri" w:hAnsi="Calibri"/>
          <w:lang w:val="de-DE"/>
        </w:rPr>
        <w:t>PhD</w:t>
      </w:r>
      <w:proofErr w:type="spellEnd"/>
      <w:r w:rsidR="003F1B0E" w:rsidRPr="00E60879">
        <w:rPr>
          <w:rFonts w:ascii="Calibri" w:hAnsi="Calibri"/>
          <w:lang w:val="de-DE"/>
        </w:rPr>
        <w:t xml:space="preserve"> </w:t>
      </w:r>
      <w:proofErr w:type="spellStart"/>
      <w:r w:rsidR="003F1B0E" w:rsidRPr="00E60879">
        <w:rPr>
          <w:rFonts w:ascii="Calibri" w:hAnsi="Calibri"/>
          <w:lang w:val="de-DE"/>
        </w:rPr>
        <w:t>thesis</w:t>
      </w:r>
      <w:proofErr w:type="spellEnd"/>
      <w:r w:rsidR="003F1B0E" w:rsidRPr="00E60879">
        <w:rPr>
          <w:rFonts w:ascii="Calibri" w:hAnsi="Calibri"/>
          <w:lang w:val="de-DE"/>
        </w:rPr>
        <w:t>.</w:t>
      </w:r>
      <w:r w:rsidRPr="00E60879">
        <w:rPr>
          <w:rFonts w:ascii="Calibri" w:hAnsi="Calibri"/>
          <w:lang w:val="de-DE"/>
        </w:rPr>
        <w:t xml:space="preserve"> </w:t>
      </w:r>
      <w:proofErr w:type="spellStart"/>
      <w:r w:rsidRPr="00E60879">
        <w:rPr>
          <w:rFonts w:ascii="Calibri" w:hAnsi="Calibri"/>
          <w:lang w:val="de-DE"/>
        </w:rPr>
        <w:t>Antwerp</w:t>
      </w:r>
      <w:proofErr w:type="spellEnd"/>
      <w:r w:rsidRPr="00E60879">
        <w:rPr>
          <w:rFonts w:ascii="Calibri" w:hAnsi="Calibri"/>
          <w:lang w:val="de-DE"/>
        </w:rPr>
        <w:t xml:space="preserve">: </w:t>
      </w:r>
      <w:proofErr w:type="spellStart"/>
      <w:r w:rsidRPr="00E60879">
        <w:rPr>
          <w:rFonts w:ascii="Calibri" w:hAnsi="Calibri"/>
          <w:lang w:val="de-DE"/>
        </w:rPr>
        <w:t>KULeuven</w:t>
      </w:r>
      <w:proofErr w:type="spellEnd"/>
      <w:r w:rsidRPr="00E60879">
        <w:rPr>
          <w:rFonts w:ascii="Calibri" w:hAnsi="Calibri"/>
          <w:lang w:val="de-DE"/>
        </w:rPr>
        <w:t>.</w:t>
      </w:r>
    </w:p>
    <w:p w14:paraId="27D59389" w14:textId="277D2582" w:rsidR="000F6ADD" w:rsidRPr="003F1B0E" w:rsidRDefault="00F72064" w:rsidP="000F6ADD">
      <w:pPr>
        <w:rPr>
          <w:rFonts w:ascii="Calibri" w:hAnsi="Calibri"/>
          <w:lang w:val="de-DE"/>
        </w:rPr>
      </w:pPr>
      <w:r>
        <w:rPr>
          <w:rFonts w:ascii="Calibri" w:hAnsi="Calibri"/>
          <w:lang w:val="de-DE"/>
        </w:rPr>
        <w:t>Will, M. (2015). Zur Eignung S</w:t>
      </w:r>
      <w:r w:rsidR="000F6ADD" w:rsidRPr="003F1B0E">
        <w:rPr>
          <w:rFonts w:ascii="Calibri" w:hAnsi="Calibri"/>
          <w:lang w:val="de-DE"/>
        </w:rPr>
        <w:t xml:space="preserve">imultanfähiger </w:t>
      </w:r>
      <w:proofErr w:type="spellStart"/>
      <w:r w:rsidR="000F6ADD" w:rsidRPr="003F1B0E">
        <w:rPr>
          <w:rFonts w:ascii="Calibri" w:hAnsi="Calibri"/>
          <w:lang w:val="de-DE"/>
        </w:rPr>
        <w:t>Terminologiesysteme</w:t>
      </w:r>
      <w:proofErr w:type="spellEnd"/>
      <w:r w:rsidR="000F6ADD" w:rsidRPr="003F1B0E">
        <w:rPr>
          <w:rFonts w:ascii="Calibri" w:hAnsi="Calibri"/>
          <w:lang w:val="de-DE"/>
        </w:rPr>
        <w:t xml:space="preserve"> für das Konferenzdolmetschen. </w:t>
      </w:r>
      <w:r w:rsidR="000F6ADD" w:rsidRPr="003F1B0E">
        <w:rPr>
          <w:rFonts w:ascii="Calibri" w:hAnsi="Calibri"/>
          <w:i/>
          <w:iCs/>
          <w:lang w:val="de-DE"/>
        </w:rPr>
        <w:t>Zeitschrift Für Translationswissenschaft Und Fachkommunikation</w:t>
      </w:r>
      <w:r w:rsidR="000F6ADD" w:rsidRPr="003F1B0E">
        <w:rPr>
          <w:rFonts w:ascii="Calibri" w:hAnsi="Calibri"/>
          <w:lang w:val="de-DE"/>
        </w:rPr>
        <w:t xml:space="preserve">, </w:t>
      </w:r>
      <w:r w:rsidR="000F6ADD" w:rsidRPr="003F1B0E">
        <w:rPr>
          <w:rFonts w:ascii="Calibri" w:hAnsi="Calibri"/>
          <w:i/>
          <w:iCs/>
          <w:lang w:val="de-DE"/>
        </w:rPr>
        <w:t>8</w:t>
      </w:r>
      <w:r w:rsidR="000F6ADD" w:rsidRPr="003F1B0E">
        <w:rPr>
          <w:rFonts w:ascii="Calibri" w:hAnsi="Calibri"/>
          <w:lang w:val="de-DE"/>
        </w:rPr>
        <w:t>(1), 179–201.</w:t>
      </w:r>
    </w:p>
    <w:p w14:paraId="2235C14F" w14:textId="12C481EE" w:rsidR="00E835A1" w:rsidRPr="003F1B0E" w:rsidRDefault="000F6ADD" w:rsidP="00C615E6">
      <w:pPr>
        <w:rPr>
          <w:rFonts w:ascii="Calibri" w:hAnsi="Calibri"/>
          <w:lang w:val="fr-BE"/>
        </w:rPr>
      </w:pPr>
      <w:proofErr w:type="spellStart"/>
      <w:r w:rsidRPr="003F1B0E">
        <w:rPr>
          <w:rFonts w:ascii="Calibri" w:hAnsi="Calibri"/>
          <w:lang w:val="de-DE"/>
        </w:rPr>
        <w:t>Yu</w:t>
      </w:r>
      <w:proofErr w:type="spellEnd"/>
      <w:r w:rsidRPr="003F1B0E">
        <w:rPr>
          <w:rFonts w:ascii="Calibri" w:hAnsi="Calibri"/>
          <w:lang w:val="de-DE"/>
        </w:rPr>
        <w:t xml:space="preserve">, D., &amp; Deng, L. (2016). </w:t>
      </w:r>
      <w:proofErr w:type="spellStart"/>
      <w:r w:rsidRPr="003F1B0E">
        <w:rPr>
          <w:rFonts w:ascii="Calibri" w:hAnsi="Calibri"/>
          <w:i/>
          <w:iCs/>
          <w:lang w:val="de-DE"/>
        </w:rPr>
        <w:t>Automatic</w:t>
      </w:r>
      <w:proofErr w:type="spellEnd"/>
      <w:r w:rsidRPr="003F1B0E">
        <w:rPr>
          <w:rFonts w:ascii="Calibri" w:hAnsi="Calibri"/>
          <w:i/>
          <w:iCs/>
          <w:lang w:val="de-DE"/>
        </w:rPr>
        <w:t xml:space="preserve"> Speech Recognition</w:t>
      </w:r>
      <w:r w:rsidRPr="003F1B0E">
        <w:rPr>
          <w:rFonts w:ascii="Calibri" w:hAnsi="Calibri"/>
          <w:lang w:val="de-DE"/>
        </w:rPr>
        <w:t xml:space="preserve"> (Signals an). </w:t>
      </w:r>
      <w:r w:rsidRPr="003F1B0E">
        <w:rPr>
          <w:rFonts w:ascii="Calibri" w:hAnsi="Calibri"/>
          <w:lang w:val="en-GB"/>
        </w:rPr>
        <w:t>London: Springer.</w:t>
      </w:r>
    </w:p>
    <w:sectPr w:rsidR="00E835A1" w:rsidRPr="003F1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B2F3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2F1EF9"/>
    <w:multiLevelType w:val="hybridMultilevel"/>
    <w:tmpl w:val="EF60D626"/>
    <w:lvl w:ilvl="0" w:tplc="D81EB2D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9E7EB4"/>
    <w:multiLevelType w:val="hybridMultilevel"/>
    <w:tmpl w:val="FB720B80"/>
    <w:lvl w:ilvl="0" w:tplc="D81EB2D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3002DD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980843"/>
    <w:multiLevelType w:val="hybridMultilevel"/>
    <w:tmpl w:val="21448B7C"/>
    <w:lvl w:ilvl="0" w:tplc="D81EB2D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2049D6"/>
    <w:multiLevelType w:val="hybridMultilevel"/>
    <w:tmpl w:val="8B2449D8"/>
    <w:lvl w:ilvl="0" w:tplc="A2E49E1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35815C20"/>
    <w:multiLevelType w:val="hybridMultilevel"/>
    <w:tmpl w:val="E9642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22B3949"/>
    <w:multiLevelType w:val="hybridMultilevel"/>
    <w:tmpl w:val="D9A89060"/>
    <w:lvl w:ilvl="0" w:tplc="D81EB2D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B2182C"/>
    <w:multiLevelType w:val="hybridMultilevel"/>
    <w:tmpl w:val="F31AB5F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7FB7A30"/>
    <w:multiLevelType w:val="hybridMultilevel"/>
    <w:tmpl w:val="B6CAFB90"/>
    <w:lvl w:ilvl="0" w:tplc="45C02FDE">
      <w:start w:val="9"/>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AF3E57"/>
    <w:multiLevelType w:val="hybridMultilevel"/>
    <w:tmpl w:val="86167FD8"/>
    <w:lvl w:ilvl="0" w:tplc="D81EB2DA">
      <w:start w:val="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AE0388"/>
    <w:multiLevelType w:val="hybridMultilevel"/>
    <w:tmpl w:val="5F50EC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2"/>
  </w:num>
  <w:num w:numId="5">
    <w:abstractNumId w:val="4"/>
  </w:num>
  <w:num w:numId="6">
    <w:abstractNumId w:val="10"/>
  </w:num>
  <w:num w:numId="7">
    <w:abstractNumId w:val="2"/>
  </w:num>
  <w:num w:numId="8">
    <w:abstractNumId w:val="5"/>
  </w:num>
  <w:num w:numId="9">
    <w:abstractNumId w:val="3"/>
  </w:num>
  <w:num w:numId="10">
    <w:abstractNumId w:val="8"/>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94"/>
    <w:rsid w:val="00005D47"/>
    <w:rsid w:val="0001266C"/>
    <w:rsid w:val="00032BED"/>
    <w:rsid w:val="000350C9"/>
    <w:rsid w:val="000458A4"/>
    <w:rsid w:val="00051EC8"/>
    <w:rsid w:val="00056F5B"/>
    <w:rsid w:val="00060585"/>
    <w:rsid w:val="00066283"/>
    <w:rsid w:val="00070636"/>
    <w:rsid w:val="00070CD1"/>
    <w:rsid w:val="00076C0C"/>
    <w:rsid w:val="0008264D"/>
    <w:rsid w:val="0009028F"/>
    <w:rsid w:val="000915FB"/>
    <w:rsid w:val="00093708"/>
    <w:rsid w:val="000946AE"/>
    <w:rsid w:val="00095CB7"/>
    <w:rsid w:val="000A2A5F"/>
    <w:rsid w:val="000A359D"/>
    <w:rsid w:val="000A76F3"/>
    <w:rsid w:val="000B05BC"/>
    <w:rsid w:val="000B150E"/>
    <w:rsid w:val="000C0FEB"/>
    <w:rsid w:val="000C251D"/>
    <w:rsid w:val="000C6E11"/>
    <w:rsid w:val="000D0656"/>
    <w:rsid w:val="000D11B7"/>
    <w:rsid w:val="000F19C5"/>
    <w:rsid w:val="000F3360"/>
    <w:rsid w:val="000F65DB"/>
    <w:rsid w:val="000F6ADD"/>
    <w:rsid w:val="000F6D2F"/>
    <w:rsid w:val="00105173"/>
    <w:rsid w:val="00111AD5"/>
    <w:rsid w:val="00111DFF"/>
    <w:rsid w:val="0012066D"/>
    <w:rsid w:val="00133CF1"/>
    <w:rsid w:val="00134240"/>
    <w:rsid w:val="0013595F"/>
    <w:rsid w:val="001360D2"/>
    <w:rsid w:val="00150B70"/>
    <w:rsid w:val="0015348A"/>
    <w:rsid w:val="00160568"/>
    <w:rsid w:val="00162559"/>
    <w:rsid w:val="00165E62"/>
    <w:rsid w:val="00171001"/>
    <w:rsid w:val="001739F6"/>
    <w:rsid w:val="00174617"/>
    <w:rsid w:val="00174E79"/>
    <w:rsid w:val="00174EFC"/>
    <w:rsid w:val="00177321"/>
    <w:rsid w:val="00186F60"/>
    <w:rsid w:val="0019308A"/>
    <w:rsid w:val="00193FBA"/>
    <w:rsid w:val="001A203B"/>
    <w:rsid w:val="001A4B38"/>
    <w:rsid w:val="001B2643"/>
    <w:rsid w:val="001B427E"/>
    <w:rsid w:val="001B5B66"/>
    <w:rsid w:val="001C040E"/>
    <w:rsid w:val="001C22E5"/>
    <w:rsid w:val="001C5AE2"/>
    <w:rsid w:val="001C71E3"/>
    <w:rsid w:val="001D0DEA"/>
    <w:rsid w:val="001D3BAD"/>
    <w:rsid w:val="001D5BF3"/>
    <w:rsid w:val="001D6E96"/>
    <w:rsid w:val="001E001F"/>
    <w:rsid w:val="001E20EF"/>
    <w:rsid w:val="001E49DF"/>
    <w:rsid w:val="001F0C04"/>
    <w:rsid w:val="001F4F25"/>
    <w:rsid w:val="0020470A"/>
    <w:rsid w:val="00207D1D"/>
    <w:rsid w:val="002200B1"/>
    <w:rsid w:val="0022043C"/>
    <w:rsid w:val="00220593"/>
    <w:rsid w:val="00220AF4"/>
    <w:rsid w:val="00221F81"/>
    <w:rsid w:val="0022737D"/>
    <w:rsid w:val="00230F75"/>
    <w:rsid w:val="00231A2B"/>
    <w:rsid w:val="00233B1A"/>
    <w:rsid w:val="002478D1"/>
    <w:rsid w:val="00254023"/>
    <w:rsid w:val="002552B8"/>
    <w:rsid w:val="00255470"/>
    <w:rsid w:val="002613BB"/>
    <w:rsid w:val="002709D7"/>
    <w:rsid w:val="00270FCC"/>
    <w:rsid w:val="00272DD5"/>
    <w:rsid w:val="0027401B"/>
    <w:rsid w:val="00274693"/>
    <w:rsid w:val="00283CAF"/>
    <w:rsid w:val="002857A6"/>
    <w:rsid w:val="00287945"/>
    <w:rsid w:val="00293356"/>
    <w:rsid w:val="00293A06"/>
    <w:rsid w:val="002A5BC6"/>
    <w:rsid w:val="002A76C1"/>
    <w:rsid w:val="002B0ED0"/>
    <w:rsid w:val="002B65A1"/>
    <w:rsid w:val="002B7E50"/>
    <w:rsid w:val="002C03C8"/>
    <w:rsid w:val="002D0E29"/>
    <w:rsid w:val="002D30F0"/>
    <w:rsid w:val="002D3D73"/>
    <w:rsid w:val="002E055A"/>
    <w:rsid w:val="002E15AD"/>
    <w:rsid w:val="002E3082"/>
    <w:rsid w:val="002E4636"/>
    <w:rsid w:val="002F24E1"/>
    <w:rsid w:val="002F770F"/>
    <w:rsid w:val="00303AC2"/>
    <w:rsid w:val="00303D34"/>
    <w:rsid w:val="00312274"/>
    <w:rsid w:val="00317076"/>
    <w:rsid w:val="003336AC"/>
    <w:rsid w:val="00334532"/>
    <w:rsid w:val="0033605A"/>
    <w:rsid w:val="00340569"/>
    <w:rsid w:val="0034371B"/>
    <w:rsid w:val="00350A6D"/>
    <w:rsid w:val="00353A0A"/>
    <w:rsid w:val="00354289"/>
    <w:rsid w:val="0035430F"/>
    <w:rsid w:val="00355690"/>
    <w:rsid w:val="00356CC4"/>
    <w:rsid w:val="0036112F"/>
    <w:rsid w:val="00373BF0"/>
    <w:rsid w:val="00374D3F"/>
    <w:rsid w:val="00376249"/>
    <w:rsid w:val="00383974"/>
    <w:rsid w:val="003849FA"/>
    <w:rsid w:val="003852F9"/>
    <w:rsid w:val="00385942"/>
    <w:rsid w:val="003867AD"/>
    <w:rsid w:val="00394FBF"/>
    <w:rsid w:val="00395529"/>
    <w:rsid w:val="003A14C3"/>
    <w:rsid w:val="003A2742"/>
    <w:rsid w:val="003A2A79"/>
    <w:rsid w:val="003A3FB2"/>
    <w:rsid w:val="003A4565"/>
    <w:rsid w:val="003C0F23"/>
    <w:rsid w:val="003C1097"/>
    <w:rsid w:val="003C4134"/>
    <w:rsid w:val="003C42FA"/>
    <w:rsid w:val="003D03D9"/>
    <w:rsid w:val="003E682E"/>
    <w:rsid w:val="003E71E7"/>
    <w:rsid w:val="003E73E8"/>
    <w:rsid w:val="003F1B0E"/>
    <w:rsid w:val="003F6028"/>
    <w:rsid w:val="00400B41"/>
    <w:rsid w:val="00400FD9"/>
    <w:rsid w:val="004010B2"/>
    <w:rsid w:val="004057B7"/>
    <w:rsid w:val="00412CDB"/>
    <w:rsid w:val="00414482"/>
    <w:rsid w:val="004156FA"/>
    <w:rsid w:val="004163B6"/>
    <w:rsid w:val="00424EE3"/>
    <w:rsid w:val="004251E7"/>
    <w:rsid w:val="004263AA"/>
    <w:rsid w:val="00435FC3"/>
    <w:rsid w:val="004367FD"/>
    <w:rsid w:val="00444EA3"/>
    <w:rsid w:val="00446693"/>
    <w:rsid w:val="00457094"/>
    <w:rsid w:val="00462E45"/>
    <w:rsid w:val="004653D0"/>
    <w:rsid w:val="00471B2C"/>
    <w:rsid w:val="0047396B"/>
    <w:rsid w:val="004772CE"/>
    <w:rsid w:val="0047771C"/>
    <w:rsid w:val="00482C41"/>
    <w:rsid w:val="00486C72"/>
    <w:rsid w:val="0049207D"/>
    <w:rsid w:val="004A01FE"/>
    <w:rsid w:val="004A02F8"/>
    <w:rsid w:val="004B1EBD"/>
    <w:rsid w:val="004B5C37"/>
    <w:rsid w:val="004B66CA"/>
    <w:rsid w:val="004C64BF"/>
    <w:rsid w:val="004D3299"/>
    <w:rsid w:val="004D434A"/>
    <w:rsid w:val="004E0016"/>
    <w:rsid w:val="004E3E2D"/>
    <w:rsid w:val="004E4292"/>
    <w:rsid w:val="004F1E76"/>
    <w:rsid w:val="004F4739"/>
    <w:rsid w:val="0050777C"/>
    <w:rsid w:val="00524A1C"/>
    <w:rsid w:val="00525859"/>
    <w:rsid w:val="00526C75"/>
    <w:rsid w:val="005272F5"/>
    <w:rsid w:val="00532ECB"/>
    <w:rsid w:val="00534C9B"/>
    <w:rsid w:val="00540500"/>
    <w:rsid w:val="00540D6E"/>
    <w:rsid w:val="00542E0E"/>
    <w:rsid w:val="005443EF"/>
    <w:rsid w:val="00560287"/>
    <w:rsid w:val="00561A44"/>
    <w:rsid w:val="00572E71"/>
    <w:rsid w:val="005763D7"/>
    <w:rsid w:val="00577947"/>
    <w:rsid w:val="0057797E"/>
    <w:rsid w:val="00593A04"/>
    <w:rsid w:val="00595999"/>
    <w:rsid w:val="005A15AD"/>
    <w:rsid w:val="005A60A8"/>
    <w:rsid w:val="005D4053"/>
    <w:rsid w:val="005D5EE0"/>
    <w:rsid w:val="005D61F0"/>
    <w:rsid w:val="005E3B1D"/>
    <w:rsid w:val="005F05E3"/>
    <w:rsid w:val="005F4AF6"/>
    <w:rsid w:val="006060DE"/>
    <w:rsid w:val="00626AB8"/>
    <w:rsid w:val="00630B20"/>
    <w:rsid w:val="006320AE"/>
    <w:rsid w:val="006436D6"/>
    <w:rsid w:val="00652FDC"/>
    <w:rsid w:val="00660CC9"/>
    <w:rsid w:val="0066222A"/>
    <w:rsid w:val="00663642"/>
    <w:rsid w:val="00663C7C"/>
    <w:rsid w:val="00664E13"/>
    <w:rsid w:val="00667C5B"/>
    <w:rsid w:val="006749A9"/>
    <w:rsid w:val="00680FF7"/>
    <w:rsid w:val="006823E6"/>
    <w:rsid w:val="00685FA0"/>
    <w:rsid w:val="00690A41"/>
    <w:rsid w:val="00691C81"/>
    <w:rsid w:val="00694CCD"/>
    <w:rsid w:val="006969A0"/>
    <w:rsid w:val="006A3A3C"/>
    <w:rsid w:val="006A7936"/>
    <w:rsid w:val="006A7C3D"/>
    <w:rsid w:val="006B1DAE"/>
    <w:rsid w:val="006B41B9"/>
    <w:rsid w:val="006C6B53"/>
    <w:rsid w:val="006D1B6A"/>
    <w:rsid w:val="006D67C2"/>
    <w:rsid w:val="006D6A6F"/>
    <w:rsid w:val="006E096A"/>
    <w:rsid w:val="006E2DA9"/>
    <w:rsid w:val="006E77A8"/>
    <w:rsid w:val="006F1DF3"/>
    <w:rsid w:val="006F28CC"/>
    <w:rsid w:val="006F2CFE"/>
    <w:rsid w:val="007056BE"/>
    <w:rsid w:val="00705A94"/>
    <w:rsid w:val="00706AD8"/>
    <w:rsid w:val="00707274"/>
    <w:rsid w:val="00712539"/>
    <w:rsid w:val="00716D40"/>
    <w:rsid w:val="0071779E"/>
    <w:rsid w:val="0072004F"/>
    <w:rsid w:val="00720720"/>
    <w:rsid w:val="007231DB"/>
    <w:rsid w:val="00723476"/>
    <w:rsid w:val="007356CA"/>
    <w:rsid w:val="0076067E"/>
    <w:rsid w:val="00760C58"/>
    <w:rsid w:val="007639BA"/>
    <w:rsid w:val="007644E8"/>
    <w:rsid w:val="00767DE4"/>
    <w:rsid w:val="00771075"/>
    <w:rsid w:val="0077137C"/>
    <w:rsid w:val="00776F16"/>
    <w:rsid w:val="00777AAB"/>
    <w:rsid w:val="00777F76"/>
    <w:rsid w:val="00780BF9"/>
    <w:rsid w:val="00781243"/>
    <w:rsid w:val="00782E5D"/>
    <w:rsid w:val="007871D0"/>
    <w:rsid w:val="00787AE0"/>
    <w:rsid w:val="007935EC"/>
    <w:rsid w:val="007941F3"/>
    <w:rsid w:val="00795492"/>
    <w:rsid w:val="007A3B5A"/>
    <w:rsid w:val="007A577E"/>
    <w:rsid w:val="007A5B14"/>
    <w:rsid w:val="007A6A53"/>
    <w:rsid w:val="007B60A2"/>
    <w:rsid w:val="007C0D7D"/>
    <w:rsid w:val="007D0C11"/>
    <w:rsid w:val="007D1A16"/>
    <w:rsid w:val="007D42AD"/>
    <w:rsid w:val="007D5E70"/>
    <w:rsid w:val="007E1232"/>
    <w:rsid w:val="007E768D"/>
    <w:rsid w:val="007F0FCD"/>
    <w:rsid w:val="007F7453"/>
    <w:rsid w:val="007F7A28"/>
    <w:rsid w:val="00801ECB"/>
    <w:rsid w:val="00805E2B"/>
    <w:rsid w:val="00810A49"/>
    <w:rsid w:val="0081288C"/>
    <w:rsid w:val="008143FB"/>
    <w:rsid w:val="008227E4"/>
    <w:rsid w:val="00824A61"/>
    <w:rsid w:val="0082598A"/>
    <w:rsid w:val="008427FC"/>
    <w:rsid w:val="00843E8F"/>
    <w:rsid w:val="0085086B"/>
    <w:rsid w:val="00862DDA"/>
    <w:rsid w:val="008642CA"/>
    <w:rsid w:val="00867F37"/>
    <w:rsid w:val="00874376"/>
    <w:rsid w:val="008743A0"/>
    <w:rsid w:val="0089122B"/>
    <w:rsid w:val="00894445"/>
    <w:rsid w:val="008A0BED"/>
    <w:rsid w:val="008A1CE7"/>
    <w:rsid w:val="008A423F"/>
    <w:rsid w:val="008A4B62"/>
    <w:rsid w:val="008A7571"/>
    <w:rsid w:val="008B287B"/>
    <w:rsid w:val="008B2F70"/>
    <w:rsid w:val="008C2C5E"/>
    <w:rsid w:val="008C5539"/>
    <w:rsid w:val="008C6B61"/>
    <w:rsid w:val="008E7A8A"/>
    <w:rsid w:val="008F40D1"/>
    <w:rsid w:val="008F7638"/>
    <w:rsid w:val="009045FC"/>
    <w:rsid w:val="00904A89"/>
    <w:rsid w:val="00911370"/>
    <w:rsid w:val="0091318F"/>
    <w:rsid w:val="00913D86"/>
    <w:rsid w:val="009173F6"/>
    <w:rsid w:val="009216A1"/>
    <w:rsid w:val="00922DD3"/>
    <w:rsid w:val="009277EF"/>
    <w:rsid w:val="00930267"/>
    <w:rsid w:val="00932635"/>
    <w:rsid w:val="00932641"/>
    <w:rsid w:val="009350A4"/>
    <w:rsid w:val="00940EB1"/>
    <w:rsid w:val="00944EFB"/>
    <w:rsid w:val="00947521"/>
    <w:rsid w:val="00947DB2"/>
    <w:rsid w:val="00950048"/>
    <w:rsid w:val="0095166D"/>
    <w:rsid w:val="00952718"/>
    <w:rsid w:val="00953994"/>
    <w:rsid w:val="00953A00"/>
    <w:rsid w:val="00953FF3"/>
    <w:rsid w:val="00954639"/>
    <w:rsid w:val="00964758"/>
    <w:rsid w:val="00965852"/>
    <w:rsid w:val="0096726F"/>
    <w:rsid w:val="009754C7"/>
    <w:rsid w:val="00976375"/>
    <w:rsid w:val="009826D6"/>
    <w:rsid w:val="009960A2"/>
    <w:rsid w:val="009A3011"/>
    <w:rsid w:val="009A5AC2"/>
    <w:rsid w:val="009A5D27"/>
    <w:rsid w:val="009A7869"/>
    <w:rsid w:val="009A7BE2"/>
    <w:rsid w:val="009B0E2E"/>
    <w:rsid w:val="009C444D"/>
    <w:rsid w:val="009C53E8"/>
    <w:rsid w:val="009D04A6"/>
    <w:rsid w:val="009D1CA6"/>
    <w:rsid w:val="009E0FF8"/>
    <w:rsid w:val="009E1064"/>
    <w:rsid w:val="009E4686"/>
    <w:rsid w:val="009F2E0F"/>
    <w:rsid w:val="009F66B5"/>
    <w:rsid w:val="009F7F7A"/>
    <w:rsid w:val="00A01C07"/>
    <w:rsid w:val="00A1478E"/>
    <w:rsid w:val="00A14A1B"/>
    <w:rsid w:val="00A23962"/>
    <w:rsid w:val="00A25E01"/>
    <w:rsid w:val="00A37253"/>
    <w:rsid w:val="00A4223D"/>
    <w:rsid w:val="00A45BAB"/>
    <w:rsid w:val="00A477E9"/>
    <w:rsid w:val="00A5067F"/>
    <w:rsid w:val="00A54407"/>
    <w:rsid w:val="00A57492"/>
    <w:rsid w:val="00A57AC5"/>
    <w:rsid w:val="00A6297D"/>
    <w:rsid w:val="00A6381D"/>
    <w:rsid w:val="00A66C40"/>
    <w:rsid w:val="00A83CF8"/>
    <w:rsid w:val="00A85077"/>
    <w:rsid w:val="00A86190"/>
    <w:rsid w:val="00A941C6"/>
    <w:rsid w:val="00AA1525"/>
    <w:rsid w:val="00AA333C"/>
    <w:rsid w:val="00AA3C4E"/>
    <w:rsid w:val="00AA7816"/>
    <w:rsid w:val="00AB05C2"/>
    <w:rsid w:val="00AB2F65"/>
    <w:rsid w:val="00AB3432"/>
    <w:rsid w:val="00AB50F7"/>
    <w:rsid w:val="00AB5777"/>
    <w:rsid w:val="00AB6563"/>
    <w:rsid w:val="00AB65FE"/>
    <w:rsid w:val="00AC281F"/>
    <w:rsid w:val="00AD2AA4"/>
    <w:rsid w:val="00AD3564"/>
    <w:rsid w:val="00AD3FF0"/>
    <w:rsid w:val="00AD40C2"/>
    <w:rsid w:val="00AD6D62"/>
    <w:rsid w:val="00AE0938"/>
    <w:rsid w:val="00AE44AE"/>
    <w:rsid w:val="00AF4DF5"/>
    <w:rsid w:val="00AF5AEA"/>
    <w:rsid w:val="00AF7D32"/>
    <w:rsid w:val="00B00DBB"/>
    <w:rsid w:val="00B02BD6"/>
    <w:rsid w:val="00B10389"/>
    <w:rsid w:val="00B12EBB"/>
    <w:rsid w:val="00B20674"/>
    <w:rsid w:val="00B25421"/>
    <w:rsid w:val="00B25871"/>
    <w:rsid w:val="00B279B2"/>
    <w:rsid w:val="00B32120"/>
    <w:rsid w:val="00B3495E"/>
    <w:rsid w:val="00B40BE7"/>
    <w:rsid w:val="00B41901"/>
    <w:rsid w:val="00B41B42"/>
    <w:rsid w:val="00B46BFF"/>
    <w:rsid w:val="00B52C83"/>
    <w:rsid w:val="00B62398"/>
    <w:rsid w:val="00B6517C"/>
    <w:rsid w:val="00B66717"/>
    <w:rsid w:val="00B71B7A"/>
    <w:rsid w:val="00B75DF9"/>
    <w:rsid w:val="00B824E0"/>
    <w:rsid w:val="00B84270"/>
    <w:rsid w:val="00B8531D"/>
    <w:rsid w:val="00B85ABE"/>
    <w:rsid w:val="00B87575"/>
    <w:rsid w:val="00B941E2"/>
    <w:rsid w:val="00B9642B"/>
    <w:rsid w:val="00BA3DCE"/>
    <w:rsid w:val="00BB6C1E"/>
    <w:rsid w:val="00BB7D61"/>
    <w:rsid w:val="00BD1C15"/>
    <w:rsid w:val="00BD2012"/>
    <w:rsid w:val="00BD41BF"/>
    <w:rsid w:val="00BD6E26"/>
    <w:rsid w:val="00BD6EF8"/>
    <w:rsid w:val="00BE21C5"/>
    <w:rsid w:val="00C10E7B"/>
    <w:rsid w:val="00C15383"/>
    <w:rsid w:val="00C21FD0"/>
    <w:rsid w:val="00C25EF8"/>
    <w:rsid w:val="00C310A0"/>
    <w:rsid w:val="00C31640"/>
    <w:rsid w:val="00C359C3"/>
    <w:rsid w:val="00C37471"/>
    <w:rsid w:val="00C40830"/>
    <w:rsid w:val="00C509A9"/>
    <w:rsid w:val="00C527DF"/>
    <w:rsid w:val="00C615E6"/>
    <w:rsid w:val="00C64E8D"/>
    <w:rsid w:val="00C810BA"/>
    <w:rsid w:val="00C815B9"/>
    <w:rsid w:val="00C82075"/>
    <w:rsid w:val="00C82876"/>
    <w:rsid w:val="00C94614"/>
    <w:rsid w:val="00C957E2"/>
    <w:rsid w:val="00CA0547"/>
    <w:rsid w:val="00CA2526"/>
    <w:rsid w:val="00CB3B50"/>
    <w:rsid w:val="00CC64B7"/>
    <w:rsid w:val="00CD09BE"/>
    <w:rsid w:val="00CD2722"/>
    <w:rsid w:val="00CD76CD"/>
    <w:rsid w:val="00CE0B2E"/>
    <w:rsid w:val="00CE15DA"/>
    <w:rsid w:val="00CE57B3"/>
    <w:rsid w:val="00CE681F"/>
    <w:rsid w:val="00CF5ADB"/>
    <w:rsid w:val="00D04F42"/>
    <w:rsid w:val="00D05603"/>
    <w:rsid w:val="00D327EC"/>
    <w:rsid w:val="00D335DF"/>
    <w:rsid w:val="00D35787"/>
    <w:rsid w:val="00D37B8B"/>
    <w:rsid w:val="00D41C56"/>
    <w:rsid w:val="00D428C7"/>
    <w:rsid w:val="00D43AE5"/>
    <w:rsid w:val="00D4677A"/>
    <w:rsid w:val="00D65A77"/>
    <w:rsid w:val="00D66128"/>
    <w:rsid w:val="00D676BF"/>
    <w:rsid w:val="00D708EB"/>
    <w:rsid w:val="00D8033D"/>
    <w:rsid w:val="00D8190F"/>
    <w:rsid w:val="00D86355"/>
    <w:rsid w:val="00D91163"/>
    <w:rsid w:val="00D92022"/>
    <w:rsid w:val="00D92239"/>
    <w:rsid w:val="00D937ED"/>
    <w:rsid w:val="00DA2008"/>
    <w:rsid w:val="00DA253A"/>
    <w:rsid w:val="00DA2E0D"/>
    <w:rsid w:val="00DA4404"/>
    <w:rsid w:val="00DA71FF"/>
    <w:rsid w:val="00DB1095"/>
    <w:rsid w:val="00DB1A07"/>
    <w:rsid w:val="00DC0D62"/>
    <w:rsid w:val="00DC5B62"/>
    <w:rsid w:val="00DC65C4"/>
    <w:rsid w:val="00DD69CD"/>
    <w:rsid w:val="00DE29D4"/>
    <w:rsid w:val="00DE3ECA"/>
    <w:rsid w:val="00DE5E0D"/>
    <w:rsid w:val="00DF18FF"/>
    <w:rsid w:val="00DF3E3A"/>
    <w:rsid w:val="00E028EB"/>
    <w:rsid w:val="00E16999"/>
    <w:rsid w:val="00E179DD"/>
    <w:rsid w:val="00E22F82"/>
    <w:rsid w:val="00E26AED"/>
    <w:rsid w:val="00E442B5"/>
    <w:rsid w:val="00E5197A"/>
    <w:rsid w:val="00E553C0"/>
    <w:rsid w:val="00E60879"/>
    <w:rsid w:val="00E61DBB"/>
    <w:rsid w:val="00E65A83"/>
    <w:rsid w:val="00E65C17"/>
    <w:rsid w:val="00E71B9A"/>
    <w:rsid w:val="00E740C1"/>
    <w:rsid w:val="00E835A1"/>
    <w:rsid w:val="00E92D51"/>
    <w:rsid w:val="00E96AFA"/>
    <w:rsid w:val="00E96EA7"/>
    <w:rsid w:val="00EA2407"/>
    <w:rsid w:val="00EA35D6"/>
    <w:rsid w:val="00EA5E60"/>
    <w:rsid w:val="00EB18EB"/>
    <w:rsid w:val="00EC5F66"/>
    <w:rsid w:val="00ED1EF1"/>
    <w:rsid w:val="00ED407C"/>
    <w:rsid w:val="00EE0122"/>
    <w:rsid w:val="00EE5773"/>
    <w:rsid w:val="00EF0C61"/>
    <w:rsid w:val="00EF515A"/>
    <w:rsid w:val="00EF5638"/>
    <w:rsid w:val="00EF7CD5"/>
    <w:rsid w:val="00F02629"/>
    <w:rsid w:val="00F05BD9"/>
    <w:rsid w:val="00F070D6"/>
    <w:rsid w:val="00F104CD"/>
    <w:rsid w:val="00F10524"/>
    <w:rsid w:val="00F12F38"/>
    <w:rsid w:val="00F1567C"/>
    <w:rsid w:val="00F22C5D"/>
    <w:rsid w:val="00F2716D"/>
    <w:rsid w:val="00F30DA2"/>
    <w:rsid w:val="00F359D4"/>
    <w:rsid w:val="00F47E3C"/>
    <w:rsid w:val="00F52155"/>
    <w:rsid w:val="00F55CEC"/>
    <w:rsid w:val="00F579E4"/>
    <w:rsid w:val="00F60C45"/>
    <w:rsid w:val="00F61265"/>
    <w:rsid w:val="00F67D50"/>
    <w:rsid w:val="00F70F1E"/>
    <w:rsid w:val="00F72064"/>
    <w:rsid w:val="00F7607E"/>
    <w:rsid w:val="00F77DB3"/>
    <w:rsid w:val="00F82DAE"/>
    <w:rsid w:val="00F840F1"/>
    <w:rsid w:val="00F91076"/>
    <w:rsid w:val="00F95216"/>
    <w:rsid w:val="00F97CE8"/>
    <w:rsid w:val="00FA011A"/>
    <w:rsid w:val="00FA14B2"/>
    <w:rsid w:val="00FA3A44"/>
    <w:rsid w:val="00FA46F7"/>
    <w:rsid w:val="00FA5CFD"/>
    <w:rsid w:val="00FB7BF9"/>
    <w:rsid w:val="00FC2FE7"/>
    <w:rsid w:val="00FD13B6"/>
    <w:rsid w:val="00FD154C"/>
    <w:rsid w:val="00FD39A5"/>
    <w:rsid w:val="00FD4D66"/>
    <w:rsid w:val="00FD5AA9"/>
    <w:rsid w:val="00FD612A"/>
    <w:rsid w:val="00FE1ED0"/>
    <w:rsid w:val="00FE6F88"/>
    <w:rsid w:val="00FF4F54"/>
    <w:rsid w:val="00FF6090"/>
    <w:rsid w:val="00FF60CC"/>
    <w:rsid w:val="00FF76CB"/>
  </w:rsids>
  <m:mathPr>
    <m:mathFont m:val="Cambria Math"/>
    <m:brkBin m:val="before"/>
    <m:brkBinSub m:val="--"/>
    <m:smallFrac m:val="0"/>
    <m:dispDef/>
    <m:lMargin m:val="0"/>
    <m:rMargin m:val="0"/>
    <m:defJc m:val="centerGroup"/>
    <m:wrapIndent m:val="1440"/>
    <m:intLim m:val="subSup"/>
    <m:naryLim m:val="undOvr"/>
  </m:mathPr>
  <w:themeFontLang w:val="nl-BE"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9AD8"/>
  <w15:chartTrackingRefBased/>
  <w15:docId w15:val="{5904780F-3BDC-49B0-BDED-BAC808A5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03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Heading2">
    <w:name w:val="heading 2"/>
    <w:basedOn w:val="Normal"/>
    <w:link w:val="Heading2Char"/>
    <w:uiPriority w:val="9"/>
    <w:qFormat/>
    <w:rsid w:val="00303AC2"/>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Heading3">
    <w:name w:val="heading 3"/>
    <w:basedOn w:val="Normal"/>
    <w:next w:val="Normal"/>
    <w:link w:val="Heading3Char"/>
    <w:uiPriority w:val="9"/>
    <w:unhideWhenUsed/>
    <w:qFormat/>
    <w:rsid w:val="002200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9A5"/>
    <w:pPr>
      <w:ind w:left="720"/>
      <w:contextualSpacing/>
    </w:pPr>
  </w:style>
  <w:style w:type="character" w:customStyle="1" w:styleId="Heading1Char">
    <w:name w:val="Heading 1 Char"/>
    <w:basedOn w:val="DefaultParagraphFont"/>
    <w:link w:val="Heading1"/>
    <w:uiPriority w:val="9"/>
    <w:rsid w:val="00303AC2"/>
    <w:rPr>
      <w:rFonts w:ascii="Times New Roman" w:eastAsia="Times New Roman" w:hAnsi="Times New Roman" w:cs="Times New Roman"/>
      <w:b/>
      <w:bCs/>
      <w:kern w:val="36"/>
      <w:sz w:val="48"/>
      <w:szCs w:val="48"/>
      <w:lang w:eastAsia="nl-BE"/>
    </w:rPr>
  </w:style>
  <w:style w:type="character" w:customStyle="1" w:styleId="Heading2Char">
    <w:name w:val="Heading 2 Char"/>
    <w:basedOn w:val="DefaultParagraphFont"/>
    <w:link w:val="Heading2"/>
    <w:uiPriority w:val="9"/>
    <w:rsid w:val="00303AC2"/>
    <w:rPr>
      <w:rFonts w:ascii="Times New Roman" w:eastAsia="Times New Roman" w:hAnsi="Times New Roman" w:cs="Times New Roman"/>
      <w:b/>
      <w:bCs/>
      <w:sz w:val="36"/>
      <w:szCs w:val="36"/>
      <w:lang w:eastAsia="nl-BE"/>
    </w:rPr>
  </w:style>
  <w:style w:type="character" w:styleId="Hyperlink">
    <w:name w:val="Hyperlink"/>
    <w:basedOn w:val="DefaultParagraphFont"/>
    <w:uiPriority w:val="99"/>
    <w:unhideWhenUsed/>
    <w:rsid w:val="00303AC2"/>
    <w:rPr>
      <w:color w:val="0000FF"/>
      <w:u w:val="single"/>
    </w:rPr>
  </w:style>
  <w:style w:type="character" w:customStyle="1" w:styleId="pipe">
    <w:name w:val="pipe"/>
    <w:basedOn w:val="DefaultParagraphFont"/>
    <w:rsid w:val="00303AC2"/>
  </w:style>
  <w:style w:type="paragraph" w:styleId="NormalWeb">
    <w:name w:val="Normal (Web)"/>
    <w:basedOn w:val="Normal"/>
    <w:uiPriority w:val="99"/>
    <w:semiHidden/>
    <w:unhideWhenUsed/>
    <w:rsid w:val="00303AC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CommentReference">
    <w:name w:val="annotation reference"/>
    <w:basedOn w:val="DefaultParagraphFont"/>
    <w:uiPriority w:val="99"/>
    <w:semiHidden/>
    <w:unhideWhenUsed/>
    <w:rsid w:val="00CA0547"/>
    <w:rPr>
      <w:sz w:val="18"/>
      <w:szCs w:val="18"/>
    </w:rPr>
  </w:style>
  <w:style w:type="paragraph" w:styleId="CommentText">
    <w:name w:val="annotation text"/>
    <w:basedOn w:val="Normal"/>
    <w:link w:val="CommentTextChar"/>
    <w:uiPriority w:val="99"/>
    <w:semiHidden/>
    <w:unhideWhenUsed/>
    <w:rsid w:val="00CA0547"/>
    <w:pPr>
      <w:spacing w:line="240" w:lineRule="auto"/>
    </w:pPr>
    <w:rPr>
      <w:sz w:val="24"/>
      <w:szCs w:val="24"/>
    </w:rPr>
  </w:style>
  <w:style w:type="character" w:customStyle="1" w:styleId="CommentTextChar">
    <w:name w:val="Comment Text Char"/>
    <w:basedOn w:val="DefaultParagraphFont"/>
    <w:link w:val="CommentText"/>
    <w:uiPriority w:val="99"/>
    <w:semiHidden/>
    <w:rsid w:val="00CA0547"/>
    <w:rPr>
      <w:sz w:val="24"/>
      <w:szCs w:val="24"/>
    </w:rPr>
  </w:style>
  <w:style w:type="paragraph" w:styleId="CommentSubject">
    <w:name w:val="annotation subject"/>
    <w:basedOn w:val="CommentText"/>
    <w:next w:val="CommentText"/>
    <w:link w:val="CommentSubjectChar"/>
    <w:uiPriority w:val="99"/>
    <w:semiHidden/>
    <w:unhideWhenUsed/>
    <w:rsid w:val="00CA0547"/>
    <w:rPr>
      <w:b/>
      <w:bCs/>
      <w:sz w:val="20"/>
      <w:szCs w:val="20"/>
    </w:rPr>
  </w:style>
  <w:style w:type="character" w:customStyle="1" w:styleId="CommentSubjectChar">
    <w:name w:val="Comment Subject Char"/>
    <w:basedOn w:val="CommentTextChar"/>
    <w:link w:val="CommentSubject"/>
    <w:uiPriority w:val="99"/>
    <w:semiHidden/>
    <w:rsid w:val="00CA0547"/>
    <w:rPr>
      <w:b/>
      <w:bCs/>
      <w:sz w:val="20"/>
      <w:szCs w:val="20"/>
    </w:rPr>
  </w:style>
  <w:style w:type="paragraph" w:styleId="BalloonText">
    <w:name w:val="Balloon Text"/>
    <w:basedOn w:val="Normal"/>
    <w:link w:val="BalloonTextChar"/>
    <w:uiPriority w:val="99"/>
    <w:semiHidden/>
    <w:unhideWhenUsed/>
    <w:rsid w:val="00CA05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547"/>
    <w:rPr>
      <w:rFonts w:ascii="Times New Roman" w:hAnsi="Times New Roman" w:cs="Times New Roman"/>
      <w:sz w:val="18"/>
      <w:szCs w:val="18"/>
    </w:rPr>
  </w:style>
  <w:style w:type="paragraph" w:styleId="Title">
    <w:name w:val="Title"/>
    <w:basedOn w:val="Normal"/>
    <w:next w:val="Normal"/>
    <w:link w:val="TitleChar"/>
    <w:uiPriority w:val="10"/>
    <w:qFormat/>
    <w:rsid w:val="00776F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F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6F1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200B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D40C2"/>
    <w:pPr>
      <w:spacing w:after="200" w:line="240" w:lineRule="auto"/>
    </w:pPr>
    <w:rPr>
      <w:i/>
      <w:iCs/>
      <w:color w:val="44546A" w:themeColor="text2"/>
      <w:sz w:val="18"/>
      <w:szCs w:val="18"/>
    </w:rPr>
  </w:style>
  <w:style w:type="paragraph" w:customStyle="1" w:styleId="Default">
    <w:name w:val="Default"/>
    <w:rsid w:val="00EE5773"/>
    <w:pPr>
      <w:autoSpaceDE w:val="0"/>
      <w:autoSpaceDN w:val="0"/>
      <w:adjustRightInd w:val="0"/>
      <w:spacing w:after="0" w:line="240" w:lineRule="auto"/>
    </w:pPr>
    <w:rPr>
      <w:rFonts w:ascii="Times New Roman" w:hAnsi="Times New Roman" w:cs="Times New Roman"/>
      <w:color w:val="000000"/>
      <w:sz w:val="24"/>
      <w:szCs w:val="24"/>
    </w:rPr>
  </w:style>
  <w:style w:type="character" w:styleId="FootnoteReference">
    <w:name w:val="footnote reference"/>
    <w:aliases w:val="Footnote symbol,Times 10 Point,Exposant 3 Point,Footnote reference number,Ref,de nota al pie,note TESI,SUPERS,EN Footnote text,EN Footnote Reference,Footnote Reference_LVL6,Footnote Reference_LVL61,Footnote number,f1"/>
    <w:basedOn w:val="DefaultParagraphFont"/>
    <w:uiPriority w:val="99"/>
    <w:rsid w:val="00231A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23979">
      <w:bodyDiv w:val="1"/>
      <w:marLeft w:val="0"/>
      <w:marRight w:val="0"/>
      <w:marTop w:val="0"/>
      <w:marBottom w:val="0"/>
      <w:divBdr>
        <w:top w:val="none" w:sz="0" w:space="0" w:color="auto"/>
        <w:left w:val="none" w:sz="0" w:space="0" w:color="auto"/>
        <w:bottom w:val="none" w:sz="0" w:space="0" w:color="auto"/>
        <w:right w:val="none" w:sz="0" w:space="0" w:color="auto"/>
      </w:divBdr>
    </w:div>
    <w:div w:id="516504718">
      <w:bodyDiv w:val="1"/>
      <w:marLeft w:val="0"/>
      <w:marRight w:val="0"/>
      <w:marTop w:val="0"/>
      <w:marBottom w:val="0"/>
      <w:divBdr>
        <w:top w:val="none" w:sz="0" w:space="0" w:color="auto"/>
        <w:left w:val="none" w:sz="0" w:space="0" w:color="auto"/>
        <w:bottom w:val="none" w:sz="0" w:space="0" w:color="auto"/>
        <w:right w:val="none" w:sz="0" w:space="0" w:color="auto"/>
      </w:divBdr>
    </w:div>
    <w:div w:id="1189948244">
      <w:bodyDiv w:val="1"/>
      <w:marLeft w:val="0"/>
      <w:marRight w:val="0"/>
      <w:marTop w:val="0"/>
      <w:marBottom w:val="0"/>
      <w:divBdr>
        <w:top w:val="none" w:sz="0" w:space="0" w:color="auto"/>
        <w:left w:val="none" w:sz="0" w:space="0" w:color="auto"/>
        <w:bottom w:val="none" w:sz="0" w:space="0" w:color="auto"/>
        <w:right w:val="none" w:sz="0" w:space="0" w:color="auto"/>
      </w:divBdr>
      <w:divsChild>
        <w:div w:id="29183494">
          <w:marLeft w:val="0"/>
          <w:marRight w:val="0"/>
          <w:marTop w:val="0"/>
          <w:marBottom w:val="0"/>
          <w:divBdr>
            <w:top w:val="none" w:sz="0" w:space="0" w:color="auto"/>
            <w:left w:val="none" w:sz="0" w:space="0" w:color="auto"/>
            <w:bottom w:val="none" w:sz="0" w:space="0" w:color="auto"/>
            <w:right w:val="none" w:sz="0" w:space="0" w:color="auto"/>
          </w:divBdr>
          <w:divsChild>
            <w:div w:id="1752388644">
              <w:marLeft w:val="0"/>
              <w:marRight w:val="0"/>
              <w:marTop w:val="0"/>
              <w:marBottom w:val="0"/>
              <w:divBdr>
                <w:top w:val="none" w:sz="0" w:space="0" w:color="auto"/>
                <w:left w:val="none" w:sz="0" w:space="0" w:color="auto"/>
                <w:bottom w:val="none" w:sz="0" w:space="0" w:color="auto"/>
                <w:right w:val="none" w:sz="0" w:space="0" w:color="auto"/>
              </w:divBdr>
              <w:divsChild>
                <w:div w:id="519778664">
                  <w:marLeft w:val="0"/>
                  <w:marRight w:val="0"/>
                  <w:marTop w:val="0"/>
                  <w:marBottom w:val="0"/>
                  <w:divBdr>
                    <w:top w:val="none" w:sz="0" w:space="0" w:color="auto"/>
                    <w:left w:val="none" w:sz="0" w:space="0" w:color="auto"/>
                    <w:bottom w:val="none" w:sz="0" w:space="0" w:color="auto"/>
                    <w:right w:val="none" w:sz="0" w:space="0" w:color="auto"/>
                  </w:divBdr>
                  <w:divsChild>
                    <w:div w:id="9593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4069">
          <w:marLeft w:val="0"/>
          <w:marRight w:val="0"/>
          <w:marTop w:val="0"/>
          <w:marBottom w:val="0"/>
          <w:divBdr>
            <w:top w:val="none" w:sz="0" w:space="0" w:color="auto"/>
            <w:left w:val="none" w:sz="0" w:space="0" w:color="auto"/>
            <w:bottom w:val="none" w:sz="0" w:space="0" w:color="auto"/>
            <w:right w:val="none" w:sz="0" w:space="0" w:color="auto"/>
          </w:divBdr>
        </w:div>
      </w:divsChild>
    </w:div>
    <w:div w:id="19221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55E6CD-F60E-884A-B623-CFCDCD35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5094</Words>
  <Characters>29040</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Defrancq</dc:creator>
  <cp:keywords/>
  <dc:description/>
  <cp:lastModifiedBy>Bart Desmet</cp:lastModifiedBy>
  <cp:revision>4</cp:revision>
  <dcterms:created xsi:type="dcterms:W3CDTF">2018-05-13T18:37:00Z</dcterms:created>
  <dcterms:modified xsi:type="dcterms:W3CDTF">2018-06-19T16:34:00Z</dcterms:modified>
</cp:coreProperties>
</file>