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0"/>
        <w:pBdr/>
        <w:spacing w:after="120" w:before="240"/>
        <w:ind/>
        <w:rPr/>
      </w:pPr>
      <w:r>
        <w:t xml:space="preserve">Übersetzungsdatenmanagement</w:t>
      </w:r>
      <w:r/>
    </w:p>
    <w:p>
      <w:pPr>
        <w:pStyle w:val="887"/>
        <w:pBdr/>
        <w:spacing/>
        <w:ind/>
        <w:rPr/>
      </w:pPr>
      <w:r>
        <w:t xml:space="preserve">Dieser Beitrag gibt einen Übe</w:t>
      </w:r>
      <w:r>
        <w:t xml:space="preserve">rblick über Strategien und Prozesse des Übersetzungsdatenmanagements. Die Reihenfolge der Kapitel orientiert sich an der Vorgehensweise bei der Durchführung von Translation-Memory-Harmonisierungs-/Zentralisierungsprojekten: von der Definition der Datenorga</w:t>
      </w:r>
      <w:r>
        <w:t xml:space="preserve">nisation und der Identifizierung potenziell relevanter Datenquellen über deren Migration, Analyse, Bereinigung und Harmonisierung bis hin zu ihrer Implementierung in Produktionsprozessen und der kontinuierlichen Überwachung ihrer Qualität und Performance. </w:t>
      </w:r>
      <w:r/>
    </w:p>
    <w:p>
      <w:pPr>
        <w:pStyle w:val="894"/>
        <w:numPr>
          <w:ilvl w:val="0"/>
          <w:numId w:val="5"/>
        </w:numPr>
        <w:pBdr/>
        <w:spacing/>
        <w:ind w:hanging="360" w:left="360"/>
        <w:rPr/>
      </w:pPr>
      <w:r/>
      <w:bookmarkStart w:id="0" w:name="__RefHeading__452_2075933062"/>
      <w:r/>
      <w:bookmarkStart w:id="1" w:name="_Toc181194901"/>
      <w:r/>
      <w:bookmarkEnd w:id="0"/>
      <w:r>
        <w:t xml:space="preserve">Einleitung</w:t>
      </w:r>
      <w:bookmarkEnd w:id="1"/>
      <w:r/>
      <w:r/>
    </w:p>
    <w:p>
      <w:pPr>
        <w:pStyle w:val="817"/>
        <w:pBdr/>
        <w:spacing/>
        <w:ind/>
        <w:rPr/>
      </w:pPr>
      <w:r>
        <w:t xml:space="preserve">Die Übersetzungsindustrie hat in den letzten Jahrzehnten einen grundlegenden technologische</w:t>
      </w:r>
      <w:r>
        <w:t xml:space="preserve">n Wandel erfahren. Auf das Übersetzen als Tätigkeit an sich hatten dabei insbesondere drei Technologien einen massiven Einfluss: So wurde mit der Veröffentlichung der ersten kommerziellen CAT-Tools in den frühen 1990er Jahren zunächst die einfache Wiederve</w:t>
      </w:r>
      <w:r>
        <w:t xml:space="preserve">rwendung bereits übersetzter Texte ermöglicht – wodurch sich nicht nur das Arbeiten von ÜbersetzerInnen, sondern auch Art und Weise, wie sie ihre Leistungen abrechnen, grundlegend änderte. Mit der neuronalen maschinellen Übersetzung (NMÜ) folgte im Jahr 20</w:t>
      </w:r>
      <w:r>
        <w:t xml:space="preserve">16 dann der nächste Technologiesprung, in dessen Folge maschinelle Übersetzung von der Nischen- zur Breitentechnologie wurde – auch hier sowohl mit Auswirkungen auf Arbeitsweisen und Abrechnungsmodalitäten. Mit der Entwicklung der adaptiven maschinellen Üb</w:t>
      </w:r>
      <w:r>
        <w:t xml:space="preserve">ersetzung im Jahr 2017, spätestens aber mit der Veröffentlichung der ersten Large Language Models (LLMs) Ende 2022 wurde es dann schnell einfacher, MÜ-Ergebnisse in Echtzeit – und ohne vorheriges aufwendiges Training – in die gewünschte Richtung zu lenken.</w:t>
      </w:r>
      <w:r/>
    </w:p>
    <w:p>
      <w:pPr>
        <w:pStyle w:val="817"/>
        <w:pBdr/>
        <w:spacing/>
        <w:ind/>
        <w:rPr/>
      </w:pPr>
      <w:r>
        <w:t xml:space="preserve">Was alle diese Technologien gemeinsam haben? Sie funktionieren auf Grundlage von Daten. Waren Übersetzungsdaten im Z</w:t>
      </w:r>
      <w:r>
        <w:t xml:space="preserve">eitalter der CAT-Tools noch eine hochspezialisierte Ressource, die außerhalb klassischer Übersetzungsprozesse kaum eine Rolle spielten, so gewannen sie mit der Verfügbarkeit trainierbarer bzw. customisierbarer NMÜ-Modelle zunehmend auch breitere Bedeutung </w:t>
      </w:r>
      <w:r>
        <w:fldChar w:fldCharType="begin"/>
      </w:r>
      <w:r>
        <w:instrText xml:space="preserve">ADDIN ZOTERO_ITEM CSL_CITATION {"citationID":"4iq2aV0f","properties":{"formattedCitation":"(Wang 2016, S. 12)","plainCitation":"(Wang 2016, S. 12)","noteIndex":0},"citationItems":[{"id":4632,"uris":["http://zotero.o</w:instrText>
      </w:r>
      <w:r>
        <w:instrText xml:space="preserve">rg/users/3827919/items/ZT9SGN4I"],"itemData":{"id":4632,"type":"chapter","container-title":"Keynotes 2015. A Review of the TAUS October Events","event-place":"Amsterdam","page":"11–14","publisher":"TAUS Signature Editions","publisher-place":"Amsterdam","ti</w:instrText>
      </w:r>
      <w:r>
        <w:instrText xml:space="preserve">tle":"The Datafication of Translation","editor":[{"literal":"TAUS"}],"author":[{"family":"Wang","given":"Peng"}],"issued":{"date-parts":[["2016"]]}},"locator":"12"}],"schema":"https://github.com/citation-style-language/schema/raw/master/csl-citation.json"}</w:instrText>
      </w:r>
      <w:r>
        <w:fldChar w:fldCharType="separate"/>
      </w:r>
      <w:r>
        <w:rPr>
          <w:rFonts w:cs="Times New Roman"/>
        </w:rPr>
        <w:t xml:space="preserve">(Wang 2016, S. 12)</w:t>
      </w:r>
      <w:r>
        <w:fldChar w:fldCharType="end"/>
      </w:r>
      <w:r>
        <w:t xml:space="preserve"> – etwa für die Bereitstellung von maschineller Übersetzung als Self Service in Unternehmen; ein Trend, der sich mit dem schrittweisen Umschwenken vieler Anbieter auf LLMs nahtlos fortsetzt.</w:t>
      </w:r>
      <w:r/>
    </w:p>
    <w:p>
      <w:pPr>
        <w:pStyle w:val="817"/>
        <w:pBdr/>
        <w:spacing/>
        <w:ind/>
        <w:rPr/>
      </w:pPr>
      <w:r>
        <w:t xml:space="preserve">In erster Konsequenz lässt sich daraus folgende Beobachtung ableiten: In dem Maße, in dem Ü</w:t>
      </w:r>
      <w:r>
        <w:t xml:space="preserve">bersetzungsdaten breiter eingesetzt und die auf ihrer Grundlage erstellten Übersetzungen nicht systematisch von Menschen überprüft werden (können), steigen die Anforderungen an ihre Qualität. Diese lässt sich definieren anhand der Dimensionen Genauigkeit (</w:t>
      </w:r>
      <w:r>
        <w:rPr>
          <w:i/>
          <w:iCs/>
        </w:rPr>
        <w:t xml:space="preserve">Accuracy</w:t>
      </w:r>
      <w:r>
        <w:t xml:space="preserve">), Konsistenz (</w:t>
      </w:r>
      <w:r>
        <w:rPr>
          <w:i/>
          <w:iCs/>
        </w:rPr>
        <w:t xml:space="preserve">Consistency</w:t>
      </w:r>
      <w:r>
        <w:t xml:space="preserve">), Vollständigkeit (</w:t>
      </w:r>
      <w:r>
        <w:rPr>
          <w:i/>
          <w:iCs/>
        </w:rPr>
        <w:t xml:space="preserve">Completeness</w:t>
      </w:r>
      <w:r>
        <w:t xml:space="preserve">) und Aktualität (</w:t>
      </w:r>
      <w:r>
        <w:rPr>
          <w:i/>
          <w:iCs/>
        </w:rPr>
        <w:t xml:space="preserve">Currency</w:t>
      </w:r>
      <w:r>
        <w:t xml:space="preserve"> und </w:t>
      </w:r>
      <w:r>
        <w:rPr>
          <w:i/>
          <w:iCs/>
        </w:rPr>
        <w:t xml:space="preserve">Timeliness</w:t>
      </w:r>
      <w:r>
        <w:t xml:space="preserve">) </w:t>
      </w:r>
      <w:r>
        <w:fldChar w:fldCharType="begin"/>
      </w:r>
      <w:r>
        <w:instrText xml:space="preserve">ADDIN ZOTERO_ITEM CSL_CITATION {"citationID":"pjkZOd36","properti</w:instrText>
      </w:r>
      <w:r>
        <w:instrText xml:space="preserve">es":{"formattedCitation":"(Scannapieco/Missier/Batini 2005; Batini/Scannapieco 2016)","plainCitation":"(Scannapieco/Missier/Batini 2005; Batini/Scannapieco 2016)","noteIndex":0},"citationItems":[{"id":4679,"uris":["http://zotero.org/users/3827919/items/RWG</w:instrText>
      </w:r>
      <w:r>
        <w:instrText xml:space="preserve">QCZVG"],"itemData":{"id":4679,"type":"article-journal","container-title":"Datenbank-Spektrum","page":"6–14","title":"Data Quality at a Glance","volume":"14","author":[{"family":"Scannapieco","given":"Monica"},{"family":"Missier","given":"Paolo"},{"family":</w:instrText>
      </w:r>
      <w:r>
        <w:instrText xml:space="preserve">"Batini","given":"Carlo"}],"issued":{"date-parts":[["2005"]]}}},{"id":4678,"uris":["http://zotero.org/users/3827919/items/SAWYHTI8"],"itemData":{"id":4678,"type":"chapter","collection-title":"Data-Centric Systems and Applications","container-title":"Data a</w:instrText>
      </w:r>
      <w:r>
        <w:instrText xml:space="preserve">nd Information Quality. Dimensions, Principles and Techniques","event-place":"Cham","page":"19–49","publisher":"Springer International Publishing","publisher-place":"Cham","title":"Data Quality Dimensions","editor":[{"family":"Batini","given":"Carlo"},{"fa</w:instrText>
      </w:r>
      <w:r>
        <w:instrText xml:space="preserve">mily":"Scannapieco","given":"Monica"}],"author":[{"family":"Batini","given":"Carlo"},{"family":"Scannapieco","given":"Monica"}],"issued":{"date-parts":[["2016"]]}}}],"schema":"https://github.com/citation-style-language/schema/raw/master/csl-citation.json"}</w:instrText>
      </w:r>
      <w:r>
        <w:fldChar w:fldCharType="separate"/>
      </w:r>
      <w:r>
        <w:rPr>
          <w:rFonts w:cs="Times New Roman"/>
        </w:rPr>
        <w:t xml:space="preserve">(Scannapieco/Missier/Batini 2005; Batini/Scannapieco 2016)</w:t>
      </w:r>
      <w:r>
        <w:fldChar w:fldCharType="end"/>
      </w:r>
      <w:r>
        <w:t xml:space="preserve">. Konkret sollten Übersetzungsdaten also:</w:t>
      </w:r>
      <w:r/>
    </w:p>
    <w:p>
      <w:pPr>
        <w:pStyle w:val="883"/>
        <w:numPr>
          <w:ilvl w:val="0"/>
          <w:numId w:val="3"/>
        </w:numPr>
        <w:pBdr/>
        <w:spacing w:after="0" w:before="0"/>
        <w:ind/>
        <w:rPr/>
      </w:pPr>
      <w:r>
        <w:rPr>
          <w:lang w:val="de-DE"/>
        </w:rPr>
        <w:t xml:space="preserve">den an sie gestellten Qualitätsanforderungen entsprechen, etwa in Bezug auf die Einhaltung einer Corporate Language oder eines vordefinierten Metadatenschemas (</w:t>
      </w:r>
      <w:r>
        <w:rPr>
          <w:i/>
          <w:iCs/>
          <w:lang w:val="de-DE"/>
        </w:rPr>
        <w:t xml:space="preserve">Accuracy</w:t>
      </w:r>
      <w:r>
        <w:rPr>
          <w:lang w:val="de-DE"/>
        </w:rPr>
        <w:t xml:space="preserve">),</w:t>
      </w:r>
      <w:r/>
    </w:p>
    <w:p>
      <w:pPr>
        <w:pStyle w:val="883"/>
        <w:numPr>
          <w:ilvl w:val="0"/>
          <w:numId w:val="3"/>
        </w:numPr>
        <w:pBdr/>
        <w:spacing w:after="0" w:before="0"/>
        <w:ind/>
        <w:rPr/>
      </w:pPr>
      <w:r>
        <w:rPr>
          <w:lang w:val="de-DE"/>
        </w:rPr>
        <w:t xml:space="preserve">konsistent sein in Bezug auf die Einhaltung sowohl sprachlicher Vorgaben als auch auf die Verwendung von Metadaten (</w:t>
      </w:r>
      <w:r>
        <w:rPr>
          <w:i/>
          <w:iCs/>
          <w:lang w:val="de-DE"/>
        </w:rPr>
        <w:t xml:space="preserve">Consistency</w:t>
      </w:r>
      <w:r>
        <w:rPr>
          <w:lang w:val="de-DE"/>
        </w:rPr>
        <w:t xml:space="preserve">),</w:t>
      </w:r>
      <w:r/>
    </w:p>
    <w:p>
      <w:pPr>
        <w:pStyle w:val="883"/>
        <w:numPr>
          <w:ilvl w:val="0"/>
          <w:numId w:val="3"/>
        </w:numPr>
        <w:pBdr/>
        <w:spacing w:after="0" w:before="0"/>
        <w:ind/>
        <w:rPr/>
      </w:pPr>
      <w:r>
        <w:rPr>
          <w:lang w:val="de-DE"/>
        </w:rPr>
        <w:t xml:space="preserve">den jeweiligen Einsatzzweck abdecken (</w:t>
      </w:r>
      <w:r>
        <w:rPr>
          <w:i/>
          <w:iCs/>
          <w:lang w:val="de-DE"/>
        </w:rPr>
        <w:t xml:space="preserve">Completeness</w:t>
      </w:r>
      <w:r>
        <w:rPr>
          <w:lang w:val="de-DE"/>
        </w:rPr>
        <w:t xml:space="preserve">),</w:t>
      </w:r>
      <w:r/>
    </w:p>
    <w:p>
      <w:pPr>
        <w:pStyle w:val="883"/>
        <w:numPr>
          <w:ilvl w:val="0"/>
          <w:numId w:val="3"/>
        </w:numPr>
        <w:pBdr/>
        <w:spacing w:after="0" w:before="0"/>
        <w:ind/>
        <w:rPr/>
      </w:pPr>
      <w:r>
        <w:rPr>
          <w:lang w:val="de-DE"/>
        </w:rPr>
        <w:t xml:space="preserve">in ihrem Inhalt dem aktuellen Stand des durch sie abgebildeten Sprachgebrauchs entsprechen (</w:t>
      </w:r>
      <w:r>
        <w:rPr>
          <w:i/>
          <w:iCs/>
          <w:lang w:val="de-DE"/>
        </w:rPr>
        <w:t xml:space="preserve">Currency</w:t>
      </w:r>
      <w:r>
        <w:rPr>
          <w:lang w:val="de-DE"/>
        </w:rPr>
        <w:t xml:space="preserve">), also z. B. keine veraltete Terminologie enthalten,</w:t>
      </w:r>
      <w:r/>
    </w:p>
    <w:p>
      <w:pPr>
        <w:pStyle w:val="883"/>
        <w:numPr>
          <w:ilvl w:val="0"/>
          <w:numId w:val="3"/>
        </w:numPr>
        <w:pBdr/>
        <w:spacing w:after="160" w:before="0"/>
        <w:ind/>
        <w:rPr/>
      </w:pPr>
      <w:r>
        <w:rPr>
          <w:lang w:val="de-DE"/>
        </w:rPr>
        <w:t xml:space="preserve">durch geeignete Managementprozesse auf dem jeweils neuesten Stand gehalten werden (</w:t>
      </w:r>
      <w:r>
        <w:rPr>
          <w:i/>
          <w:iCs/>
          <w:lang w:val="de-DE"/>
        </w:rPr>
        <w:t xml:space="preserve">Timeliness</w:t>
      </w:r>
      <w:r>
        <w:rPr>
          <w:lang w:val="de-DE"/>
        </w:rPr>
        <w:t xml:space="preserve">) </w:t>
      </w:r>
      <w:r>
        <w:fldChar w:fldCharType="begin"/>
      </w:r>
      <w:r>
        <w:rPr>
          <w:lang w:val="de-DE"/>
        </w:rPr>
        <w:instrText xml:space="preserve">ADDIN ZOTERO_ITEM CSL_CITATION {"citationID":"qReMrFVB","properties":{"formattedCitation":"(vgl. Zielinski/Varga 2020, S. 307\\uc0\\u8211{}309)","plainCitation":"(vgl. Zielinski/Varga</w:instrText>
      </w:r>
      <w:r>
        <w:rPr>
          <w:lang w:val="de-DE"/>
        </w:rPr>
        <w:instrText xml:space="preserve"> 2020, S. 307–309)","noteIndex":0},"citationItems":[{"id":5223,"uris":["http://zotero.org/users/3827919/items/PLLZN87Z"],"itemData":{"id":5223,"type":"chapter","container-title":"Translation Quality in the Age of Digital Transformation","event-place":"Berl</w:instrText>
      </w:r>
      <w:r>
        <w:rPr>
          <w:lang w:val="de-DE"/>
        </w:rPr>
        <w:instrText xml:space="preserve">in","page":"300–319","publisher":"BDÜ Fachverlag","publisher-place":"Berlin","title":"Translation memory quality and translation memory management","editor":[{"family":"Dalla-Zuanna","given":"Jean-Marc"},{"family":"Kurz","given":"Christropher"}],"author":[</w:instrText>
      </w:r>
      <w:r>
        <w:rPr>
          <w:lang w:val="de-DE"/>
        </w:rPr>
        <w:instrText xml:space="preserve">{"family":"Zielinski","given":"Daniel"},{"family":"Varga","given":"Simon"}],"issued":{"date-parts":[["2020"]]}},"locator":"307–309","label":"page","prefix":"vgl. "}],"schema":"https://github.com/citation-style-language/schema/raw/master/csl-citation.json"}</w:instrText>
      </w:r>
      <w:r>
        <w:rPr>
          <w:lang w:val="de-DE"/>
        </w:rPr>
        <w:fldChar w:fldCharType="separate"/>
      </w:r>
      <w:r>
        <w:rPr>
          <w:rFonts w:cs="Times New Roman"/>
          <w:lang w:val="de-DE"/>
        </w:rPr>
        <w:t xml:space="preserve">(vgl. Zielinski/Varga 2020, S. 307–309)</w:t>
      </w:r>
      <w:r>
        <w:rPr>
          <w:lang w:val="de-DE"/>
        </w:rPr>
        <w:fldChar w:fldCharType="end"/>
      </w:r>
      <w:r>
        <w:rPr>
          <w:lang w:val="de-DE"/>
        </w:rPr>
        <w:t xml:space="preserve">.</w:t>
      </w:r>
      <w:r/>
    </w:p>
    <w:p>
      <w:pPr>
        <w:pStyle w:val="883"/>
        <w:numPr>
          <w:ilvl w:val="0"/>
          <w:numId w:val="0"/>
        </w:numPr>
        <w:pBdr/>
        <w:spacing/>
        <w:ind w:firstLine="0" w:left="0"/>
        <w:rPr/>
      </w:pPr>
      <w:r>
        <w:rPr>
          <w:lang w:val="de-DE"/>
        </w:rPr>
        <w:t xml:space="preserve">Wie aus diesen Anforderungen deutlich wird, gehen erhöhte Anforderungen an die Übersetzungsdatenqualität Hand in Hand mit erhöhten Anforderungen an das Übersetzungsdatenmanagement. </w:t>
      </w:r>
      <w:r/>
    </w:p>
    <w:p>
      <w:pPr>
        <w:pStyle w:val="883"/>
        <w:numPr>
          <w:ilvl w:val="0"/>
          <w:numId w:val="0"/>
        </w:numPr>
        <w:pBdr/>
        <w:spacing/>
        <w:ind w:firstLine="0" w:left="0"/>
        <w:rPr/>
      </w:pPr>
      <w:r>
        <w:rPr>
          <w:lang w:val="de-DE"/>
        </w:rPr>
        <w:t xml:space="preserve">Vor diesem Hintergrund geben die folgenden Kapitel einen Überblick über die wichtigsten Schritte und Ansätze für ein effizientes Management von Übersetzungsdaten in Form von Translation Memorys (TMs). Das Augenmerk liegt dabe</w:t>
      </w:r>
      <w:r>
        <w:rPr>
          <w:lang w:val="de-DE"/>
        </w:rPr>
        <w:t xml:space="preserve">i nicht nur Aufbau und Pflege neuer Datenbestände, sondern auch und gerade auf der Zusammenführung von Daten aus unterschiedlichsten Quellen, wie sie im Rahmen von Zentralisierungs- und Harmonisierungsprojekten in Übersetzungsabteilungen erforderlich sind.</w:t>
      </w:r>
      <w:r/>
    </w:p>
    <w:p>
      <w:pPr>
        <w:pStyle w:val="894"/>
        <w:numPr>
          <w:ilvl w:val="0"/>
          <w:numId w:val="5"/>
        </w:numPr>
        <w:pBdr/>
        <w:spacing/>
        <w:ind w:hanging="360" w:left="360"/>
        <w:rPr/>
      </w:pPr>
      <w:r/>
      <w:bookmarkStart w:id="2" w:name="_Toc181194902"/>
      <w:r>
        <w:t xml:space="preserve">Datenorganisation definieren</w:t>
      </w:r>
      <w:bookmarkEnd w:id="2"/>
      <w:r/>
      <w:r/>
    </w:p>
    <w:p>
      <w:pPr>
        <w:pStyle w:val="817"/>
        <w:pBdr/>
        <w:spacing/>
        <w:ind/>
        <w:rPr/>
      </w:pPr>
      <w:r>
        <w:t xml:space="preserve">Die Implementierung effizienter Managementprozesse für Übersetzungsdaten setzt zuallererst die Definition von Anforderungen und Zielen sowie einer darauf ausgerichteten Datenorganisation voraus.</w:t>
      </w:r>
      <w:r/>
    </w:p>
    <w:p>
      <w:pPr>
        <w:pStyle w:val="895"/>
        <w:numPr>
          <w:ilvl w:val="1"/>
          <w:numId w:val="5"/>
        </w:numPr>
        <w:pBdr/>
        <w:spacing/>
        <w:ind w:hanging="360" w:left="360"/>
        <w:rPr/>
      </w:pPr>
      <w:r/>
      <w:bookmarkStart w:id="3" w:name="_Toc181194903"/>
      <w:r>
        <w:t xml:space="preserve">Physische TM-Organisation</w:t>
      </w:r>
      <w:bookmarkEnd w:id="3"/>
      <w:r/>
      <w:r/>
    </w:p>
    <w:p>
      <w:pPr>
        <w:pStyle w:val="817"/>
        <w:pBdr/>
        <w:spacing/>
        <w:ind/>
        <w:rPr/>
      </w:pPr>
      <w:r>
        <w:t xml:space="preserve">Dies betrifft zunächst die physische Organisation von TMs: Sollen (bzw. kön</w:t>
      </w:r>
      <w:r>
        <w:t xml:space="preserve">nen!) je Übersetzungsrichtung alle Inhalte in ein und demselben TM gespeichert werden? Die Vorteile eines solchen Single-TM-Ansatzes liegen auf der Hand: je kleiner die Zahl an TMs, desto kleiner der Aufwand für ihre Implementierung, Verwaltung und Pflege.</w:t>
      </w:r>
      <w:r/>
    </w:p>
    <w:p>
      <w:pPr>
        <w:pStyle w:val="817"/>
        <w:pBdr/>
        <w:spacing/>
        <w:ind/>
        <w:rPr/>
      </w:pPr>
      <w:r>
        <w:t xml:space="preserve">Unterschiedliche TMs für Übersetzungen in derselben Sprachrichtung können jedoch etwa aus Vertraulichkeitsgründen erforderlich sein: Werden bspw. vertrauliche Inhalte von In-House-Überse</w:t>
      </w:r>
      <w:r>
        <w:t xml:space="preserve">tzern bearbeitet und andere Übersetzungen extern vergeben, kann über zwei separate TMs je Übersetzungsrichtung garantiert werden, dass ein Zugriff auf vertrauliche Inhalte durch externe Übersetzer – über Fuzzy-Matches oder Konkordanzsuchen – unmöglich ist.</w:t>
      </w:r>
      <w:r/>
    </w:p>
    <w:p>
      <w:pPr>
        <w:pStyle w:val="895"/>
        <w:numPr>
          <w:ilvl w:val="1"/>
          <w:numId w:val="5"/>
        </w:numPr>
        <w:pBdr/>
        <w:spacing/>
        <w:ind w:hanging="360" w:left="360"/>
        <w:rPr/>
      </w:pPr>
      <w:r/>
      <w:bookmarkStart w:id="4" w:name="_Toc181194904"/>
      <w:r/>
      <w:bookmarkStart w:id="5" w:name="_Ref181196366"/>
      <w:r>
        <w:t xml:space="preserve">Unterstützende Ressourcen</w:t>
      </w:r>
      <w:bookmarkEnd w:id="4"/>
      <w:r/>
      <w:bookmarkEnd w:id="5"/>
      <w:r/>
      <w:r/>
    </w:p>
    <w:p>
      <w:pPr>
        <w:pStyle w:val="817"/>
        <w:pBdr/>
        <w:spacing/>
        <w:ind/>
        <w:rPr/>
      </w:pPr>
      <w:r>
        <w:t xml:space="preserve">Zusätzlich zu den TMs selbst müssen in diesem Schritt auch weitere Ressourcen erstellt bzw. geprüft werden, die sich direkt auf die Qualität der Übersetzungsdaten auswirken.</w:t>
      </w:r>
      <w:r/>
    </w:p>
    <w:p>
      <w:pPr>
        <w:pStyle w:val="817"/>
        <w:pBdr/>
        <w:spacing/>
        <w:ind/>
        <w:rPr/>
      </w:pPr>
      <w:r>
        <w:t xml:space="preserve">Dies betrifft zunächst die TM-E</w:t>
      </w:r>
      <w:r>
        <w:t xml:space="preserve">instellungen. Je nach verwendetem Tool bieten diese unterschiedliche Optionen für die Verwendung von TMs in Übersetzungsprojekten, wie etwa Filter, über die TM-Treffer mit bestimmten Metadaten priorisiert oder aber ausgeschlossen werden können (siehe Kap. </w:t>
      </w:r>
      <w:r>
        <w:fldChar w:fldCharType="begin"/>
      </w:r>
      <w:r>
        <w:instrText xml:space="preserve"> REF _Ref181029104 \r \r \h </w:instrText>
      </w:r>
      <w:r>
        <w:fldChar w:fldCharType="separate"/>
      </w:r>
      <w:r>
        <w:t xml:space="preserve">2.1</w:t>
      </w:r>
      <w:r>
        <w:fldChar w:fldCharType="end"/>
      </w:r>
      <w:r>
        <w:t xml:space="preserve">).</w:t>
      </w:r>
      <w:r/>
    </w:p>
    <w:p>
      <w:pPr>
        <w:pStyle w:val="817"/>
        <w:pBdr/>
        <w:spacing/>
        <w:ind/>
        <w:rPr/>
      </w:pPr>
      <w:r>
        <w:t xml:space="preserve">Weitere Ressourcen, die direkten Einfluss auf die Qualität der im Übersetzungsprozess entstehenden Da</w:t>
      </w:r>
      <w:r>
        <w:t xml:space="preserve">ten hat, sind Segmentierungsregeln und Dateiimporteinstellungen. Segmentierungsregeln definieren jeweils für eine spezifische Ausgangssprache, an welchen Stellen Texte in einzelne Segmente aufgesplittet werden sollen, also etwa nach Satzendzeichen, Zeilenu</w:t>
      </w:r>
      <w:r>
        <w:t xml:space="preserve">mbrüchen oder bestimmten Sonderzeichen. Dateiimporteinstellungen wiederum definieren für ein bestimmtes Dateiformat (also etwa .docx oder .xml), wie Inhalte aus entsprechenden Dateien in den Übersetzungseditor importiert werden. Fehlerhafte Segmentierungsr</w:t>
      </w:r>
      <w:r>
        <w:t xml:space="preserve">egeln und/oder Dateiimporteinstellungen wirken sich negativ auf Qualität und Wiederverwendbarkeit von Übersetzungseinheiten aus, indem sie Texte auseinanderreißen oder aber zu grob segmentieren oder zum Import nichtübersetzbarer Inhalte führen (siehe Kap. </w:t>
      </w:r>
      <w:r>
        <w:fldChar w:fldCharType="begin"/>
      </w:r>
      <w:r>
        <w:instrText xml:space="preserve"> REF _Ref181028921 \r \r \h </w:instrText>
      </w:r>
      <w:r>
        <w:fldChar w:fldCharType="separate"/>
      </w:r>
      <w:r>
        <w:t xml:space="preserve">5.2.1</w:t>
      </w:r>
      <w:r>
        <w:fldChar w:fldCharType="end"/>
      </w:r>
      <w:r>
        <w:t xml:space="preserve">).</w:t>
      </w:r>
      <w:r/>
    </w:p>
    <w:p>
      <w:pPr>
        <w:pStyle w:val="817"/>
        <w:pBdr/>
        <w:spacing/>
        <w:ind/>
        <w:rPr/>
      </w:pPr>
      <w:r>
        <w:t xml:space="preserve">Je nach System besteht darüber hinaus u. U. die Möglichkeit, nichtübersetzb</w:t>
      </w:r>
      <w:r>
        <w:t xml:space="preserve">are Elemente, wie etwa Produktnamen und -nummern, zu hinterlegen und im Idealfall sogar zu schützen. Hier sind unterschiedliche Ansätze möglich: So bieten manche Tools die Möglichkeit, zu schützenden Text mithilfe regulärer Ausdrücke in Tags zu verwandeln.</w:t>
      </w:r>
      <w:r>
        <w:rPr>
          <w:rStyle w:val="851"/>
        </w:rPr>
        <w:footnoteReference w:id="2"/>
      </w:r>
      <w:r>
        <w:t xml:space="preserve"> Eine zusätzliche toolspezifische Option ist etwa die Erstellung sog. </w:t>
      </w:r>
      <w:r>
        <w:rPr>
          <w:i/>
          <w:iCs/>
        </w:rPr>
        <w:t xml:space="preserve">Non-Translatables</w:t>
      </w:r>
      <w:r>
        <w:t xml:space="preserve">-Listen in memoQ (siehe Abb. 1). Unabhängig von der konkreten Vorgehensweise können fehlende/veränderte Elemente in laufenden Projekten über QA-Routinen identifiziert werden, sodass fehlerhafte Segmente erst gar nicht in das Master-TM gelangen.</w:t>
      </w:r>
      <w:r/>
    </w:p>
    <w:p>
      <w:pPr>
        <w:pStyle w:val="817"/>
        <w:pBdr/>
        <w:spacing/>
        <w:ind/>
        <w:jc w:val="center"/>
        <w:rPr/>
      </w:pPr>
      <w:r>
        <mc:AlternateContent>
          <mc:Choice Requires="wpg">
            <w:drawing>
              <wp:inline xmlns:wp="http://schemas.openxmlformats.org/drawingml/2006/wordprocessingDrawing" distT="0" distB="0" distL="0" distR="0">
                <wp:extent cx="3660775" cy="11811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pic:cNvPicPr>
                        <pic:nvPr/>
                      </pic:nvPicPr>
                      <pic:blipFill>
                        <a:blip r:embed="rId10"/>
                        <a:stretch/>
                      </pic:blipFill>
                      <pic:spPr bwMode="auto">
                        <a:xfrm>
                          <a:off x="0" y="0"/>
                          <a:ext cx="3660775" cy="118109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8.25pt;height:93.00pt;mso-wrap-distance-left:0.00pt;mso-wrap-distance-top:0.00pt;mso-wrap-distance-right:0.00pt;mso-wrap-distance-bottom:0.00pt;z-index:1;" stroked="false">
                <v:imagedata r:id="rId10" o:title=""/>
                <o:lock v:ext="edit" rotation="t"/>
              </v:shape>
            </w:pict>
          </mc:Fallback>
        </mc:AlternateContent>
      </w:r>
      <w:r/>
    </w:p>
    <w:p>
      <w:pPr>
        <w:pStyle w:val="865"/>
        <w:pBdr/>
        <w:spacing/>
        <w:ind/>
        <w:rPr/>
      </w:pPr>
      <w:r>
        <w:t xml:space="preserve">Abb. 1: Regex-Tagging und Non-Translatables in memoQ</w:t>
      </w:r>
      <w:r/>
    </w:p>
    <w:p>
      <w:pPr>
        <w:pStyle w:val="895"/>
        <w:numPr>
          <w:ilvl w:val="1"/>
          <w:numId w:val="5"/>
        </w:numPr>
        <w:pBdr/>
        <w:spacing/>
        <w:ind w:hanging="360" w:left="360"/>
        <w:rPr/>
      </w:pPr>
      <w:r/>
      <w:bookmarkStart w:id="6" w:name="_Toc181194905"/>
      <w:r>
        <w:t xml:space="preserve">Berechtigungskonzepte</w:t>
      </w:r>
      <w:bookmarkEnd w:id="6"/>
      <w:r/>
      <w:r/>
    </w:p>
    <w:p>
      <w:pPr>
        <w:pStyle w:val="817"/>
        <w:pBdr/>
        <w:spacing/>
        <w:ind/>
        <w:rPr/>
      </w:pPr>
      <w:r>
        <w:t xml:space="preserve">Neben der Frage, </w:t>
      </w:r>
      <w:r>
        <w:rPr>
          <w:i/>
          <w:iCs/>
        </w:rPr>
        <w:t xml:space="preserve">wie</w:t>
      </w:r>
      <w:r>
        <w:t xml:space="preserve"> TMs bearbeitet werden sollen, ist vor allem auch die Frage wichtig, </w:t>
      </w:r>
      <w:r>
        <w:rPr>
          <w:i/>
          <w:iCs/>
        </w:rPr>
        <w:t xml:space="preserve">wer</w:t>
      </w:r>
      <w:r>
        <w:t xml:space="preserve"> die entsprechenden Berechtigungen dazu erhalten soll. Diese Frage betrifft sowohl die Verwendung in laufenden Übersetzungsprojekten als auch die flankierende TM-Pflege.</w:t>
      </w:r>
      <w:r/>
    </w:p>
    <w:p>
      <w:pPr>
        <w:pStyle w:val="817"/>
        <w:pBdr/>
        <w:spacing/>
        <w:ind/>
        <w:rPr/>
      </w:pPr>
      <w:r>
        <w:t xml:space="preserve">In Bezug auf die Verwendung in Übersetzung</w:t>
      </w:r>
      <w:r>
        <w:t xml:space="preserve">sprojekten stellt sich etwa die Frage, ob Übersetzer nur Lese- oder auch Schreibzugriff auf bestimmte TMs erhalten sollen. Ein typischer Ansatz ist hier die Unterscheidung zwischen Master-TMs (die bereits übersetzte Texte enthalten) und Arbeits-TMs (die fü</w:t>
      </w:r>
      <w:r>
        <w:t xml:space="preserve">r jedes Projekt neu erstellt und in die neue Übersetzungseinheiten zunächst gespeichert werden). Indem man den Schreibzugriff der Übersetzer auf das Arbeits-TM beschränkt, kann verhindert werden, dass diese unerwünschte Änderungen in Master-TMs vornehmen. </w:t>
      </w:r>
      <w:r/>
    </w:p>
    <w:p>
      <w:pPr>
        <w:pStyle w:val="895"/>
        <w:numPr>
          <w:ilvl w:val="1"/>
          <w:numId w:val="5"/>
        </w:numPr>
        <w:pBdr/>
        <w:spacing/>
        <w:ind w:hanging="360" w:left="360"/>
        <w:rPr/>
      </w:pPr>
      <w:r/>
      <w:bookmarkStart w:id="7" w:name="_Ref181029104"/>
      <w:r/>
      <w:bookmarkStart w:id="8" w:name="_Toc181194906"/>
      <w:r>
        <w:t xml:space="preserve">Metadaten</w:t>
      </w:r>
      <w:bookmarkEnd w:id="7"/>
      <w:r>
        <w:t xml:space="preserve">schema</w:t>
      </w:r>
      <w:bookmarkEnd w:id="8"/>
      <w:r/>
      <w:r/>
    </w:p>
    <w:p>
      <w:pPr>
        <w:pStyle w:val="817"/>
        <w:pBdr/>
        <w:spacing/>
        <w:ind/>
        <w:rPr/>
      </w:pPr>
      <w:r>
        <w:t xml:space="preserve">Metadaten sind Daten über andere Daten. Konkret handelt es sich bei diesen „anderen“ Daten im Fall von TMs sowohl um das TM als Ganzes als auch um die darin enthaltenen Übersetzungseinheiten.</w:t>
      </w:r>
      <w:r/>
    </w:p>
    <w:p>
      <w:pPr>
        <w:pStyle w:val="817"/>
        <w:pBdr/>
        <w:spacing/>
        <w:ind/>
        <w:rPr/>
      </w:pPr>
      <w:r>
        <w:t xml:space="preserve">Die hier relevanten Metadaten zu deren Beschreibung lassen sich grob in drei Kategorien einteilen </w:t>
      </w:r>
      <w:r>
        <w:fldChar w:fldCharType="begin"/>
      </w:r>
      <w:r>
        <w:instrText xml:space="preserve">ADDIN ZOTERO_ITEM CSL_CITATION {"citationID":"RnVPEAnm","properties":{"formattedCitation":"(vgl. Pomerantz 2015; Zielinski/Varga 2020)","plain</w:instrText>
      </w:r>
      <w:r>
        <w:instrText xml:space="preserve">Citation":"(vgl. Pomerantz 2015; Zielinski/Varga 2020)","noteIndex":0},"citationItems":[{"id":4696,"uris":["http://zotero.org/users/3827919/items/78ZZQZ3B"],"itemData":{"id":4696,"type":"book","call-number":"Z666.7 .P66 2015","collection-title":"The MIT Pr</w:instrText>
      </w:r>
      <w:r>
        <w:instrText xml:space="preserve">ess Essential Knowledge series","event-place":"Cambridge, London","ISBN":"978-0-262-52851-1","language":"en","number-of-pages":"239","publisher":"The MIT Press","publisher-place":"Cambridge, London","source":"Library of Congress ISBN","title":"Metadata","a</w:instrText>
      </w:r>
      <w:r>
        <w:instrText xml:space="preserve">uthor":[{"family":"Pomerantz","given":"Jeffrey"}],"issued":{"date-parts":[["2015"]]}},"prefix":"vgl. "},{"id":5223,"uris":["http://zotero.org/users/3827919/items/PLLZN87Z"],"itemData":{"id":5223,"type":"chapter","container-title":"Translation Quality in th</w:instrText>
      </w:r>
      <w:r>
        <w:instrText xml:space="preserve">e Age of Digital Transformation","event-place":"Berlin","page":"300–319","publisher":"BDÜ Fachverlag","publisher-place":"Berlin","title":"Translation memory quality and translation memory management","editor":[{"family":"Dalla-Zuanna","given":"Jean-Marc"},</w:instrText>
      </w:r>
      <w:r>
        <w:instrText xml:space="preserve">{"family":"Kurz","given":"Christropher"}],"author":[{"family":"Zielinski","given":"Daniel"},{"family":"Varga","given":"Simon"}],"issued":{"date-parts":[["2020"]]}}}],"schema":"https://github.com/citation-style-language/schema/raw/master/csl-citation.json"}</w:instrText>
      </w:r>
      <w:r>
        <w:fldChar w:fldCharType="separate"/>
      </w:r>
      <w:r>
        <w:rPr>
          <w:rFonts w:cs="Times New Roman"/>
        </w:rPr>
        <w:t xml:space="preserve">(vgl. Pomerantz 2015; Zielinski/Varga 2020)</w:t>
      </w:r>
      <w:r>
        <w:fldChar w:fldCharType="end"/>
      </w:r>
      <w:r>
        <w:t xml:space="preserve">:</w:t>
      </w:r>
      <w:r/>
    </w:p>
    <w:p>
      <w:pPr>
        <w:pStyle w:val="883"/>
        <w:numPr>
          <w:ilvl w:val="0"/>
          <w:numId w:val="3"/>
        </w:numPr>
        <w:pBdr/>
        <w:spacing w:after="0" w:before="0"/>
        <w:ind/>
        <w:rPr/>
      </w:pPr>
      <w:r>
        <w:rPr>
          <w:lang w:val="de-DE"/>
        </w:rPr>
        <w:t xml:space="preserve">Administrative Metadaten</w:t>
      </w:r>
      <w:r/>
    </w:p>
    <w:p>
      <w:pPr>
        <w:pStyle w:val="883"/>
        <w:numPr>
          <w:ilvl w:val="0"/>
          <w:numId w:val="3"/>
        </w:numPr>
        <w:pBdr/>
        <w:spacing w:after="0" w:before="0"/>
        <w:ind/>
        <w:rPr/>
      </w:pPr>
      <w:r>
        <w:rPr>
          <w:lang w:val="de-DE"/>
        </w:rPr>
        <w:t xml:space="preserve">Beschreibende Metadaten</w:t>
      </w:r>
      <w:r/>
    </w:p>
    <w:p>
      <w:pPr>
        <w:pStyle w:val="883"/>
        <w:numPr>
          <w:ilvl w:val="0"/>
          <w:numId w:val="3"/>
        </w:numPr>
        <w:pBdr/>
        <w:spacing w:after="0" w:before="0"/>
        <w:ind/>
        <w:rPr/>
      </w:pPr>
      <w:r>
        <w:rPr>
          <w:lang w:val="de-DE"/>
        </w:rPr>
        <w:t xml:space="preserve">Nutzungsbezogene Metadaten</w:t>
      </w:r>
      <w:r/>
    </w:p>
    <w:p>
      <w:pPr>
        <w:pStyle w:val="896"/>
        <w:numPr>
          <w:ilvl w:val="2"/>
          <w:numId w:val="5"/>
        </w:numPr>
        <w:pBdr/>
        <w:spacing/>
        <w:ind w:hanging="180" w:left="823"/>
        <w:rPr/>
      </w:pPr>
      <w:r/>
      <w:bookmarkStart w:id="9" w:name="_Toc181194907"/>
      <w:r>
        <w:t xml:space="preserve">Administrative Metadaten</w:t>
      </w:r>
      <w:bookmarkEnd w:id="9"/>
      <w:r/>
      <w:r/>
    </w:p>
    <w:p>
      <w:pPr>
        <w:pStyle w:val="817"/>
        <w:pBdr/>
        <w:spacing/>
        <w:ind/>
        <w:rPr/>
      </w:pPr>
      <w:r>
        <w:t xml:space="preserve">Administrative Metadaten werden automatisch generiert, wenn ein TM erstellt, neue Übersetzungseinheiten darin gespeichert oder bereits darin vorhandene Übersetzungseinheiten geändert werden. Sie geben Aufschluss über die Erstellung und Herk</w:t>
      </w:r>
      <w:r>
        <w:t xml:space="preserve">unft von TM-Daten. Typische Beispiele hierfür sind etwa Name und Version des Tools, mit dem ein TM erstellt wurde, die IDs der Nutzer, die die darin enthaltenen Übersetzungseinheiten erstellt haben, sowie die Zeitstempel ihrer Erstellung und/oder Änderung.</w:t>
      </w:r>
      <w:r/>
    </w:p>
    <w:p>
      <w:pPr>
        <w:pStyle w:val="817"/>
        <w:pBdr/>
        <w:spacing/>
        <w:ind/>
        <w:rPr/>
      </w:pPr>
      <w:r>
        <w:t xml:space="preserve">Zu den administrativen Metadaten gehören auch sog. strukturelle Metadaten,</w:t>
      </w:r>
      <w:r>
        <w:rPr>
          <w:b/>
          <w:bCs/>
        </w:rPr>
        <w:t xml:space="preserve"> </w:t>
      </w:r>
      <w:r>
        <w:t xml:space="preserve">die etwa Auskunft darüber geben, um welche Art von Text es sich bei einem Segment handelt (Überschrift, Listenelement etc.). Auch die in einer Übersetzungseinheit gespeicherten Kontextinformationen fallen in diese Kategorie.</w:t>
      </w:r>
      <w:r/>
    </w:p>
    <w:p>
      <w:pPr>
        <w:pStyle w:val="896"/>
        <w:numPr>
          <w:ilvl w:val="2"/>
          <w:numId w:val="5"/>
        </w:numPr>
        <w:pBdr/>
        <w:spacing/>
        <w:ind w:hanging="180" w:left="823"/>
        <w:rPr/>
      </w:pPr>
      <w:r/>
      <w:bookmarkStart w:id="10" w:name="_Toc181194908"/>
      <w:r>
        <w:t xml:space="preserve">Beschreibende Metadaten</w:t>
      </w:r>
      <w:bookmarkEnd w:id="10"/>
      <w:r/>
      <w:r/>
    </w:p>
    <w:p>
      <w:pPr>
        <w:pStyle w:val="817"/>
        <w:pBdr/>
        <w:spacing/>
        <w:ind/>
        <w:rPr/>
      </w:pPr>
      <w:r>
        <w:t xml:space="preserve">Beschreibende Metadaten enthalten zusätzliche Informationen zu einem TM oder den darin enthaltenen Übersetzungseinheiten. Typische Bei</w:t>
      </w:r>
      <w:r>
        <w:t xml:space="preserve">spiele für beschreibende Metadaten sind etwa die IDs von Kunden oder Projekten sowie Angaben zu Fachgebiet, Textsorte, Produkt(familie), Kommunikationskanal etc. Im Gegensatz zu administrativen Metadaten werden beschreibende Metadaten nicht automatisch gen</w:t>
      </w:r>
      <w:r>
        <w:t xml:space="preserve">eriert, sondern müssen von den NutzerInnen selbst definiert/ausgewählt werden. Gespeichert werden diese Informationen entweder in Metadatenfeldern, die standardmäßig von dem verwendeten TM-System bereitgestellt werden, oder aber in benutzerdefinierten Meta</w:t>
      </w:r>
      <w:r>
        <w:t xml:space="preserve">datenfeldern. Dies bietet einerseits Flexibilität bei der TM-Verwaltung, andererseits erschweren fehlende oder inkonsistente Metadaten die Zusammenführung von Übersetzungsdaten aus unterschiedlichen Quellen, selbst wenn sie alle aus demselben Tool stammen.</w:t>
      </w:r>
      <w:r/>
    </w:p>
    <w:p>
      <w:pPr>
        <w:pStyle w:val="817"/>
        <w:pBdr/>
        <w:spacing/>
        <w:ind/>
        <w:rPr/>
      </w:pPr>
      <w:r>
        <w:t xml:space="preserve">Je nach Tool kann es unterschiedliche Optionen für das Speichern bestimmter beschreibender Metadaten geben. So verfügen etwa memoQ-TMs über eine Option zum a</w:t>
      </w:r>
      <w:r>
        <w:t xml:space="preserve">utomatischen Speichern des Namens oder Pfads der Datei, aus der eine Übersetzungseinheit stammt – in Trados Studio hingegen kann ein solcher Wert, wie alle beschreibenden Metadaten, standardmäßig nur manuell über die Projekteinstellungen eingegeben werden.</w:t>
      </w:r>
      <w:r/>
    </w:p>
    <w:p>
      <w:pPr>
        <w:pStyle w:val="817"/>
        <w:pBdr/>
        <w:spacing/>
        <w:ind/>
        <w:rPr/>
      </w:pPr>
      <w:r>
        <w:t xml:space="preserve">Generell gilt: Wo immer möglich, sollten die Metadatenwerte in beschreibenden Felder</w:t>
      </w:r>
      <w:r>
        <w:t xml:space="preserve">n als Auswahllisten hinterlegt werden, um Inkonsistenzen durch Schreibvarianten, Rechtschreibfehler etc. zu vermeiden. Freitextfelder bleiben typischerweise auf diejenigen Metadaten beschränkt, die sich von Projekt zu Projekt ändern, z. B. der Projektname.</w:t>
      </w:r>
      <w:r/>
    </w:p>
    <w:p>
      <w:pPr>
        <w:pStyle w:val="896"/>
        <w:numPr>
          <w:ilvl w:val="2"/>
          <w:numId w:val="5"/>
        </w:numPr>
        <w:pBdr/>
        <w:spacing/>
        <w:ind w:hanging="180" w:left="823"/>
        <w:rPr/>
      </w:pPr>
      <w:r/>
      <w:bookmarkStart w:id="11" w:name="_Toc181194909"/>
      <w:r>
        <w:rPr>
          <w:rStyle w:val="856"/>
          <w:b/>
          <w:bCs w:val="0"/>
        </w:rPr>
        <w:t xml:space="preserve">Nutzungsbezogene Metadaten</w:t>
      </w:r>
      <w:bookmarkEnd w:id="11"/>
      <w:r/>
      <w:r/>
    </w:p>
    <w:p>
      <w:pPr>
        <w:pStyle w:val="817"/>
        <w:pBdr/>
        <w:spacing/>
        <w:ind/>
        <w:rPr/>
      </w:pPr>
      <w:r>
        <w:t xml:space="preserve">Nutzungsbezogene Metadaten geben Aufschluss darüber, ob und wie oft, von wem und wann zuletzt individuelle Übersetzungseinheiten wiederverwendet wurden. Dies ermöglicht es etwa, alte/nicht (mehr) genutzte Übersetzungseinheiten zu löschen und</w:t>
      </w:r>
      <w:r>
        <w:t xml:space="preserve"> so übermäßig große TMs gezielt zu bereinigen, um Performanceproblemen entgegenzuwirken. Darüber hinaus können entsprechende Informationen auch dazu genutzt werden, gezielte Qualitätssicherung für häufig wiederverwendete Übersetzungseinheiten zu betreiben.</w:t>
      </w:r>
      <w:r/>
    </w:p>
    <w:p>
      <w:pPr>
        <w:pStyle w:val="894"/>
        <w:numPr>
          <w:ilvl w:val="0"/>
          <w:numId w:val="5"/>
        </w:numPr>
        <w:pBdr/>
        <w:spacing/>
        <w:ind w:hanging="360" w:left="360"/>
        <w:rPr/>
      </w:pPr>
      <w:r/>
      <w:bookmarkStart w:id="12" w:name="_Toc181194910"/>
      <w:r>
        <w:t xml:space="preserve">Datenquellen identifizieren</w:t>
      </w:r>
      <w:bookmarkEnd w:id="12"/>
      <w:r/>
      <w:r/>
    </w:p>
    <w:p>
      <w:pPr>
        <w:pStyle w:val="817"/>
        <w:pBdr/>
        <w:spacing/>
        <w:ind/>
        <w:rPr/>
      </w:pPr>
      <w:r>
        <w:t xml:space="preserve">Nachdem die Zielsituation definiert und die erfo</w:t>
      </w:r>
      <w:r>
        <w:t xml:space="preserve">rderlichen Ressourcen erstellt wurden, gilt es, Quellen für existierende Übersetzungsdaten zu identifizieren. Hier sind natürlich zuallererst vorhandene TMs relevant, die bereits in der eigenen Organisation oder von Übersetzungsdienstleistern verwendet und</w:t>
      </w:r>
      <w:r>
        <w:t xml:space="preserve"> (idealerweise) gepflegt werden. Darüber hinaus können jedoch auch andere Daten von Interesse sein, insbesondere wenn vorhandene TMs unvollständig oder von schlechter Qualität sind. Alternative Möglichkeiten, um an Übersetzungsdaten zu gelangen, sind mehrs</w:t>
      </w:r>
      <w:r>
        <w:t xml:space="preserve">prachige Dokumente, XLIFF-Dateien aus vergangenen Übersetzungsprojekten oder auch mehrsprachige Exporte aus inhaltsführenden Systemen, wie etwa Content-Management- (CMS), Produktinformationsmanagement- (PIM) und Enterprise-Resource-Planning-Systemen (ERP).</w:t>
      </w:r>
      <w:r/>
    </w:p>
    <w:p>
      <w:pPr>
        <w:pStyle w:val="894"/>
        <w:numPr>
          <w:ilvl w:val="0"/>
          <w:numId w:val="5"/>
        </w:numPr>
        <w:pBdr/>
        <w:spacing/>
        <w:ind w:hanging="360" w:left="360"/>
        <w:rPr/>
      </w:pPr>
      <w:r/>
      <w:bookmarkStart w:id="13" w:name="_Toc181194911"/>
      <w:r>
        <w:t xml:space="preserve">Daten exportieren und migrieren</w:t>
      </w:r>
      <w:bookmarkEnd w:id="13"/>
      <w:r/>
      <w:r/>
    </w:p>
    <w:p>
      <w:pPr>
        <w:pStyle w:val="817"/>
        <w:pBdr/>
        <w:spacing/>
        <w:ind/>
        <w:rPr/>
      </w:pPr>
      <w:r>
        <w:t xml:space="preserve">Nachdem alle relevanten Datenquellen identifiziert wur</w:t>
      </w:r>
      <w:r>
        <w:t xml:space="preserve">den, müssen die Daten im nächsten Schritt in ein einheitliches Format gebracht werden. Mit Blick auf die Verwendung von Übersetzungsdaten in CAT-Tools bedeutet dies konkret, dass diese in das proprietäre Format des jeweiligen Tools überführt werden müssen.</w:t>
      </w:r>
      <w:r/>
    </w:p>
    <w:p>
      <w:pPr>
        <w:pStyle w:val="817"/>
        <w:pBdr/>
        <w:spacing/>
        <w:ind/>
        <w:rPr/>
      </w:pPr>
      <w:r>
        <w:t xml:space="preserve">Das genaue Vorgehen dabei hängt von Art und Umfang der Übersetzungsdaten ab: So können etwa XLIFF-Dateien aus vergangenen Projekten in den CAT-Editor importiert und darüber in ein neues TM gespeicher</w:t>
      </w:r>
      <w:r>
        <w:t xml:space="preserve">t werden. In mehreren Sprachen verfügbare Dokumente, aber u. U. auch mehrsprachige Exporte aus inhaltsführenden Systemen erfordern hingegen ein aufwendigeres Alignment. Der vermeintlich einfachste Weg, bestehende Übersetzungsdaten zu migrieren, ist der Aus</w:t>
      </w:r>
      <w:r>
        <w:t xml:space="preserve">tausch über den Translation-Memory-eXchange-Standard (TMX). In den folgenden Unterkapiteln werden dieser Standard sowie seine Umsetzung durch unterschiedliche CAT-Tool-Hersteller und die daraus entstehenden Herausforderungen bei Datenmigrationen skizziert.</w:t>
      </w:r>
      <w:r/>
    </w:p>
    <w:p>
      <w:pPr>
        <w:pStyle w:val="895"/>
        <w:numPr>
          <w:ilvl w:val="1"/>
          <w:numId w:val="5"/>
        </w:numPr>
        <w:pBdr/>
        <w:spacing/>
        <w:ind w:hanging="360" w:left="360"/>
        <w:rPr/>
      </w:pPr>
      <w:r/>
      <w:bookmarkStart w:id="14" w:name="_Toc181194912"/>
      <w:r>
        <w:t xml:space="preserve">Der TMX-Standard</w:t>
      </w:r>
      <w:bookmarkEnd w:id="14"/>
      <w:r/>
      <w:r/>
    </w:p>
    <w:p>
      <w:pPr>
        <w:pStyle w:val="817"/>
        <w:pBdr/>
        <w:spacing/>
        <w:ind/>
        <w:rPr/>
      </w:pPr>
      <w:r>
        <w:t xml:space="preserve">Der TMX-Standard hat die Aufgabe, den Datenaustausch zwischen Übersetzungssystemen unterschiedlicher Hersteller zu erleichtern. Entwickelt und veröffentlicht wurde er von der </w:t>
      </w:r>
      <w:r>
        <w:rPr>
          <w:i/>
        </w:rPr>
        <w:t xml:space="preserve">Fachgruppe Open Standards for Container/Content Allowing Re-use</w:t>
      </w:r>
      <w:r>
        <w:t xml:space="preserve"> (OSCAR) der Localization Industry Standards Association (LISA). Nach einer ersten Version aus dem Jahr 1998 erfolgten mehrere Überarbeitungen, bis zur Veröffentlichung der aktuellen Version des Standards, TMX 1.4b, im Jahr 2005 </w:t>
      </w:r>
      <w:r>
        <w:fldChar w:fldCharType="begin"/>
      </w:r>
      <w:r>
        <w:instrText xml:space="preserve">ADDIN ZOTERO_ITEM CSL_CITATION {"citationID":"m1oIC4BC","properties":{"formattedCitation":"(Localization Industry Standards Association 2005)","plainCitation</w:instrText>
      </w:r>
      <w:r>
        <w:instrText xml:space="preserve">":"(Localization Industry Standards Association 2005)","noteIndex":0},"citationItems":[{"id":9297,"uris":["http://zotero.org/users/3827919/items/T8AZNURF"],"itemData":{"id":9297,"type":"standard","title":"TMX 1.4b Specification","URL":"https://www.gala-glo</w:instrText>
      </w:r>
      <w:r>
        <w:instrText xml:space="preserve">bal.org/tmx-14b","author":[{"literal":"Localization Industry Standards Association"}],"accessed":{"date-parts":[["2024",9,11]]},"issued":{"date-parts":[["2005"]]}}}],"schema":"https://github.com/citation-style-language/schema/raw/master/csl-citation.json"}</w:instrText>
      </w:r>
      <w:r>
        <w:fldChar w:fldCharType="separate"/>
      </w:r>
      <w:r>
        <w:rPr>
          <w:rFonts w:cs="Times New Roman"/>
        </w:rPr>
        <w:t xml:space="preserve">(Localization Industry Standards Association 2005)</w:t>
      </w:r>
      <w:r>
        <w:fldChar w:fldCharType="end"/>
      </w:r>
      <w:r>
        <w:t xml:space="preserve">.</w:t>
      </w:r>
      <w:r/>
    </w:p>
    <w:p>
      <w:pPr>
        <w:pStyle w:val="817"/>
        <w:pBdr/>
        <w:spacing/>
        <w:ind/>
        <w:rPr/>
      </w:pPr>
      <w:r>
        <w:t xml:space="preserve">Der TMX-Standard basiert auf der Extensible Markup Language (XML), einer Auszeichnungssprache zur Darstellung hierarchischer Datenstrukturen in Textform, die sowohl menschen- als auch maschinenlesbar ist.</w:t>
      </w:r>
      <w:r>
        <w:rPr>
          <w:rStyle w:val="851"/>
        </w:rPr>
        <w:footnoteReference w:id="3"/>
      </w:r>
      <w:r/>
    </w:p>
    <w:p>
      <w:pPr>
        <w:pStyle w:val="817"/>
        <w:pBdr/>
        <w:spacing/>
        <w:ind/>
        <w:rPr/>
      </w:pPr>
      <w:r>
        <w:t xml:space="preserve">Eine TMX-Datei muss dabei mindestens die in Abb. 2 dargestellten Elemente enthalten:</w:t>
      </w:r>
      <w:r/>
    </w:p>
    <w:p>
      <w:pPr>
        <w:pStyle w:val="901"/>
        <w:numPr>
          <w:ilvl w:val="0"/>
          <w:numId w:val="7"/>
        </w:numPr>
        <w:pBdr/>
        <w:spacing w:after="0" w:before="0"/>
        <w:ind/>
        <w:contextualSpacing w:val="true"/>
        <w:rPr/>
      </w:pPr>
      <w:r>
        <w:t xml:space="preserve">Die XML-Deklaration.</w:t>
      </w:r>
      <w:r/>
    </w:p>
    <w:p>
      <w:pPr>
        <w:pStyle w:val="901"/>
        <w:numPr>
          <w:ilvl w:val="0"/>
          <w:numId w:val="7"/>
        </w:numPr>
        <w:pBdr/>
        <w:spacing w:after="0" w:before="0"/>
        <w:ind/>
        <w:contextualSpacing w:val="true"/>
        <w:rPr/>
      </w:pPr>
      <w:r>
        <w:t xml:space="preserve">Das Root-Element </w:t>
      </w:r>
      <w:r>
        <w:rPr>
          <w:i/>
          <w:iCs/>
        </w:rPr>
        <w:t xml:space="preserve">&lt;tmx&gt;</w:t>
      </w:r>
      <w:r>
        <w:t xml:space="preserve"> inkl. der Version.</w:t>
      </w:r>
      <w:r/>
    </w:p>
    <w:p>
      <w:pPr>
        <w:pStyle w:val="901"/>
        <w:numPr>
          <w:ilvl w:val="0"/>
          <w:numId w:val="7"/>
        </w:numPr>
        <w:pBdr/>
        <w:spacing w:after="0" w:before="0"/>
        <w:ind/>
        <w:contextualSpacing w:val="true"/>
        <w:rPr/>
      </w:pPr>
      <w:r>
        <w:t xml:space="preserve">Einen Header mit Metadaten über die TMX-Datei. Diese geben an:</w:t>
      </w:r>
      <w:r/>
    </w:p>
    <w:p>
      <w:pPr>
        <w:pStyle w:val="901"/>
        <w:numPr>
          <w:ilvl w:val="1"/>
          <w:numId w:val="7"/>
        </w:numPr>
        <w:pBdr/>
        <w:spacing w:after="0" w:before="0"/>
        <w:ind/>
        <w:contextualSpacing w:val="true"/>
        <w:rPr/>
      </w:pPr>
      <w:r>
        <w:t xml:space="preserve">mit welchem Tool (</w:t>
      </w:r>
      <w:r>
        <w:rPr>
          <w:i/>
        </w:rPr>
        <w:t xml:space="preserve">&lt;creationtool&gt;</w:t>
      </w:r>
      <w:r>
        <w:t xml:space="preserve">) in welcher Version (</w:t>
      </w:r>
      <w:r>
        <w:rPr>
          <w:i/>
        </w:rPr>
        <w:t xml:space="preserve">&lt;creationtoolversion&gt;</w:t>
      </w:r>
      <w:r>
        <w:t xml:space="preserve">) die Datei erstellt wurde,</w:t>
      </w:r>
      <w:r/>
    </w:p>
    <w:p>
      <w:pPr>
        <w:pStyle w:val="901"/>
        <w:numPr>
          <w:ilvl w:val="1"/>
          <w:numId w:val="7"/>
        </w:numPr>
        <w:pBdr/>
        <w:spacing w:after="0" w:before="0"/>
        <w:ind/>
        <w:contextualSpacing w:val="true"/>
        <w:rPr/>
      </w:pPr>
      <w:r>
        <w:t xml:space="preserve">welche Systemsprache in dem Tool eingestellt war (</w:t>
      </w:r>
      <w:r>
        <w:rPr>
          <w:i/>
        </w:rPr>
        <w:t xml:space="preserve">&lt;adminlang&gt;</w:t>
      </w:r>
      <w:r>
        <w:t xml:space="preserve">),</w:t>
      </w:r>
      <w:r/>
    </w:p>
    <w:p>
      <w:pPr>
        <w:pStyle w:val="901"/>
        <w:numPr>
          <w:ilvl w:val="1"/>
          <w:numId w:val="7"/>
        </w:numPr>
        <w:pBdr/>
        <w:spacing w:after="0" w:before="0"/>
        <w:ind/>
        <w:contextualSpacing w:val="true"/>
        <w:rPr/>
      </w:pPr>
      <w:r>
        <w:t xml:space="preserve">welches Dateiformat das Translation Memory hatte, auf dessen Grundlage die TMX-Datei erstellt wurde (</w:t>
      </w:r>
      <w:r>
        <w:rPr>
          <w:i/>
        </w:rPr>
        <w:t xml:space="preserve">&lt;o-tmf&gt;</w:t>
      </w:r>
      <w:r>
        <w:t xml:space="preserve">),</w:t>
      </w:r>
      <w:r/>
    </w:p>
    <w:p>
      <w:pPr>
        <w:pStyle w:val="901"/>
        <w:numPr>
          <w:ilvl w:val="1"/>
          <w:numId w:val="7"/>
        </w:numPr>
        <w:pBdr/>
        <w:spacing w:after="0" w:before="0"/>
        <w:ind/>
        <w:contextualSpacing w:val="true"/>
        <w:rPr/>
      </w:pPr>
      <w:r>
        <w:t xml:space="preserve">welche Art von Daten die TMX-Datei enthält (</w:t>
      </w:r>
      <w:r>
        <w:rPr>
          <w:i/>
        </w:rPr>
        <w:t xml:space="preserve">&lt;datatype&gt;</w:t>
      </w:r>
      <w:r>
        <w:t xml:space="preserve">),</w:t>
      </w:r>
      <w:r/>
    </w:p>
    <w:p>
      <w:pPr>
        <w:pStyle w:val="901"/>
        <w:numPr>
          <w:ilvl w:val="1"/>
          <w:numId w:val="7"/>
        </w:numPr>
        <w:pBdr/>
        <w:spacing w:after="0" w:before="0"/>
        <w:ind/>
        <w:contextualSpacing w:val="true"/>
        <w:rPr/>
      </w:pPr>
      <w:r>
        <w:t xml:space="preserve">wie die darin enthaltenen Übersetzungen segmentiert sind, bspw. satz- oder absatzbasiert (</w:t>
      </w:r>
      <w:r>
        <w:rPr>
          <w:i/>
        </w:rPr>
        <w:t xml:space="preserve">&lt;segtype&gt;</w:t>
      </w:r>
      <w:r>
        <w:t xml:space="preserve">),</w:t>
      </w:r>
      <w:r/>
    </w:p>
    <w:p>
      <w:pPr>
        <w:pStyle w:val="901"/>
        <w:numPr>
          <w:ilvl w:val="1"/>
          <w:numId w:val="7"/>
        </w:numPr>
        <w:pBdr/>
        <w:spacing w:after="0" w:before="0"/>
        <w:ind/>
        <w:contextualSpacing w:val="true"/>
        <w:rPr/>
      </w:pPr>
      <w:r>
        <w:t xml:space="preserve">welche Ausgangssprache sie hat (</w:t>
      </w:r>
      <w:r>
        <w:rPr>
          <w:i/>
        </w:rPr>
        <w:t xml:space="preserve">&lt;srclang&gt;</w:t>
      </w:r>
      <w:r>
        <w:t xml:space="preserve">).</w:t>
      </w:r>
      <w:r/>
    </w:p>
    <w:p>
      <w:pPr>
        <w:pStyle w:val="901"/>
        <w:numPr>
          <w:ilvl w:val="0"/>
          <w:numId w:val="7"/>
        </w:numPr>
        <w:pBdr/>
        <w:spacing w:after="160" w:before="0"/>
        <w:ind/>
        <w:contextualSpacing w:val="true"/>
        <w:rPr/>
      </w:pPr>
      <w:r>
        <w:t xml:space="preserve">Das </w:t>
      </w:r>
      <w:r>
        <w:rPr>
          <w:i/>
        </w:rPr>
        <w:t xml:space="preserve">&lt;body&gt;</w:t>
      </w:r>
      <w:r>
        <w:t xml:space="preserve">-Element mit den Translation Units (</w:t>
      </w:r>
      <w:r>
        <w:rPr>
          <w:i/>
        </w:rPr>
        <w:t xml:space="preserve">&lt;tu&gt;</w:t>
      </w:r>
      <w:r>
        <w:t xml:space="preserve">), die die eigentlichen Übersetzungsdaten enthalten.</w:t>
      </w:r>
      <w:r/>
    </w:p>
    <w:p>
      <w:pPr>
        <w:pStyle w:val="817"/>
        <w:pBdr/>
        <w:spacing/>
        <w:ind/>
        <w:jc w:val="center"/>
        <w:rPr/>
      </w:pPr>
      <w:r>
        <mc:AlternateContent>
          <mc:Choice Requires="wpg">
            <w:drawing>
              <wp:inline xmlns:wp="http://schemas.openxmlformats.org/drawingml/2006/wordprocessingDrawing" distT="0" distB="0" distL="0" distR="0">
                <wp:extent cx="2444750" cy="2630805"/>
                <wp:effectExtent l="0" t="0" r="0" b="0"/>
                <wp:docPr id="2" name="Bil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descr=""/>
                        <pic:cNvPicPr>
                          <a:picLocks noChangeAspect="1"/>
                        </pic:cNvPicPr>
                        <pic:nvPr/>
                      </pic:nvPicPr>
                      <pic:blipFill>
                        <a:blip r:embed="rId11"/>
                        <a:stretch/>
                      </pic:blipFill>
                      <pic:spPr bwMode="auto">
                        <a:xfrm>
                          <a:off x="0" y="0"/>
                          <a:ext cx="2444750" cy="26308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2.50pt;height:207.15pt;mso-wrap-distance-left:0.00pt;mso-wrap-distance-top:0.00pt;mso-wrap-distance-right:0.00pt;mso-wrap-distance-bottom:0.00pt;z-index:1;" stroked="false">
                <v:imagedata r:id="rId11" o:title=""/>
                <o:lock v:ext="edit" rotation="t"/>
              </v:shape>
            </w:pict>
          </mc:Fallback>
        </mc:AlternateContent>
      </w:r>
      <w:r/>
    </w:p>
    <w:p>
      <w:pPr>
        <w:pStyle w:val="865"/>
        <w:pBdr/>
        <w:spacing/>
        <w:ind/>
        <w:rPr/>
      </w:pPr>
      <w:r>
        <w:t xml:space="preserve">Abb. 2: TMX-Beispieldokument mit verpflichtenden Elementen</w:t>
        <w:br/>
        <w:t xml:space="preserve"> </w:t>
      </w:r>
      <w:r>
        <w:fldChar w:fldCharType="begin"/>
      </w:r>
      <w:r>
        <w:instrText xml:space="preserve">ADDIN ZOTERO_ITEM CSL_CITATION {"citationID":"gN0m4WcT","properties":{"formattedCitation":"(in Anlehnung an ebd.)","plainCitation</w:instrText>
      </w:r>
      <w:r>
        <w:instrText xml:space="preserve">":"(in Anlehnung an ebd.)","noteIndex":0},"citationItems":[{"id":9297,"uris":["http://zotero.org/users/3827919/items/T8AZNURF"],"itemData":{"id":9297,"type":"standard","title":"TMX 1.4b Specification","URL":"https://www.gala-global.org/tmx-14b","author":[{</w:instrText>
      </w:r>
      <w:r>
        <w:instrText xml:space="preserve">"literal":"Localization Industry Standards Association"}],"accessed":{"date-parts":[["2024",9,11]]},"issued":{"date-parts":[["2005"]]}},"prefix":"in Anlehnung an "}],"schema":"https://github.com/citation-style-language/schema/raw/master/csl-citation.json"}</w:instrText>
      </w:r>
      <w:r>
        <w:fldChar w:fldCharType="separate"/>
      </w:r>
      <w:r>
        <w:rPr>
          <w:rFonts w:cs="Times New Roman"/>
        </w:rPr>
        <w:t xml:space="preserve">(in Anlehnung an ebd.)</w:t>
      </w:r>
      <w:r>
        <w:fldChar w:fldCharType="end"/>
      </w:r>
      <w:r/>
      <w:r/>
    </w:p>
    <w:p>
      <w:pPr>
        <w:pStyle w:val="817"/>
        <w:pBdr/>
        <w:spacing/>
        <w:ind/>
        <w:rPr/>
      </w:pPr>
      <w:r>
        <w:t xml:space="preserve">Neben di</w:t>
      </w:r>
      <w:r>
        <w:t xml:space="preserve">esen verpflichtenden Elementen können TMX-Dateien eine ganze Reihe weiterer Elemente enthalten: darunter eine Reihe von Elementen, die im TMX-Standard definiert sind, wie etwa Angaben von wem und wann eine Übersetzungseinheit erstellt oder geändert wurde (</w:t>
      </w:r>
      <w:r>
        <w:rPr>
          <w:i/>
          <w:iCs/>
        </w:rPr>
        <w:t xml:space="preserve">&lt;creationid&gt;</w:t>
      </w:r>
      <w:r>
        <w:t xml:space="preserve"> und </w:t>
      </w:r>
      <w:r>
        <w:rPr>
          <w:i/>
          <w:iCs/>
        </w:rPr>
        <w:t xml:space="preserve">&lt;creationdate&gt;</w:t>
      </w:r>
      <w:r>
        <w:t xml:space="preserve"> bzw. </w:t>
      </w:r>
      <w:r>
        <w:rPr>
          <w:i/>
          <w:iCs/>
        </w:rPr>
        <w:t xml:space="preserve">&lt;changeid&gt;</w:t>
      </w:r>
      <w:r>
        <w:t xml:space="preserve"> und </w:t>
      </w:r>
      <w:r>
        <w:rPr>
          <w:i/>
          <w:iCs/>
        </w:rPr>
        <w:t xml:space="preserve">&lt;changedate&gt;</w:t>
      </w:r>
      <w:r>
        <w:t xml:space="preserve">).</w:t>
      </w:r>
      <w:r/>
    </w:p>
    <w:p>
      <w:pPr>
        <w:pStyle w:val="817"/>
        <w:pBdr/>
        <w:spacing/>
        <w:ind/>
        <w:rPr/>
      </w:pPr>
      <w:r>
        <w:t xml:space="preserve">Darüber hinaus können jedoch auch sogenannte Properties (</w:t>
      </w:r>
      <w:r>
        <w:rPr>
          <w:i/>
        </w:rPr>
        <w:t xml:space="preserve">&lt;prop&gt;</w:t>
      </w:r>
      <w:r>
        <w:t xml:space="preserve">) e</w:t>
      </w:r>
      <w:r>
        <w:t xml:space="preserve">nthalten sein, die nicht Teil des Standards sind, sondern vom jeweiligen Tool vorgegeben werden. Die Schwierigkeiten, die sich daraus für den Austausch von Übersetzungsdaten zwischen unterschiedlichen Tools ergeben, werden im folgenden Kapitel beschrieben.</w:t>
      </w:r>
      <w:r/>
    </w:p>
    <w:p>
      <w:pPr>
        <w:pStyle w:val="895"/>
        <w:numPr>
          <w:ilvl w:val="1"/>
          <w:numId w:val="5"/>
        </w:numPr>
        <w:pBdr/>
        <w:spacing/>
        <w:ind w:hanging="360" w:left="360"/>
        <w:rPr/>
      </w:pPr>
      <w:r/>
      <w:bookmarkStart w:id="15" w:name="_Toc181194913"/>
      <w:r>
        <w:t xml:space="preserve">TMX-Kompatibilität vs. -Interoperabilität</w:t>
      </w:r>
      <w:bookmarkEnd w:id="15"/>
      <w:r/>
      <w:r/>
    </w:p>
    <w:p>
      <w:pPr>
        <w:pStyle w:val="817"/>
        <w:pBdr/>
        <w:spacing/>
        <w:ind/>
        <w:rPr/>
      </w:pPr>
      <w:r>
        <w:t xml:space="preserve">Idee und Ziel hinter der </w:t>
      </w:r>
      <w:r>
        <w:t xml:space="preserve">Entwicklung des TMX-Standards sind eindeutig: den Austausch von Übersetzungsdaten über verschiedene Installationen bzw. auch unterschiedliche Systeme hinweg zu ermöglichen. Betrachtet man die große Zahl an Übersetzungssystemen, die TMX implementiert haben,</w:t>
      </w:r>
      <w:r>
        <w:rPr>
          <w:rStyle w:val="851"/>
        </w:rPr>
        <w:footnoteReference w:id="4"/>
      </w:r>
      <w:r>
        <w:t xml:space="preserve"> so scheint dieses Ziel erreicht. Allerdings: So „nahtlos“, wie der Austausch häufig dargestellt wird </w:t>
      </w:r>
      <w:r>
        <w:fldChar w:fldCharType="begin"/>
      </w:r>
      <w:r>
        <w:instrText xml:space="preserve">ADDIN ZOTERO_ITEM CSL_CITATION {"citationID":"01scSywq","properties":{"formattedCitation":"(siehe etwa Chan 2015; Roturier 2020)","plainCitation":"(siehe etwa Chan 2015; Roturier 2020)",</w:instrText>
      </w:r>
      <w:r>
        <w:instrText xml:space="preserve">"noteIndex":0},"citationItems":[{"id":9292,"uris":["http://zotero.org/users/3827919/items/ASYN5UMI"],"itemData":{"id":9292,"type":"chapter","container-title":"The Routledge Encyclopedia of Translation Technology","event-place":"Oxon, New York","page":"32–6</w:instrText>
      </w:r>
      <w:r>
        <w:instrText xml:space="preserve">7","publisher":"Routledge","publisher-place":"Oxon, New York","title":"Computer-aided translation: major concepts","editor":[{"family":"Chan","given":"Sin-wai"}],"author":[{"family":"Chan","given":"Sin-wai"}],"issued":{"date-parts":[["2015"]]}},"prefix":"s</w:instrText>
      </w:r>
      <w:r>
        <w:instrText xml:space="preserve">iehe etwa"},{"id":9293,"uris":["http://zotero.org/users/3827919/items/JIFTDNA3"],"itemData":{"id":9293,"type":"chapter","call-number":"P306.97.T73 .R69 2020","collection-title":"Routledge Handbooks in Translation and Interpreting Studies","container-title"</w:instrText>
      </w:r>
      <w:r>
        <w:instrText xml:space="preserve">:"The Routledge Handbook of Translation and Technology","event-place":"London, New York","ISBN":"978-1-138-23284-6","language":"en","page":"45–60","publisher":"Routledge","publisher-place":"London, New York","source":"Library of Congress ISBN","title":"XML</w:instrText>
      </w:r>
      <w:r>
        <w:instrText xml:space="preserve"> for translation technology","editor":[{"family":"O'Hagan","given":"Minako"}],"author":[{"family":"Roturier","given":"Johann"}],"issued":{"date-parts":[["2020"]]}}}],"schema":"https://github.com/citation-style-language/schema/raw/master/csl-citation.json"}</w:instrText>
      </w:r>
      <w:r>
        <w:fldChar w:fldCharType="separate"/>
      </w:r>
      <w:r>
        <w:rPr>
          <w:rFonts w:cs="Times New Roman"/>
        </w:rPr>
        <w:t xml:space="preserve">(siehe etwa Chan 2015; Roturier 2020)</w:t>
      </w:r>
      <w:r>
        <w:fldChar w:fldCharType="end"/>
      </w:r>
      <w:r>
        <w:t xml:space="preserve">, ist er bei genauerem Hinsehen nicht. Tatsächlich basier</w:t>
      </w:r>
      <w:r>
        <w:t xml:space="preserve">en die Austauschformate vieler CAT-Tools zwar auf TMX, die Hersteller gehen bei der Umsetzung des Standards jedoch eigene Wege. Die dabei entstehenden TMX-„Dialekte“ sind mehr oder weniger interoperabel, jedoch bei weitem nicht voll miteinander kompatibel.</w:t>
      </w:r>
      <w:r>
        <w:rPr>
          <w:rStyle w:val="851"/>
        </w:rPr>
        <w:footnoteReference w:id="5"/>
      </w:r>
      <w:r/>
    </w:p>
    <w:p>
      <w:pPr>
        <w:pStyle w:val="817"/>
        <w:keepNext w:val="false"/>
        <w:pBdr/>
        <w:spacing/>
        <w:ind/>
        <w:rPr/>
      </w:pPr>
      <w:r/>
      <w:bookmarkStart w:id="16" w:name="__RefHeading__470_2075933062"/>
      <w:r/>
      <w:bookmarkEnd w:id="16"/>
      <w:r>
        <w:t xml:space="preserve">Grob lässt sich hierzu Folgendes festhalten: Die in einem TM gespeicherten Übersetzungen lassen sich typischerweise – auch über verschiedene Systeme hinweg – problemlos(e</w:t>
      </w:r>
      <w:r>
        <w:t xml:space="preserve">r) per TMX austauschen (wobei es auch hier Inkompatibilitäten geben kann, die zu Matchverlusten führen, etwa in Bezug auf die Auszeichnung von Tags!). Anders sieht es hingegen mit den Metadaten aus, die Informationen zu diesen Übersetzungen bereitstellen. </w:t>
      </w:r>
      <w:r/>
    </w:p>
    <w:p>
      <w:pPr>
        <w:pStyle w:val="817"/>
        <w:keepNext w:val="false"/>
        <w:pBdr/>
        <w:spacing/>
        <w:ind/>
        <w:rPr/>
      </w:pPr>
      <w:r>
        <w:t xml:space="preserve">Dies betrifft zunächst beschreibende Metadaten, die von unterschiedlichen Tools unterschiedlich umgesetzt werden. So gibt es:</w:t>
      </w:r>
      <w:r/>
    </w:p>
    <w:p>
      <w:pPr>
        <w:pStyle w:val="878"/>
        <w:numPr>
          <w:ilvl w:val="0"/>
          <w:numId w:val="4"/>
        </w:numPr>
        <w:pBdr/>
        <w:spacing w:after="0" w:before="0"/>
        <w:ind/>
        <w:rPr/>
      </w:pPr>
      <w:r>
        <w:t xml:space="preserve">TM-Systeme, die eine feste Auswahl an Feldern für beschreibende Metadaten vorgeben. Dies trifft beispielsweise auf Phrase zu, wo es die Felder </w:t>
      </w:r>
      <w:r>
        <w:rPr>
          <w:i/>
        </w:rPr>
        <w:t xml:space="preserve">Client</w:t>
      </w:r>
      <w:r>
        <w:t xml:space="preserve">, </w:t>
      </w:r>
      <w:r>
        <w:rPr>
          <w:i/>
        </w:rPr>
        <w:t xml:space="preserve">Business Unit</w:t>
      </w:r>
      <w:r>
        <w:t xml:space="preserve">, </w:t>
      </w:r>
      <w:r>
        <w:rPr>
          <w:i/>
        </w:rPr>
        <w:t xml:space="preserve">Domain</w:t>
      </w:r>
      <w:r>
        <w:t xml:space="preserve">, </w:t>
      </w:r>
      <w:r>
        <w:rPr>
          <w:i/>
        </w:rPr>
        <w:t xml:space="preserve">Subdomain</w:t>
      </w:r>
      <w:r>
        <w:t xml:space="preserve"> und </w:t>
      </w:r>
      <w:r>
        <w:rPr>
          <w:i/>
        </w:rPr>
        <w:t xml:space="preserve">Note</w:t>
      </w:r>
      <w:r>
        <w:t xml:space="preserve"> gibt.</w:t>
      </w:r>
      <w:r/>
    </w:p>
    <w:p>
      <w:pPr>
        <w:pStyle w:val="878"/>
        <w:numPr>
          <w:ilvl w:val="0"/>
          <w:numId w:val="4"/>
        </w:numPr>
        <w:pBdr/>
        <w:spacing w:after="0" w:before="0"/>
        <w:ind/>
        <w:rPr/>
      </w:pPr>
      <w:r>
        <w:t xml:space="preserve">TM-Systeme, die feste Felder für beschreibende Metadaten vorgeben, zusätzlich aber auch benutzerdefinierte Felder zulassen. Dies trifft etwa auf memoQ zu. Neben den Standardmetadatenfeldern </w:t>
      </w:r>
      <w:r>
        <w:rPr>
          <w:i/>
        </w:rPr>
        <w:t xml:space="preserve">Client</w:t>
      </w:r>
      <w:r>
        <w:t xml:space="preserve">, </w:t>
      </w:r>
      <w:r>
        <w:rPr>
          <w:i/>
        </w:rPr>
        <w:t xml:space="preserve">Project</w:t>
      </w:r>
      <w:r>
        <w:t xml:space="preserve">, </w:t>
      </w:r>
      <w:r>
        <w:rPr>
          <w:i/>
        </w:rPr>
        <w:t xml:space="preserve">Domain</w:t>
      </w:r>
      <w:r>
        <w:t xml:space="preserve"> und </w:t>
      </w:r>
      <w:r>
        <w:rPr>
          <w:i/>
        </w:rPr>
        <w:t xml:space="preserve">Subject</w:t>
      </w:r>
      <w:r>
        <w:t xml:space="preserve"> lassen sich in memoQ-TMs für eine feingliedrigere Auszeichnung benutzerdefinierte Felder anlegen.</w:t>
      </w:r>
      <w:r/>
    </w:p>
    <w:p>
      <w:pPr>
        <w:pStyle w:val="878"/>
        <w:numPr>
          <w:ilvl w:val="0"/>
          <w:numId w:val="4"/>
        </w:numPr>
        <w:pBdr/>
        <w:spacing w:after="140" w:before="0"/>
        <w:ind/>
        <w:rPr/>
      </w:pPr>
      <w:r>
        <w:t xml:space="preserve">TM-Systeme, in denen für die Speicherung beschreibender Metadaten benutzerdefinierte Felder angelegt werden müssen. Dies ist beispielsweise bei Trados Studio der Fall.</w:t>
      </w:r>
      <w:r/>
    </w:p>
    <w:p>
      <w:pPr>
        <w:pStyle w:val="817"/>
        <w:pBdr/>
        <w:spacing/>
        <w:ind/>
        <w:rPr/>
      </w:pPr>
      <w:r>
        <w:t xml:space="preserve">Konkret bedeutet di</w:t>
      </w:r>
      <w:r>
        <w:t xml:space="preserve">es, dass bei der Konsolidierung von Übersetzungsdaten aus verschiedenen Systemen die beschreibenden Metadatenfelder aufeinander gemappt werden müssen, wobei es – etwa im Fall von Phrase – Einschränkungen in Bezug auf die Zahl verfügbarer Felder geben kann.</w:t>
      </w:r>
      <w:r/>
    </w:p>
    <w:p>
      <w:pPr>
        <w:pStyle w:val="817"/>
        <w:pBdr/>
        <w:spacing/>
        <w:ind/>
        <w:rPr/>
      </w:pPr>
      <w:r>
        <w:t xml:space="preserve">Ein weiteres eindrückliches Bei</w:t>
      </w:r>
      <w:r>
        <w:t xml:space="preserve">spiel für durch TMX-Dialekte entstehende Herausforderungen ist die Speicherung von Fließtextkontexten in memoQ- und Trados-TMs: Während memoQ sowohl das vorgehende als auch das nachfolgende Segment als Kontext speichert (in den Property-Elementen des Typs </w:t>
      </w:r>
      <w:r>
        <w:rPr>
          <w:i/>
          <w:iCs/>
        </w:rPr>
        <w:t xml:space="preserve">x-context-pre</w:t>
      </w:r>
      <w:r>
        <w:t xml:space="preserve"> bzw. </w:t>
      </w:r>
      <w:r>
        <w:rPr>
          <w:i/>
          <w:iCs/>
        </w:rPr>
        <w:t xml:space="preserve">x-context-post</w:t>
      </w:r>
      <w:r>
        <w:t xml:space="preserve">, siehe Abb. 3), speichert Trados Studio nur das vorhergehende Segment (in Property-Elementen des Typs </w:t>
      </w:r>
      <w:r>
        <w:rPr>
          <w:i/>
          <w:iCs/>
        </w:rPr>
        <w:t xml:space="preserve">x-ContextContent</w:t>
      </w:r>
      <w:r>
        <w:t xml:space="preserve">, siehe Abb. 4). </w:t>
      </w:r>
      <w:r/>
    </w:p>
    <w:p>
      <w:pPr>
        <w:pStyle w:val="817"/>
        <w:pBdr/>
        <w:spacing/>
        <w:ind/>
        <w:jc w:val="center"/>
        <w:rPr/>
      </w:pPr>
      <w:r>
        <mc:AlternateContent>
          <mc:Choice Requires="wpg">
            <w:drawing>
              <wp:inline xmlns:wp="http://schemas.openxmlformats.org/drawingml/2006/wordprocessingDrawing" distT="0" distB="0" distL="0" distR="0">
                <wp:extent cx="4078605" cy="1271270"/>
                <wp:effectExtent l="0" t="0" r="0" b="0"/>
                <wp:docPr id="3" name="Bild3"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descr="A computer code on a white background&#10;&#10;Description automatically generated"/>
                        <pic:cNvPicPr>
                          <a:picLocks noChangeAspect="1"/>
                        </pic:cNvPicPr>
                        <pic:nvPr/>
                      </pic:nvPicPr>
                      <pic:blipFill>
                        <a:blip r:embed="rId12"/>
                        <a:stretch/>
                      </pic:blipFill>
                      <pic:spPr bwMode="auto">
                        <a:xfrm>
                          <a:off x="0" y="0"/>
                          <a:ext cx="4078605" cy="12712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1.15pt;height:100.10pt;mso-wrap-distance-left:0.00pt;mso-wrap-distance-top:0.00pt;mso-wrap-distance-right:0.00pt;mso-wrap-distance-bottom:0.00pt;z-index:1;" stroked="false">
                <v:imagedata r:id="rId12" o:title=""/>
                <o:lock v:ext="edit" rotation="t"/>
              </v:shape>
            </w:pict>
          </mc:Fallback>
        </mc:AlternateContent>
      </w:r>
      <w:r/>
    </w:p>
    <w:p>
      <w:pPr>
        <w:pStyle w:val="865"/>
        <w:pBdr/>
        <w:spacing/>
        <w:ind/>
        <w:rPr/>
      </w:pPr>
      <w:r>
        <w:t xml:space="preserve">Abb. 3: Speicherung von Fließtextkontext in memoQ-TMX-Dateien</w:t>
      </w:r>
      <w:r/>
    </w:p>
    <w:p>
      <w:pPr>
        <w:pStyle w:val="817"/>
        <w:pBdr/>
        <w:spacing/>
        <w:ind/>
        <w:jc w:val="center"/>
        <w:rPr/>
      </w:pPr>
      <w:r>
        <mc:AlternateContent>
          <mc:Choice Requires="wpg">
            <w:drawing>
              <wp:inline xmlns:wp="http://schemas.openxmlformats.org/drawingml/2006/wordprocessingDrawing" distT="0" distB="0" distL="0" distR="0">
                <wp:extent cx="4054475" cy="1085850"/>
                <wp:effectExtent l="0" t="0" r="0" b="0"/>
                <wp:docPr id="4" name="Bild4"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4" descr="A computer screen shot of a computer code&#10;&#10;Description automatically generated"/>
                        <pic:cNvPicPr>
                          <a:picLocks noChangeAspect="1"/>
                        </pic:cNvPicPr>
                        <pic:nvPr/>
                      </pic:nvPicPr>
                      <pic:blipFill>
                        <a:blip r:embed="rId13"/>
                        <a:stretch/>
                      </pic:blipFill>
                      <pic:spPr bwMode="auto">
                        <a:xfrm>
                          <a:off x="0" y="0"/>
                          <a:ext cx="4054475" cy="10858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19.25pt;height:85.50pt;mso-wrap-distance-left:0.00pt;mso-wrap-distance-top:0.00pt;mso-wrap-distance-right:0.00pt;mso-wrap-distance-bottom:0.00pt;z-index:1;" stroked="false">
                <v:imagedata r:id="rId13" o:title=""/>
                <o:lock v:ext="edit" rotation="t"/>
              </v:shape>
            </w:pict>
          </mc:Fallback>
        </mc:AlternateContent>
      </w:r>
      <w:r/>
    </w:p>
    <w:p>
      <w:pPr>
        <w:pStyle w:val="865"/>
        <w:pBdr/>
        <w:spacing/>
        <w:ind/>
        <w:rPr/>
      </w:pPr>
      <w:r>
        <w:t xml:space="preserve">Abb. 4: Speicherung von Fließtextkontext in Trados-TMX-Dateien</w:t>
      </w:r>
      <w:r/>
    </w:p>
    <w:p>
      <w:pPr>
        <w:pStyle w:val="817"/>
        <w:pBdr/>
        <w:spacing/>
        <w:ind/>
        <w:rPr/>
      </w:pPr>
      <w:r>
        <w:t xml:space="preserve">Das bedeutet: Während (in dieser Hinsicht!) eine Migration von TM-Daten aus memoQ in Trados Studio keine besonderen Maßnahmen erfordert, führt im umgekehrten Fall ein einfacher Import von TMX-Dateien aus Trados Studio dazu, dass alle Segmente ihren Fl</w:t>
      </w:r>
      <w:r>
        <w:t xml:space="preserve">ießtextkontext verlieren. Da für Kontext-Matches in memoQ beide Kontexte im TM gespeichert sein müssen, würde dies bedeuten, dass alle potenziellen Kontext-Matches nur noch mit 100 % matchen – was zu erheblichen Mehrkosten führen kann (siehe Abb. 5 und 6)!</w:t>
      </w:r>
      <w:r/>
    </w:p>
    <w:p>
      <w:pPr>
        <w:pStyle w:val="817"/>
        <w:pBdr/>
        <w:spacing/>
        <w:ind/>
        <w:rPr/>
      </w:pPr>
      <w:r>
        <mc:AlternateContent>
          <mc:Choice Requires="wpg">
            <w:drawing>
              <wp:inline xmlns:wp="http://schemas.openxmlformats.org/drawingml/2006/wordprocessingDrawing" distT="0" distB="0" distL="0" distR="0">
                <wp:extent cx="4319905" cy="493395"/>
                <wp:effectExtent l="0" t="0" r="0" b="0"/>
                <wp:docPr id="5" name="Bild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5" descr=""/>
                        <pic:cNvPicPr>
                          <a:picLocks noChangeAspect="1"/>
                        </pic:cNvPicPr>
                        <pic:nvPr/>
                      </pic:nvPicPr>
                      <pic:blipFill>
                        <a:blip r:embed="rId14"/>
                        <a:stretch/>
                      </pic:blipFill>
                      <pic:spPr bwMode="auto">
                        <a:xfrm>
                          <a:off x="0" y="0"/>
                          <a:ext cx="4319905" cy="4933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0.15pt;height:38.85pt;mso-wrap-distance-left:0.00pt;mso-wrap-distance-top:0.00pt;mso-wrap-distance-right:0.00pt;mso-wrap-distance-bottom:0.00pt;z-index:1;" stroked="false">
                <v:imagedata r:id="rId14" o:title=""/>
                <o:lock v:ext="edit" rotation="t"/>
              </v:shape>
            </w:pict>
          </mc:Fallback>
        </mc:AlternateContent>
      </w:r>
      <w:r/>
    </w:p>
    <w:p>
      <w:pPr>
        <w:pStyle w:val="865"/>
        <w:pBdr/>
        <w:spacing/>
        <w:ind/>
        <w:rPr/>
      </w:pPr>
      <w:r>
        <w:t xml:space="preserve">Abb. 5: Match-Werte in memoQ mit unverändertem TMX-Import aus memoQ</w:t>
      </w:r>
      <w:r/>
    </w:p>
    <w:p>
      <w:pPr>
        <w:pStyle w:val="865"/>
        <w:pBdr/>
        <w:spacing/>
        <w:ind/>
        <w:rPr/>
      </w:pPr>
      <w:r/>
      <w:r/>
    </w:p>
    <w:p>
      <w:pPr>
        <w:pStyle w:val="817"/>
        <w:pBdr/>
        <w:spacing/>
        <w:ind/>
        <w:rPr/>
      </w:pPr>
      <w:r>
        <mc:AlternateContent>
          <mc:Choice Requires="wpg">
            <w:drawing>
              <wp:inline xmlns:wp="http://schemas.openxmlformats.org/drawingml/2006/wordprocessingDrawing" distT="0" distB="0" distL="0" distR="0">
                <wp:extent cx="4279900" cy="492760"/>
                <wp:effectExtent l="0" t="0" r="0" b="0"/>
                <wp:docPr id="6" name="Bild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6" descr=""/>
                        <pic:cNvPicPr>
                          <a:picLocks noChangeAspect="1"/>
                        </pic:cNvPicPr>
                        <pic:nvPr/>
                      </pic:nvPicPr>
                      <pic:blipFill>
                        <a:blip r:embed="rId15"/>
                        <a:stretch/>
                      </pic:blipFill>
                      <pic:spPr bwMode="auto">
                        <a:xfrm>
                          <a:off x="0" y="0"/>
                          <a:ext cx="4279900" cy="49275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7.00pt;height:38.80pt;mso-wrap-distance-left:0.00pt;mso-wrap-distance-top:0.00pt;mso-wrap-distance-right:0.00pt;mso-wrap-distance-bottom:0.00pt;z-index:1;" stroked="false">
                <v:imagedata r:id="rId15" o:title=""/>
                <o:lock v:ext="edit" rotation="t"/>
              </v:shape>
            </w:pict>
          </mc:Fallback>
        </mc:AlternateContent>
      </w:r>
      <w:r/>
    </w:p>
    <w:p>
      <w:pPr>
        <w:pStyle w:val="865"/>
        <w:pBdr/>
        <w:spacing/>
        <w:ind/>
        <w:rPr/>
      </w:pPr>
      <w:r>
        <w:t xml:space="preserve">Abb. 6: Match-Werte in memoQ mit unverändertem TMX-Import aus Trados Studio</w:t>
      </w:r>
      <w:r/>
    </w:p>
    <w:p>
      <w:pPr>
        <w:pStyle w:val="865"/>
        <w:pBdr/>
        <w:spacing/>
        <w:ind/>
        <w:rPr/>
      </w:pPr>
      <w:r/>
      <w:r/>
    </w:p>
    <w:p>
      <w:pPr>
        <w:pStyle w:val="817"/>
        <w:pBdr/>
        <w:spacing/>
        <w:ind/>
        <w:rPr/>
      </w:pPr>
      <w:r>
        <w:t xml:space="preserve">Dieses Beispiel zeigt bereits, dass ein einfaches Importieren von TMX-Dateien aus anderen CAT-Tools u. U. massive Matchverluste nach sich ziehen kann. Eine Migration von Übersetzungsdaten über verschieden</w:t>
      </w:r>
      <w:r>
        <w:t xml:space="preserve">e Systeme hinweg ist damit sinnvoll allein mit CAT-Tools nicht möglich. Vielmehr werden je nach beteiligten Systemen und Migrationsrichtung spezielle Migrationsskripte benötigt, die Inkompatibilitäten zwischen TMX-Dialekten so weit wie möglich ausgleichen.</w:t>
      </w:r>
      <w:r/>
    </w:p>
    <w:p>
      <w:pPr>
        <w:pStyle w:val="894"/>
        <w:numPr>
          <w:ilvl w:val="0"/>
          <w:numId w:val="5"/>
        </w:numPr>
        <w:pBdr/>
        <w:spacing/>
        <w:ind w:hanging="360" w:left="360"/>
        <w:rPr/>
      </w:pPr>
      <w:r/>
      <w:bookmarkStart w:id="17" w:name="_Toc181194914"/>
      <w:r>
        <w:t xml:space="preserve">Daten analysieren</w:t>
      </w:r>
      <w:bookmarkEnd w:id="17"/>
      <w:r/>
      <w:r/>
    </w:p>
    <w:p>
      <w:pPr>
        <w:pStyle w:val="817"/>
        <w:pBdr/>
        <w:spacing/>
        <w:ind/>
        <w:rPr/>
      </w:pPr>
      <w:r>
        <w:t xml:space="preserve">Nachdem alle Übersetzungsdaten in das Format des Zielsystems gebracht wurden, kann die Analyse beginnen. Die in diesem Zusammenhang erforderlichen Analysen umfassen quantitative wie qualitative Aspekte, die in den fol</w:t>
      </w:r>
      <w:r>
        <w:t xml:space="preserve">genden Unterkapiteln vorgestellt werden. Eine nachhaltige, effiziente Nutzung und Pflege von Translation Memorys setzt nämlich nicht nur standardisierte Prozesse, sondern auch und vor allem explizit definierte Qualitätskriterien für die darin enthaltenen D</w:t>
      </w:r>
      <w:r>
        <w:t xml:space="preserve">aten voraus. Im Rahmen von Harmonisierungsprojekten ist eine Bewertung vorhandener Übersetzungsdaten anhand entsprechender Kriterien umso wichtiger, als diese Daten typischerweise aus unterschiedlichen Quellen stammen und unterschiedlich verwaltet wurden. </w:t>
      </w:r>
      <w:r/>
    </w:p>
    <w:p>
      <w:pPr>
        <w:pStyle w:val="895"/>
        <w:numPr>
          <w:ilvl w:val="1"/>
          <w:numId w:val="5"/>
        </w:numPr>
        <w:pBdr/>
        <w:spacing/>
        <w:ind w:hanging="360" w:left="360"/>
        <w:rPr/>
      </w:pPr>
      <w:r/>
      <w:bookmarkStart w:id="18" w:name="_Toc181194915"/>
      <w:r>
        <w:t xml:space="preserve">Quantitative Analysen</w:t>
      </w:r>
      <w:bookmarkEnd w:id="18"/>
      <w:r/>
      <w:r/>
    </w:p>
    <w:p>
      <w:pPr>
        <w:pStyle w:val="817"/>
        <w:pBdr/>
        <w:spacing/>
        <w:ind/>
        <w:rPr/>
      </w:pPr>
      <w:r>
        <w:t xml:space="preserve">Zu den quantitativen Aspekten bei der Analyse von Übersetzungsdaten zählen unter anderem folgende Frage:</w:t>
      </w:r>
      <w:r/>
    </w:p>
    <w:p>
      <w:pPr>
        <w:pStyle w:val="878"/>
        <w:numPr>
          <w:ilvl w:val="0"/>
          <w:numId w:val="15"/>
        </w:numPr>
        <w:pBdr/>
        <w:spacing w:after="0" w:before="0"/>
        <w:ind/>
        <w:rPr/>
      </w:pPr>
      <w:r>
        <w:t xml:space="preserve">Wie viele Sprachenkombinationen gibt es?</w:t>
      </w:r>
      <w:r/>
    </w:p>
    <w:p>
      <w:pPr>
        <w:pStyle w:val="878"/>
        <w:numPr>
          <w:ilvl w:val="0"/>
          <w:numId w:val="16"/>
        </w:numPr>
        <w:pBdr/>
        <w:spacing w:after="0" w:before="0"/>
        <w:ind/>
        <w:rPr/>
      </w:pPr>
      <w:r>
        <w:t xml:space="preserve">Wie viele TMs gibt es für diese Sprachenkombinationen jeweils?</w:t>
      </w:r>
      <w:r/>
    </w:p>
    <w:p>
      <w:pPr>
        <w:pStyle w:val="878"/>
        <w:numPr>
          <w:ilvl w:val="0"/>
          <w:numId w:val="17"/>
        </w:numPr>
        <w:pBdr/>
        <w:spacing w:after="0" w:before="0"/>
        <w:ind/>
        <w:rPr/>
      </w:pPr>
      <w:r>
        <w:t xml:space="preserve">Wie viele Übersetzungseinheiten sind jeweils in diesen enthalten?</w:t>
      </w:r>
      <w:r/>
    </w:p>
    <w:p>
      <w:pPr>
        <w:pStyle w:val="878"/>
        <w:numPr>
          <w:ilvl w:val="0"/>
          <w:numId w:val="18"/>
        </w:numPr>
        <w:pBdr/>
        <w:spacing w:after="0" w:before="0"/>
        <w:ind/>
        <w:rPr/>
      </w:pPr>
      <w:r>
        <w:t xml:space="preserve">Welche Inhalte sind in diesen TMs gespeichert?</w:t>
      </w:r>
      <w:r/>
    </w:p>
    <w:p>
      <w:pPr>
        <w:pStyle w:val="878"/>
        <w:numPr>
          <w:ilvl w:val="0"/>
          <w:numId w:val="19"/>
        </w:numPr>
        <w:pBdr/>
        <w:spacing w:after="0" w:before="0"/>
        <w:ind/>
        <w:rPr/>
      </w:pPr>
      <w:r>
        <w:t xml:space="preserve">Welche beschreibenden Metadatenfelder sind in den TMs zu finden?</w:t>
      </w:r>
      <w:r/>
    </w:p>
    <w:p>
      <w:pPr>
        <w:pStyle w:val="878"/>
        <w:numPr>
          <w:ilvl w:val="0"/>
          <w:numId w:val="20"/>
        </w:numPr>
        <w:pBdr/>
        <w:spacing w:after="0" w:before="0"/>
        <w:ind/>
        <w:rPr/>
      </w:pPr>
      <w:r>
        <w:t xml:space="preserve">Welche Metadatenwerte enthalten diese Felder?</w:t>
      </w:r>
      <w:r/>
    </w:p>
    <w:p>
      <w:pPr>
        <w:pStyle w:val="878"/>
        <w:numPr>
          <w:ilvl w:val="0"/>
          <w:numId w:val="21"/>
        </w:numPr>
        <w:pBdr/>
        <w:spacing w:after="140" w:before="0"/>
        <w:ind/>
        <w:rPr/>
      </w:pPr>
      <w:r>
        <w:t xml:space="preserve">Wie viele Übersetzungseinheiten sind jeweils mit diesen Metadatenwerten ausgezeichnet?</w:t>
      </w:r>
      <w:r/>
    </w:p>
    <w:p>
      <w:pPr>
        <w:pStyle w:val="817"/>
        <w:pBdr/>
        <w:spacing/>
        <w:ind/>
        <w:rPr/>
      </w:pPr>
      <w:r>
        <w:t xml:space="preserve">Bereits hier zeigt sich </w:t>
      </w:r>
      <w:r>
        <w:t xml:space="preserve">eine der grundlegenden Hürden: So lassen sich Antworten auf grundlegende Fragen, wie die nach Sprachkombinationen, Anzahl und Größe der TMs, zwar mithilfe eines CAT-Tools ermitteln – viel weiter allerdings reicht deren Funktionsumfang typischerweise nicht!</w:t>
      </w:r>
      <w:r/>
    </w:p>
    <w:p>
      <w:pPr>
        <w:pStyle w:val="817"/>
        <w:pBdr/>
        <w:spacing/>
        <w:ind/>
        <w:rPr/>
      </w:pPr>
      <w:r>
        <w:t xml:space="preserve">So ist zwar etwa anhand der TM-Definition in memoQ oder Trados Studio ersichtlich</w:t>
      </w:r>
      <w:r>
        <w:t xml:space="preserve">, welche Metadatenfelder in einem TM vorhanden sind. Welche Werte aber in diesen Feldern existieren, ist hingegen bei Freitextfeldern mit diesen Tools ebenso wenig zu ermitteln wie die Zahl der Übersetzungseinheiten, die damit jeweils ausgezeichnet wurden.</w:t>
      </w:r>
      <w:r/>
    </w:p>
    <w:p>
      <w:pPr>
        <w:pStyle w:val="817"/>
        <w:pBdr/>
        <w:spacing/>
        <w:ind/>
        <w:rPr/>
      </w:pPr>
      <w:r>
        <w:t xml:space="preserve">Auch hier müssen also zusätzliche Tools eingesetzt werden – seien es XML-Editoren, in denen Werte manuell ermittelt und gezählt werden, oder dedizierte TM-Analyseskripte.</w:t>
      </w:r>
      <w:r/>
    </w:p>
    <w:p>
      <w:pPr>
        <w:pStyle w:val="895"/>
        <w:numPr>
          <w:ilvl w:val="1"/>
          <w:numId w:val="5"/>
        </w:numPr>
        <w:pBdr/>
        <w:spacing/>
        <w:ind w:hanging="360" w:left="360"/>
        <w:rPr/>
      </w:pPr>
      <w:r/>
      <w:bookmarkStart w:id="19" w:name="_Toc181194916"/>
      <w:r/>
      <w:bookmarkStart w:id="20" w:name="_Ref181196137"/>
      <w:r>
        <w:t xml:space="preserve">Qualitative Analysen</w:t>
      </w:r>
      <w:bookmarkEnd w:id="19"/>
      <w:r/>
      <w:bookmarkEnd w:id="20"/>
      <w:r/>
      <w:r/>
    </w:p>
    <w:p>
      <w:pPr>
        <w:pStyle w:val="817"/>
        <w:pBdr/>
        <w:spacing/>
        <w:ind/>
        <w:rPr/>
      </w:pPr>
      <w:r>
        <w:t xml:space="preserve">Neben rein quantitativen Analysen muss im Rahmen von Migrationsprojekten und TM-Pflege auch die Qualität der Übersetzungsdaten analysiert werden. Typische Fehler und Mängel lassen sich dabei in drei Kategorien einordnen </w:t>
      </w:r>
      <w:r>
        <w:fldChar w:fldCharType="begin"/>
      </w:r>
      <w:r>
        <w:instrText xml:space="preserve">ADDIN ZOTERO_ITEM CSL_CITATION {"citationID":"N8egHSIn","properties":{"formattedCitation":"(vgl. Zielinski/Varga 2020, S. 301\\uc0\\u8211{}306)","plainCitation":"(vgl. Zielinski/Varga</w:instrText>
      </w:r>
      <w:r>
        <w:instrText xml:space="preserve"> 2020, S. 301–306)","noteIndex":0},"citationItems":[{"id":5223,"uris":["http://zotero.org/users/3827919/items/PLLZN87Z"],"itemData":{"id":5223,"type":"chapter","container-title":"Translation Quality in the Age of Digital Transformation","event-place":"Berl</w:instrText>
      </w:r>
      <w:r>
        <w:instrText xml:space="preserve">in","page":"300–319","publisher":"BDÜ Fachverlag","publisher-place":"Berlin","title":"Translation memory quality and translation memory management","editor":[{"family":"Dalla-Zuanna","given":"Jean-Marc"},{"family":"Kurz","given":"Christropher"}],"author":[</w:instrText>
      </w:r>
      <w:r>
        <w:instrText xml:space="preserve">{"family":"Zielinski","given":"Daniel"},{"family":"Varga","given":"Simon"}],"issued":{"date-parts":[["2020"]]}},"locator":"301–306","label":"page","prefix":"vgl. "}],"schema":"https://github.com/citation-style-language/schema/raw/master/csl-citation.json"}</w:instrText>
      </w:r>
      <w:r>
        <w:fldChar w:fldCharType="separate"/>
      </w:r>
      <w:r>
        <w:rPr>
          <w:rFonts w:cs="Times New Roman"/>
        </w:rPr>
        <w:t xml:space="preserve">(vgl. Zielinski/Varga 2020, S. 301–306)</w:t>
      </w:r>
      <w:r>
        <w:fldChar w:fldCharType="end"/>
      </w:r>
      <w:r>
        <w:t xml:space="preserve">:</w:t>
      </w:r>
      <w:r/>
    </w:p>
    <w:p>
      <w:pPr>
        <w:pStyle w:val="878"/>
        <w:numPr>
          <w:ilvl w:val="0"/>
          <w:numId w:val="22"/>
        </w:numPr>
        <w:pBdr/>
        <w:spacing w:after="0" w:before="0"/>
        <w:ind/>
        <w:rPr/>
      </w:pPr>
      <w:r/>
      <w:bookmarkStart w:id="21" w:name="_Hlk177395743"/>
      <w:r/>
      <w:bookmarkStart w:id="22" w:name="_Ref181029001"/>
      <w:r>
        <w:t xml:space="preserve">Fehler/Inkonsistenzen auf Segmentebene</w:t>
      </w:r>
      <w:bookmarkEnd w:id="21"/>
      <w:r/>
      <w:bookmarkEnd w:id="22"/>
      <w:r/>
      <w:r/>
    </w:p>
    <w:p>
      <w:pPr>
        <w:pStyle w:val="878"/>
        <w:numPr>
          <w:ilvl w:val="0"/>
          <w:numId w:val="23"/>
        </w:numPr>
        <w:pBdr/>
        <w:spacing w:after="0" w:before="0"/>
        <w:ind/>
        <w:rPr/>
      </w:pPr>
      <w:r>
        <w:t xml:space="preserve">Fehler/Inkonsistenzen auf Subsegmentebene</w:t>
      </w:r>
      <w:r/>
    </w:p>
    <w:p>
      <w:pPr>
        <w:pStyle w:val="878"/>
        <w:numPr>
          <w:ilvl w:val="0"/>
          <w:numId w:val="24"/>
        </w:numPr>
        <w:pBdr/>
        <w:spacing w:after="0" w:before="0"/>
        <w:ind/>
        <w:rPr/>
      </w:pPr>
      <w:r>
        <w:t xml:space="preserve">Fehler/Inkonsistenzen in den Metadaten</w:t>
      </w:r>
      <w:r/>
    </w:p>
    <w:p>
      <w:pPr>
        <w:pStyle w:val="896"/>
        <w:numPr>
          <w:ilvl w:val="2"/>
          <w:numId w:val="5"/>
        </w:numPr>
        <w:pBdr/>
        <w:spacing/>
        <w:ind w:hanging="180" w:left="823"/>
        <w:rPr/>
      </w:pPr>
      <w:r/>
      <w:bookmarkStart w:id="23" w:name="_Toc181194917"/>
      <w:r/>
      <w:bookmarkStart w:id="24" w:name="_Ref181028921"/>
      <w:r>
        <w:t xml:space="preserve">Fehler und Inkonsistenzen auf Segmentebene</w:t>
      </w:r>
      <w:bookmarkEnd w:id="23"/>
      <w:r/>
      <w:bookmarkEnd w:id="24"/>
      <w:r/>
      <w:r/>
    </w:p>
    <w:p>
      <w:pPr>
        <w:pStyle w:val="817"/>
        <w:pBdr/>
        <w:spacing/>
        <w:ind/>
        <w:rPr/>
      </w:pPr>
      <w:r>
        <w:t xml:space="preserve">Auf Segmentebene können u.a. folgende Aspekte die Qualität und Performance von TMs negativ beeinflussen:</w:t>
      </w:r>
      <w:r/>
    </w:p>
    <w:p>
      <w:pPr>
        <w:pStyle w:val="883"/>
        <w:numPr>
          <w:ilvl w:val="0"/>
          <w:numId w:val="3"/>
        </w:numPr>
        <w:pBdr/>
        <w:spacing w:after="0" w:before="0"/>
        <w:ind/>
        <w:rPr/>
      </w:pPr>
      <w:r>
        <w:rPr>
          <w:lang w:val="de-DE"/>
        </w:rPr>
        <w:t xml:space="preserve">unübersetzte Ausgangssegmente, die per Copy &amp; Paste in die Zielsprache übertragen wurden,</w:t>
      </w:r>
      <w:r/>
    </w:p>
    <w:p>
      <w:pPr>
        <w:pStyle w:val="883"/>
        <w:numPr>
          <w:ilvl w:val="0"/>
          <w:numId w:val="3"/>
        </w:numPr>
        <w:pBdr/>
        <w:spacing w:after="0" w:before="0"/>
        <w:ind/>
        <w:rPr/>
      </w:pPr>
      <w:r>
        <w:rPr>
          <w:lang w:val="de-DE"/>
        </w:rPr>
        <w:t xml:space="preserve">unvollständige Übersetzungen von Ausgangssegmenten (etwa bei nicht bearbeiteten Fragment-Matches),</w:t>
      </w:r>
      <w:r/>
    </w:p>
    <w:p>
      <w:pPr>
        <w:pStyle w:val="883"/>
        <w:numPr>
          <w:ilvl w:val="0"/>
          <w:numId w:val="3"/>
        </w:numPr>
        <w:pBdr/>
        <w:spacing w:after="0" w:before="0"/>
        <w:ind/>
        <w:rPr/>
      </w:pPr>
      <w:r>
        <w:rPr>
          <w:lang w:val="de-DE"/>
        </w:rPr>
        <w:t xml:space="preserve">Dubletten,</w:t>
      </w:r>
      <w:r/>
    </w:p>
    <w:p>
      <w:pPr>
        <w:pStyle w:val="883"/>
        <w:numPr>
          <w:ilvl w:val="0"/>
          <w:numId w:val="3"/>
        </w:numPr>
        <w:pBdr/>
        <w:spacing w:after="0" w:before="0"/>
        <w:ind/>
        <w:rPr/>
      </w:pPr>
      <w:r>
        <w:rPr>
          <w:lang w:val="de-DE"/>
        </w:rPr>
        <w:t xml:space="preserve">Segmente, die nur aus Tags, Sonderzeichen, Hex-Codes etc. bestehend, die durch fehlerhafte Dateiimporteinstellungen entstehen,</w:t>
      </w:r>
      <w:r/>
    </w:p>
    <w:p>
      <w:pPr>
        <w:pStyle w:val="883"/>
        <w:numPr>
          <w:ilvl w:val="0"/>
          <w:numId w:val="3"/>
        </w:numPr>
        <w:pBdr/>
        <w:spacing w:after="160" w:before="0"/>
        <w:ind/>
        <w:rPr/>
      </w:pPr>
      <w:r>
        <w:rPr>
          <w:lang w:val="de-DE"/>
        </w:rPr>
        <w:t xml:space="preserve">Inhalte in abweichenden Sprachen, die etwa durch den fehlerhaften Import mehrsprachiger Projektdateien entstehen.</w:t>
      </w:r>
      <w:r/>
    </w:p>
    <w:p>
      <w:pPr>
        <w:pStyle w:val="817"/>
        <w:pBdr/>
        <w:spacing/>
        <w:ind/>
        <w:rPr/>
      </w:pPr>
      <w:r>
        <w:t xml:space="preserve">Problematisch sind auf Segmentebene weiterhin Inkonsistenzen, die potenziell zu einer Vielzahl fast identischer Segmente führen können. Moorkens </w:t>
      </w:r>
      <w:r>
        <w:fldChar w:fldCharType="begin"/>
      </w:r>
      <w:r>
        <w:instrText xml:space="preserve">ADDIN ZOTERO_ITEM CSL_CITATION {"citationID":"K308Z32P","properties":{"formattedCitation":"(2015)","pl</w:instrText>
      </w:r>
      <w:r>
        <w:instrText xml:space="preserve">ainCitation":"(2015)","noteIndex":0},"citationItems":[{"id":4590,"uris":["http://zotero.org/users/3827919/items/HTQJGLEJ"],"itemData":{"id":4590,"type":"article-journal","container-title":"Journal of Mixed Methods Research","DOI":"10.1177/1558689813508226"</w:instrText>
      </w:r>
      <w:r>
        <w:instrText xml:space="preserve">,"ISSN":"1558-6898, 1558-6901","issue":"1","journalAbbreviation":"Journal of Mixed Methods Research","language":"en","page":"31–50","source":"DOI.org (Crossref)","title":"Consistency in Translation Memory Corpora: A Mixed Methods Case Study","title-short":</w:instrText>
      </w:r>
      <w:r>
        <w:instrText xml:space="preserve">"Consistency in Translation Memory Corpora","volume":"9","author":[{"family":"Moorkens","given":"Joss"}],"issued":{"date-parts":[["2015"]]}},"suppress-author":true}],"schema":"https://github.com/citation-style-language/schema/raw/master/csl-citation.json"}</w:instrText>
      </w:r>
      <w:r>
        <w:fldChar w:fldCharType="separate"/>
      </w:r>
      <w:r>
        <w:rPr>
          <w:rFonts w:cs="Times New Roman"/>
        </w:rPr>
        <w:t xml:space="preserve">(2015)</w:t>
      </w:r>
      <w:r>
        <w:fldChar w:fldCharType="end"/>
      </w:r>
      <w:r>
        <w:t xml:space="preserve"> unterscheidet in diesem Zusammenhang drei Szenarien, nämlich:</w:t>
      </w:r>
      <w:r/>
    </w:p>
    <w:p>
      <w:pPr>
        <w:pStyle w:val="878"/>
        <w:numPr>
          <w:ilvl w:val="0"/>
          <w:numId w:val="25"/>
        </w:numPr>
        <w:pBdr/>
        <w:spacing w:after="0" w:before="0"/>
        <w:ind/>
        <w:rPr/>
      </w:pPr>
      <w:r>
        <w:t xml:space="preserve">inkonsistente Ausgangssegmente, die inkonsistent übersetzt werden (n:n),</w:t>
      </w:r>
      <w:r/>
    </w:p>
    <w:p>
      <w:pPr>
        <w:pStyle w:val="878"/>
        <w:numPr>
          <w:ilvl w:val="0"/>
          <w:numId w:val="26"/>
        </w:numPr>
        <w:pBdr/>
        <w:spacing w:after="0" w:before="0"/>
        <w:ind/>
        <w:rPr/>
      </w:pPr>
      <w:r>
        <w:t xml:space="preserve">konsistente Ausgangssegmente, die inkonsistent übersetzt werden (1:n) und</w:t>
      </w:r>
      <w:r/>
    </w:p>
    <w:p>
      <w:pPr>
        <w:pStyle w:val="878"/>
        <w:numPr>
          <w:ilvl w:val="0"/>
          <w:numId w:val="27"/>
        </w:numPr>
        <w:pBdr/>
        <w:spacing w:after="140" w:before="0"/>
        <w:ind/>
        <w:rPr/>
      </w:pPr>
      <w:r>
        <w:t xml:space="preserve">inkonsistente Ausgangssegmente, die konsistent übersetzt werden (n:1).</w:t>
      </w:r>
      <w:r/>
    </w:p>
    <w:p>
      <w:pPr>
        <w:pStyle w:val="878"/>
        <w:numPr>
          <w:ilvl w:val="0"/>
          <w:numId w:val="0"/>
        </w:numPr>
        <w:pBdr/>
        <w:spacing/>
        <w:ind w:firstLine="0" w:left="0"/>
        <w:rPr/>
      </w:pPr>
      <w:r>
        <w:t xml:space="preserve">Mögliche Gründe für derartige Inkon</w:t>
      </w:r>
      <w:r>
        <w:t xml:space="preserve">sistenzen sind vielfältig: So wurden in der Vergangenheit vielleicht TM-Daten aus unterschiedlichen Quellen ohne entsprechende Aufarbeitung aggregiert. Weitere Ursachen können fehlerhafte TM-Update-Einstellungen oder Inkonsistenzen beim Import der Ausgangs</w:t>
      </w:r>
      <w:r>
        <w:t xml:space="preserve">texte sein. Abb. 7 verdeutlicht dieses Problem anhand des Beispiels einer Datei mit eingebetteten HTML-Inhalten. Je nachdem, wie die Ausgangsdateien für die Übersetzung importiert werden, ändern sich auch die dabei entstehenden Übersetzungseinheiten im TM:</w:t>
      </w:r>
      <w:r/>
    </w:p>
    <w:p>
      <w:pPr>
        <w:pStyle w:val="878"/>
        <w:numPr>
          <w:ilvl w:val="0"/>
          <w:numId w:val="28"/>
        </w:numPr>
        <w:pBdr/>
        <w:spacing w:after="0" w:before="0"/>
        <w:ind/>
        <w:rPr/>
      </w:pPr>
      <w:r>
        <w:t xml:space="preserve">Im ersten Fall werden die HTML-Inhalte korrekt verarbeitet, sodass der Text korrekt segmentiert wird und keine überflüssigen Tags importiert werden.</w:t>
      </w:r>
      <w:r/>
    </w:p>
    <w:p>
      <w:pPr>
        <w:pStyle w:val="878"/>
        <w:numPr>
          <w:ilvl w:val="0"/>
          <w:numId w:val="29"/>
        </w:numPr>
        <w:pBdr/>
        <w:spacing w:after="0" w:before="0"/>
        <w:ind/>
        <w:rPr/>
      </w:pPr>
      <w:r>
        <w:t xml:space="preserve">Im zweiten Fall werden die Tags mithilfe regulärer Ausdrücke geschützt, sodass sie importiert werden und keine korrekte Segmentierung erfolgen kann.</w:t>
      </w:r>
      <w:r/>
    </w:p>
    <w:p>
      <w:pPr>
        <w:pStyle w:val="878"/>
        <w:numPr>
          <w:ilvl w:val="0"/>
          <w:numId w:val="30"/>
        </w:numPr>
        <w:pBdr/>
        <w:spacing w:after="140" w:before="0"/>
        <w:ind/>
        <w:rPr/>
      </w:pPr>
      <w:r>
        <w:t xml:space="preserve">Im dritten Fall wird der Text inklusive aller Tags als übersetzbare Inhalte importiert. Neben der fehlerhaften Segmentierung besteht hier das Risiko einer versehentlichen Bearbeitung der Tags.</w:t>
      </w:r>
      <w:r/>
    </w:p>
    <w:p>
      <w:pPr>
        <w:pStyle w:val="878"/>
        <w:numPr>
          <w:ilvl w:val="0"/>
          <w:numId w:val="0"/>
        </w:numPr>
        <w:pBdr/>
        <w:spacing/>
        <w:ind w:firstLine="0" w:left="0"/>
        <w:jc w:val="center"/>
        <w:rPr/>
      </w:pPr>
      <w:r>
        <mc:AlternateContent>
          <mc:Choice Requires="wpg">
            <w:drawing>
              <wp:inline xmlns:wp="http://schemas.openxmlformats.org/drawingml/2006/wordprocessingDrawing" distT="0" distB="0" distL="0" distR="0">
                <wp:extent cx="3856355" cy="1246505"/>
                <wp:effectExtent l="0" t="0" r="0" b="0"/>
                <wp:docPr id="7" name="Bild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7" descr="A screenshot of a computer&#10;&#10;Description automatically generated"/>
                        <pic:cNvPicPr>
                          <a:picLocks noChangeAspect="1"/>
                        </pic:cNvPicPr>
                        <pic:nvPr/>
                      </pic:nvPicPr>
                      <pic:blipFill>
                        <a:blip r:embed="rId16"/>
                        <a:stretch/>
                      </pic:blipFill>
                      <pic:spPr bwMode="auto">
                        <a:xfrm>
                          <a:off x="0" y="0"/>
                          <a:ext cx="3856355" cy="1246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03.65pt;height:98.15pt;mso-wrap-distance-left:0.00pt;mso-wrap-distance-top:0.00pt;mso-wrap-distance-right:0.00pt;mso-wrap-distance-bottom:0.00pt;z-index:1;" stroked="false">
                <v:imagedata r:id="rId16" o:title=""/>
                <o:lock v:ext="edit" rotation="t"/>
              </v:shape>
            </w:pict>
          </mc:Fallback>
        </mc:AlternateContent>
      </w:r>
      <w:r/>
    </w:p>
    <w:p>
      <w:pPr>
        <w:pStyle w:val="865"/>
        <w:pBdr/>
        <w:spacing/>
        <w:ind/>
        <w:rPr/>
      </w:pPr>
      <w:r>
        <w:t xml:space="preserve">Abb. 7: Dubletten aufgrund abweichender Importeinstellungen bei Dokumenten mit eingebetteten HTML-Inhalten in memoQ</w:t>
      </w:r>
      <w:r/>
    </w:p>
    <w:p>
      <w:pPr>
        <w:pStyle w:val="817"/>
        <w:pBdr/>
        <w:spacing/>
        <w:ind/>
        <w:rPr/>
      </w:pPr>
      <w:r>
        <w:t xml:space="preserve">Die potenziellen Auswirkungen dieser und anderer Qualitätsprobleme auf Segmentebene hängen vom geplanten Verwendungszweck der Übersetzungsdaten ab: Bei der Verwendung als Übersetzungshilfe in CAT-Tools er</w:t>
      </w:r>
      <w:r>
        <w:t xml:space="preserve">höhen TMs mit einer Vielzahl an Dubletten und nicht bzw. inkonsistent übersetzten Segmenten die kognitive Belastung bei Auswahl und Überprüfung von TM-Treffern und wirken sich negativ aus Usability, Produktivität und die Übersetzungsqualität insgesamt aus </w:t>
      </w:r>
      <w:r>
        <w:fldChar w:fldCharType="begin"/>
      </w:r>
      <w:r>
        <w:instrText xml:space="preserve">ADDIN ZOTERO_ITEM CSL_CITATION {"citationID":"2pyOB0Yq","properties":{"formattedCitation":"(vgl. O\\uc0\\u8217{}Brien 2007; Wolff 2016)","plainCitation":"(vgl. O’Brien 2007; Wolff 2016)","noteIndex</w:instrText>
      </w:r>
      <w:r>
        <w:instrText xml:space="preserve">":0},"citationItems":[{"id":4635,"uris":["http://zotero.org/users/3827919/items/DRZLSLDA"],"itemData":{"id":4635,"type":"article-journal","container-title":"Perspectives: Studies in Translation Theory and Practice","issue":"3","journalAbbreviation":"Perspe</w:instrText>
      </w:r>
      <w:r>
        <w:instrText xml:space="preserve">ctives","language":"en","page":"185–205","source":"DOI.org (Crossref)","title":"Eye-tracking and translation memory matches","volume":"14","author":[{"family":"O'Brien","given":"Sharon"}],"issued":{"date-parts":[["2007"]]}},"prefix":"vgl. "},{"id":4567,"ur</w:instrText>
      </w:r>
      <w:r>
        <w:instrText xml:space="preserve">is":["http://zotero.org/users/3827919/items/QAR9YF7R"],"itemData":{"id":4567,"type":"article-journal","container-title":"Machine Translation","issue":"3–4","journalAbbreviation":"Machine Translation","page":"167–181","source":"DOI.org (Crossref)","title":"</w:instrText>
      </w:r>
      <w:r>
        <w:instrText xml:space="preserve">Combining off-the-shelf components to clean a translation memory","volume":"30","author":[{"family":"Wolff","given":"Friedel"}],"issued":{"date-parts":[["2016"]]}}}],"schema":"https://github.com/citation-style-language/schema/raw/master/csl-citation.json"}</w:instrText>
      </w:r>
      <w:r>
        <w:fldChar w:fldCharType="separate"/>
      </w:r>
      <w:r>
        <w:rPr>
          <w:rFonts w:cs="Times New Roman"/>
        </w:rPr>
        <w:t xml:space="preserve">(vgl. O’Brien 2007; Wolff 2016)</w:t>
      </w:r>
      <w:r>
        <w:fldChar w:fldCharType="end"/>
      </w:r>
      <w:r>
        <w:t xml:space="preserve">. Aus technischer Perspektive können aufgeblähte TMs sich außerdem negativ auf Performance und Geschwindigkeit auswirken und den Wert der Übersetzungsdaten für Training und Customization maschineller Übersetzungsmodelle mindern </w:t>
      </w:r>
      <w:r>
        <w:fldChar w:fldCharType="begin"/>
      </w:r>
      <w:r>
        <w:instrText xml:space="preserve">ADDIN ZOTERO_ITEM CSL_CITATION {"citationID":"kG1jDxWm","properties":{"formatte</w:instrText>
      </w:r>
      <w:r>
        <w:instrText xml:space="preserve">dCitation":"(vgl. Khayrallah/Koehn 2018; Ott et al. 2018)","plainCitation":"(vgl. Khayrallah/Koehn 2018; Ott et al. 2018)","noteIndex":0},"citationItems":[{"id":4642,"uris":["http://zotero.org/users/3827919/items/QXZNIZ5Z"],"itemData":{"id":4642,"type":"pa</w:instrText>
      </w:r>
      <w:r>
        <w:instrText xml:space="preserve">per-conference","container-title":"Proceedings of the 2nd Workshop on Neural Machine Translation and Generation","DOI":"10.18653/v1/W18-2709","event-place":"Melbourne, Australia","event-title":"Proceedings of the 2nd Workshop on Neural Machine Translation </w:instrText>
      </w:r>
      <w:r>
        <w:instrText xml:space="preserve">and Generation","language":"en","page":"74-83","publisher":"Association for Computational Linguistics","publisher-place":"Melbourne, Australia","source":"DOI.org (Crossref)","title":"On the Impact of Various Types of Noise on Neural Machine Translation","U</w:instrText>
      </w:r>
      <w:r>
        <w:instrText xml:space="preserve">RL":"http://aclweb.org/anthology/W18-2709","author":[{"family":"Khayrallah","given":"Huda"},{"family":"Koehn","given":"Philipp"}],"accessed":{"date-parts":[["2020",3,3]]},"issued":{"date-parts":[["2018"]]}},"prefix":"vgl. "},{"id":4644,"uris":["http://zote</w:instrText>
      </w:r>
      <w:r>
        <w:instrText xml:space="preserve">ro.org/users/3827919/items/69GQEZRI"],"itemData":{"id":4644,"type":"chapter","collection-number":"80","collection-title":"Proceedings of Machine Learning Research","container-title":"Proceedings of the 35th International Conference on Machine Learning","la</w:instrText>
      </w:r>
      <w:r>
        <w:instrText xml:space="preserve">nguage":"en","note":"arXiv: 1803.00047","page":"3956–3965","source":"arXiv.org","title":"Analyzing Uncertainty in Neural Machine Translation","URL":"http://arxiv.org/abs/1803.00047","author":[{"family":"Ott","given":"Myle"},{"family":"Auli","given":"Michae</w:instrText>
      </w:r>
      <w:r>
        <w:instrText xml:space="preserve">l"},{"family":"Grangier","given":"David"},{"family":"Ranzato","given":"Marc'Aurelio"}],"accessed":{"date-parts":[["2020",3,3]]},"issued":{"date-parts":[["2018"]]}}}],"schema":"https://github.com/citation-style-language/schema/raw/master/csl-citation.json"}</w:instrText>
      </w:r>
      <w:r>
        <w:fldChar w:fldCharType="separate"/>
      </w:r>
      <w:r>
        <w:rPr>
          <w:rFonts w:cs="Times New Roman"/>
        </w:rPr>
        <w:t xml:space="preserve">(vgl. Khayrallah/Koehn 2018; Ott et al. 2018)</w:t>
      </w:r>
      <w:r>
        <w:fldChar w:fldCharType="end"/>
      </w:r>
      <w:r>
        <w:t xml:space="preserve">.</w:t>
      </w:r>
      <w:r/>
    </w:p>
    <w:p>
      <w:pPr>
        <w:pStyle w:val="895"/>
        <w:numPr>
          <w:ilvl w:val="1"/>
          <w:numId w:val="5"/>
        </w:numPr>
        <w:pBdr/>
        <w:spacing/>
        <w:ind w:hanging="360" w:left="360"/>
        <w:rPr/>
      </w:pPr>
      <w:r/>
      <w:bookmarkStart w:id="25" w:name="_Toc181194918"/>
      <w:r>
        <w:t xml:space="preserve">Fehler und Inkonsistenzen auf Subsegmentebene</w:t>
      </w:r>
      <w:bookmarkEnd w:id="25"/>
      <w:r/>
      <w:r/>
    </w:p>
    <w:p>
      <w:pPr>
        <w:pStyle w:val="817"/>
        <w:pBdr/>
        <w:spacing/>
        <w:ind/>
        <w:rPr/>
      </w:pPr>
      <w:r>
        <w:t xml:space="preserve">Inkonsistenzen auf Segmentebene sind häufig auf Qualitätsmängel in den Segmenten selbst zurückzuführen, etwa in Bezug auf:</w:t>
      </w:r>
      <w:r/>
    </w:p>
    <w:p>
      <w:pPr>
        <w:pStyle w:val="883"/>
        <w:numPr>
          <w:ilvl w:val="0"/>
          <w:numId w:val="3"/>
        </w:numPr>
        <w:pBdr/>
        <w:spacing w:after="0" w:before="0"/>
        <w:ind/>
        <w:rPr/>
      </w:pPr>
      <w:r>
        <w:rPr>
          <w:lang w:val="de-DE"/>
        </w:rPr>
        <w:t xml:space="preserve">Rechtschreibung, Grammatik und Zeichensetzung</w:t>
      </w:r>
      <w:r/>
    </w:p>
    <w:p>
      <w:pPr>
        <w:pStyle w:val="883"/>
        <w:numPr>
          <w:ilvl w:val="0"/>
          <w:numId w:val="3"/>
        </w:numPr>
        <w:pBdr/>
        <w:spacing w:after="0" w:before="0"/>
        <w:ind/>
        <w:rPr/>
      </w:pPr>
      <w:r>
        <w:rPr>
          <w:lang w:val="de-DE"/>
        </w:rPr>
        <w:t xml:space="preserve">die Verwendung inkonsistenter oder veralteter Terminologie</w:t>
      </w:r>
      <w:r/>
    </w:p>
    <w:p>
      <w:pPr>
        <w:pStyle w:val="883"/>
        <w:numPr>
          <w:ilvl w:val="0"/>
          <w:numId w:val="3"/>
        </w:numPr>
        <w:pBdr/>
        <w:spacing w:after="0" w:before="0"/>
        <w:ind/>
        <w:rPr/>
      </w:pPr>
      <w:r>
        <w:rPr>
          <w:lang w:val="de-DE"/>
        </w:rPr>
        <w:t xml:space="preserve">Verstöße gegen Styleguide-Regeln</w:t>
      </w:r>
      <w:r/>
    </w:p>
    <w:p>
      <w:pPr>
        <w:pStyle w:val="883"/>
        <w:numPr>
          <w:ilvl w:val="0"/>
          <w:numId w:val="3"/>
        </w:numPr>
        <w:pBdr/>
        <w:spacing w:after="0" w:before="0"/>
        <w:ind/>
        <w:rPr/>
      </w:pPr>
      <w:r>
        <w:rPr>
          <w:lang w:val="de-DE"/>
        </w:rPr>
        <w:t xml:space="preserve">Sprach- oder Rechtschreibvarianten (belgisches vs. französisches Französisch, Genitivvarianten im Deutschen (</w:t>
      </w:r>
      <w:r>
        <w:rPr>
          <w:i/>
          <w:lang w:val="de-DE"/>
        </w:rPr>
        <w:t xml:space="preserve">-es </w:t>
      </w:r>
      <w:r>
        <w:rPr>
          <w:lang w:val="de-DE"/>
        </w:rPr>
        <w:t xml:space="preserve">vs. </w:t>
      </w:r>
      <w:r>
        <w:rPr>
          <w:i/>
          <w:lang w:val="de-DE"/>
        </w:rPr>
        <w:t xml:space="preserve">-s</w:t>
      </w:r>
      <w:r>
        <w:rPr>
          <w:lang w:val="de-DE"/>
        </w:rPr>
        <w:t xml:space="preserve">)</w:t>
      </w:r>
      <w:r/>
    </w:p>
    <w:p>
      <w:pPr>
        <w:pStyle w:val="883"/>
        <w:numPr>
          <w:ilvl w:val="0"/>
          <w:numId w:val="3"/>
        </w:numPr>
        <w:pBdr/>
        <w:spacing w:after="0" w:before="0"/>
        <w:ind/>
        <w:rPr/>
      </w:pPr>
      <w:r>
        <w:rPr>
          <w:lang w:val="de-DE"/>
        </w:rPr>
        <w:t xml:space="preserve">Inlineformatierung und Tags</w:t>
      </w:r>
      <w:r/>
    </w:p>
    <w:p>
      <w:pPr>
        <w:pStyle w:val="883"/>
        <w:numPr>
          <w:ilvl w:val="0"/>
          <w:numId w:val="3"/>
        </w:numPr>
        <w:pBdr/>
        <w:spacing w:after="0" w:before="0"/>
        <w:ind/>
        <w:rPr/>
      </w:pPr>
      <w:r>
        <w:rPr>
          <w:lang w:val="de-DE"/>
        </w:rPr>
        <w:t xml:space="preserve">nichtdruckbare Zeichen (einfaches vs. geschütztes vs. schmales Leerzeichen etc.)</w:t>
      </w:r>
      <w:r/>
    </w:p>
    <w:p>
      <w:pPr>
        <w:pStyle w:val="883"/>
        <w:numPr>
          <w:ilvl w:val="0"/>
          <w:numId w:val="3"/>
        </w:numPr>
        <w:pBdr/>
        <w:spacing w:after="0" w:before="0"/>
        <w:ind/>
        <w:rPr/>
      </w:pPr>
      <w:r>
        <w:rPr>
          <w:lang w:val="de-DE"/>
        </w:rPr>
        <w:t xml:space="preserve">abweichende Formatierung von Zahlen, Daten, Zeit- und Maßangaben</w:t>
      </w:r>
      <w:r/>
    </w:p>
    <w:p>
      <w:pPr>
        <w:pStyle w:val="883"/>
        <w:numPr>
          <w:ilvl w:val="0"/>
          <w:numId w:val="3"/>
        </w:numPr>
        <w:pBdr/>
        <w:spacing w:after="160" w:before="0"/>
        <w:ind/>
        <w:rPr/>
      </w:pPr>
      <w:r>
        <w:rPr>
          <w:lang w:val="de-DE"/>
        </w:rPr>
        <w:t xml:space="preserve">Auslassungen oder Hinzufügungen</w:t>
      </w:r>
      <w:r/>
    </w:p>
    <w:p>
      <w:pPr>
        <w:pStyle w:val="817"/>
        <w:pBdr/>
        <w:spacing/>
        <w:ind/>
        <w:rPr/>
      </w:pPr>
      <w:r>
        <w:t xml:space="preserve">Hinzu kommt, dass über lange Zeiträume hinweg genutzte TMs häufig Übersetzungseinheiten mit an sich veralteten Inhalten enthalten.</w:t>
      </w:r>
      <w:r/>
    </w:p>
    <w:p>
      <w:pPr>
        <w:pStyle w:val="817"/>
        <w:pBdr/>
        <w:spacing/>
        <w:ind/>
        <w:rPr/>
      </w:pPr>
      <w:r>
        <w:t xml:space="preserve">Aus dieser Liste möglicher Qualitätsprobleme – sowohl auf Segment- als auch auf Subsegmentebene </w:t>
      </w:r>
      <w:r>
        <w:t xml:space="preserve">– wird schnell deutlich, welche Herausforderungen mit der Analyse von Übersetzungsdaten verbunden sind. Es zeigen sich außerdem bereits hier deutlich die Unzulänglichkeiten von CAT-Tools, die nur über sehr eingeschränkte TM-Management-Funktionen verfügen. </w:t>
      </w:r>
      <w:r/>
    </w:p>
    <w:p>
      <w:pPr>
        <w:pStyle w:val="894"/>
        <w:numPr>
          <w:ilvl w:val="0"/>
          <w:numId w:val="5"/>
        </w:numPr>
        <w:pBdr/>
        <w:spacing/>
        <w:ind w:hanging="360" w:left="360"/>
        <w:rPr/>
      </w:pPr>
      <w:r/>
      <w:bookmarkStart w:id="26" w:name="_Toc181194919"/>
      <w:r>
        <w:t xml:space="preserve">Daten bereinigen</w:t>
      </w:r>
      <w:bookmarkEnd w:id="26"/>
      <w:r/>
      <w:r/>
    </w:p>
    <w:p>
      <w:pPr>
        <w:pStyle w:val="817"/>
        <w:pBdr/>
        <w:spacing/>
        <w:ind/>
        <w:rPr/>
      </w:pPr>
      <w:r>
        <w:t xml:space="preserve">Die qualitative Analyse von Übersetzungsdaten geht Hand in Hand mit ihrer Bereinigung. Es gibt dabei je nach Anforderungen und zu erwartendem Aufwand unterschiedliche Möglichkeiten, fehlerhafte TM-Einträge zu korrigieren.</w:t>
      </w:r>
      <w:r/>
    </w:p>
    <w:p>
      <w:pPr>
        <w:pStyle w:val="895"/>
        <w:numPr>
          <w:ilvl w:val="1"/>
          <w:numId w:val="5"/>
        </w:numPr>
        <w:pBdr/>
        <w:spacing/>
        <w:ind w:hanging="360" w:left="360"/>
        <w:rPr/>
      </w:pPr>
      <w:r/>
      <w:bookmarkStart w:id="27" w:name="_Toc181194920"/>
      <w:r>
        <w:t xml:space="preserve">TM-Bereinigungstools und -funktionen</w:t>
      </w:r>
      <w:bookmarkEnd w:id="27"/>
      <w:r/>
      <w:r/>
    </w:p>
    <w:p>
      <w:pPr>
        <w:pStyle w:val="817"/>
        <w:pBdr/>
        <w:spacing/>
        <w:ind/>
        <w:rPr/>
      </w:pPr>
      <w:r>
        <w:t xml:space="preserve">Clientbasierte CAT-Tools wie memoQ, Trados Studio oder Across bieten integrierte TM-Editoren, in denen die Bearbeitung von Übersetzungsdaten im j</w:t>
      </w:r>
      <w:r>
        <w:t xml:space="preserve">eweils eigenen proprietären Format möglich ist. Der Funktionsumfang dieser Lösungen ist jedoch typischerweise sehr gering, sodass diese eher für die punktuelle Korrektur bekannter Fehler als für Qualitätsanalysen über große Datenmengen hinweg nutzbar sind.</w:t>
      </w:r>
      <w:r/>
    </w:p>
    <w:p>
      <w:pPr>
        <w:pStyle w:val="817"/>
        <w:pBdr/>
        <w:spacing/>
        <w:ind/>
        <w:rPr/>
      </w:pPr>
      <w:r>
        <w:t xml:space="preserve">So bietet etwa der integrierte TM-Editor der aktuellen memoQ-Version 11.1 folgende Optionen:</w:t>
      </w:r>
      <w:r/>
    </w:p>
    <w:p>
      <w:pPr>
        <w:pStyle w:val="878"/>
        <w:numPr>
          <w:ilvl w:val="0"/>
          <w:numId w:val="31"/>
        </w:numPr>
        <w:pBdr/>
        <w:spacing w:after="0" w:before="0"/>
        <w:ind/>
        <w:rPr/>
      </w:pPr>
      <w:r>
        <w:t xml:space="preserve">Filtern von TM-Einträgen (auf Grundlage von Volltextsuchen in Ausgangs- und/oder Zielsprache, administrativen/beschreibenden Metadaten oder Inlinetags)</w:t>
      </w:r>
      <w:r/>
    </w:p>
    <w:p>
      <w:pPr>
        <w:pStyle w:val="878"/>
        <w:numPr>
          <w:ilvl w:val="0"/>
          <w:numId w:val="4"/>
        </w:numPr>
        <w:pBdr/>
        <w:spacing w:after="0" w:before="0"/>
        <w:ind/>
        <w:rPr/>
      </w:pPr>
      <w:r>
        <w:t xml:space="preserve">Auf-/absteigende Sortierung der Ergebnisse (alphabetisch oder auf Grundlage der Segment-ID oder des Datums der letzten Bearbeitung)</w:t>
      </w:r>
      <w:r/>
    </w:p>
    <w:p>
      <w:pPr>
        <w:pStyle w:val="878"/>
        <w:numPr>
          <w:ilvl w:val="0"/>
          <w:numId w:val="4"/>
        </w:numPr>
        <w:pBdr/>
        <w:spacing w:after="0" w:before="0"/>
        <w:ind/>
        <w:rPr/>
      </w:pPr>
      <w:r>
        <w:t xml:space="preserve">Bearbeitung von Metadaten im Batch-Verfahren</w:t>
      </w:r>
      <w:r/>
    </w:p>
    <w:p>
      <w:pPr>
        <w:pStyle w:val="878"/>
        <w:numPr>
          <w:ilvl w:val="0"/>
          <w:numId w:val="4"/>
        </w:numPr>
        <w:pBdr/>
        <w:spacing w:after="0" w:before="0"/>
        <w:ind/>
        <w:rPr/>
      </w:pPr>
      <w:r>
        <w:t xml:space="preserve">Suchen und Ersetzen von Zeichenfolgen in Ausgangs- oder Zieltext (an beliebiger Stelle oder nur als ganze Wörter bzw. ganze Segmente)</w:t>
      </w:r>
      <w:r/>
    </w:p>
    <w:p>
      <w:pPr>
        <w:pStyle w:val="878"/>
        <w:numPr>
          <w:ilvl w:val="0"/>
          <w:numId w:val="4"/>
        </w:numPr>
        <w:pBdr/>
        <w:spacing w:after="140" w:before="0"/>
        <w:ind/>
        <w:rPr/>
      </w:pPr>
      <w:r>
        <w:t xml:space="preserve">Löschen aller/bestimmter Tags</w:t>
      </w:r>
      <w:r/>
    </w:p>
    <w:p>
      <w:pPr>
        <w:pStyle w:val="817"/>
        <w:pBdr/>
        <w:spacing/>
        <w:ind/>
        <w:rPr/>
      </w:pPr>
      <w:r>
        <w:t xml:space="preserve">Wie diese Liste zeigt, zielen diese Optionen eher darauf ab, bestimmte Segme</w:t>
      </w:r>
      <w:r>
        <w:t xml:space="preserve">nte gezielt herauszufiltern und zu bearbeiten als umfängliche Qualitätssicherung zu betreiben. Für umfangreichere Überprüfungen, etwa von Terminologie- und Rechtschreibung, sind somit externe Tools erforderlich. Hier gibt es unterschiedliche Möglichkeiten:</w:t>
      </w:r>
      <w:r/>
    </w:p>
    <w:p>
      <w:pPr>
        <w:pStyle w:val="878"/>
        <w:numPr>
          <w:ilvl w:val="0"/>
          <w:numId w:val="32"/>
        </w:numPr>
        <w:pBdr/>
        <w:spacing w:after="0" w:before="0"/>
        <w:ind/>
        <w:rPr/>
      </w:pPr>
      <w:r>
        <w:t xml:space="preserve">Clienbasierte QA-Tools mit Unterstützung für TM-Dateien wie ErrorSpy, ApSIC Xbench und QA Distiller</w:t>
      </w:r>
      <w:r/>
    </w:p>
    <w:p>
      <w:pPr>
        <w:pStyle w:val="878"/>
        <w:numPr>
          <w:ilvl w:val="0"/>
          <w:numId w:val="33"/>
        </w:numPr>
        <w:pBdr/>
        <w:spacing w:after="0" w:before="0"/>
        <w:ind/>
        <w:rPr/>
      </w:pPr>
      <w:r>
        <w:t xml:space="preserve">Cloudbasierte Tools wie myproof (</w:t>
      </w:r>
      <w:hyperlink r:id="rId17" w:tooltip="http://www.glossa.de/de/dienstleistungen/glossa-myproof.html#myproofplatform&quot; l &quot;myproofplatform" w:history="1">
        <w:r>
          <w:rPr>
            <w:rStyle w:val="861"/>
          </w:rPr>
          <w:t xml:space="preserve">http://www.glossa.de/de/dienstleistungen/glossa-myproof.html#myproofplatform</w:t>
        </w:r>
      </w:hyperlink>
      <w:r>
        <w:t xml:space="preserve">) </w:t>
      </w:r>
      <w:r/>
    </w:p>
    <w:p>
      <w:pPr>
        <w:pStyle w:val="878"/>
        <w:numPr>
          <w:ilvl w:val="0"/>
          <w:numId w:val="34"/>
        </w:numPr>
        <w:pBdr/>
        <w:spacing w:after="140" w:before="0"/>
        <w:ind/>
        <w:rPr/>
      </w:pPr>
      <w:r>
        <w:t xml:space="preserve">TM-Bereinigungsskripte in Python oder anderen Programmiersprachen </w:t>
      </w:r>
      <w:r>
        <w:fldChar w:fldCharType="begin"/>
      </w:r>
      <w:r>
        <w:instrText xml:space="preserve">ADDIN ZOTERO_ITEM CSL_CITATION {"citationID":"JBG0gdHc","properties":{"formattedCitation":"(siehe etwa Barbu 2015; Barbu et al. 2016; Negri et al. 2017; Sabet et al. 2016)","plainCitation":"(siehe etwa Barbu 2015; Barbu et al.</w:instrText>
      </w:r>
      <w:r>
        <w:instrText xml:space="preserve"> 2016; Negri et al. 2017; Sabet et al. 2016)","noteIndex":0},"citationItems":[{"id":4563,"uris":["http://zotero.org/users/3827919/items/ZIWAMKIY"],"itemData":{"id":4563,"type":"article-journal","container-title":"Proceedings of the Workshop on Natural Lang</w:instrText>
      </w:r>
      <w:r>
        <w:instrText xml:space="preserve">uage Processing for Translation Memories (NLP4TM), Hissar, Bulgaria","language":"en","page":"9–16","source":"Zotero","title":"Spotting false translation segments in translation memories","author":[{"family":"Barbu","given":"Eduard"}],"issued":{"date-parts"</w:instrText>
      </w:r>
      <w:r>
        <w:instrText xml:space="preserve">:[["2015"]]}},"prefix":"siehe etwa"},{"id":7689,"uris":["http://zotero.org/users/3827919/items/C8JLHNGX"],"itemData":{"id":7689,"type":"paper-conference","abstract":"This paper summarizes the work done to prepare the ﬁrst shared task on automatic translati</w:instrText>
      </w:r>
      <w:r>
        <w:instrText xml:space="preserve">on memory cleaning. This shared task aims at ﬁnding automatic ways of cleaning TMs that, for some reason, have not been properly curated and include wrong translations. Participants in this task are required to take pairs of source and target segments from</w:instrText>
      </w:r>
      <w:r>
        <w:instrText xml:space="preserve"> TMs and decide whether they are right translations. For this ﬁrst task three language pairs have been prepared: English → Spanish, English → Italian, and English → German. In this paper, we report on how the shared task was prepared and explain the proces</w:instrText>
      </w:r>
      <w:r>
        <w:instrText xml:space="preserve">s of data selection and data annotation, the building of the training and test sets and the implemented baselines for automatic classiﬁers comparison.","container-title":"Proceedings of the 2nd Workshop on Natural Language Processing for Translation Memori</w:instrText>
      </w:r>
      <w:r>
        <w:instrText xml:space="preserve">es (NLP4TM)","event-place":"Portorož, Slovenia","event-title":"2nd Workshop on Natural Language Processing for Translation Memories (NLP4TM)","language":"en","page":"1–5","publisher-place":"Portorož, Slovenia","source":"Zotero","title":"1st Shared Task on </w:instrText>
      </w:r>
      <w:r>
        <w:instrText xml:space="preserve">Automatic Translation Memory Cleaning Preparation and Lessons Learned","author":[{"family":"Barbu","given":"Eduard"},{"family":"Escartın","given":"Carla Parra"},{"family":"Bentivogli","given":"Luisa"},{"family":"Negri","given":"Matteo"},{"family":"Turchi",</w:instrText>
      </w:r>
      <w:r>
        <w:instrText xml:space="preserve">"given":"Marco"},{"family":"Federico","given":"Marcello"},{"family":"Mastrostefano","given":"Luca"},{"family":"Orasan","given":"Constantin"}],"issued":{"date-parts":[["2016"]]}}},{"id":4565,"uris":["http://zotero.org/users/3827919/items/2V5TE659"],"itemDat</w:instrText>
      </w:r>
      <w:r>
        <w:instrText xml:space="preserve">a":{"id":4565,"type":"article-journal","container-title":"Machine Translation","DOI":"10.1007/s10590-017-9191-5","issue":"3","language":"en","page":"93–115","title":"Automatic translation memory cleaning","volume":"31","author":[{"family":"Negri","given":"</w:instrText>
      </w:r>
      <w:r>
        <w:instrText xml:space="preserve">Matteo"},{"family":"Ataman","given":"Duygu"},{"family":"Sabet","given":"Masoud Jalili"},{"family":"Turchi","given":"Marco"},{"family":"Federico","given":"Marcello"}],"issued":{"date-parts":[["2017"]]}}},{"id":4702,"uris":["http://zotero.org/users/3827919/i</w:instrText>
      </w:r>
      <w:r>
        <w:instrText xml:space="preserve">tems/3XHNK6DQ"],"itemData":{"id":4702,"type":"paper-conference","container-title":"Proceedings of ACL-2016 System Demonstrations","event-place":"Berlin","event-title":"54th Annual Meeting of the Association for Computational Linguistics","page":"49–54","pu</w:instrText>
      </w:r>
      <w:r>
        <w:instrText xml:space="preserve">blisher":"Association for Computational Linguistics","publisher-place":"Berlin","title":"TMop: a Tool for Unsupervised Translation Memory Cleaning","author":[{"family":"Sabet","given":"Masoud Jalili"},{"family":"Negri","given":"Matteo"},{"family":"Turchi",</w:instrText>
      </w:r>
      <w:r>
        <w:instrText xml:space="preserve">"given":"Marco"},{"family":"Souza","given":"José G. C.","non-dropping-particle":"de"},{"family":"Federico","given":"Marcello"}],"issued":{"date-parts":[["2016"]]}}}],"schema":"https://github.com/citation-style-language/schema/raw/master/csl-citation.json"}</w:instrText>
      </w:r>
      <w:r>
        <w:fldChar w:fldCharType="separate"/>
      </w:r>
      <w:r>
        <w:rPr>
          <w:rFonts w:cs="Times New Roman"/>
        </w:rPr>
        <w:t xml:space="preserve">(siehe etwa Barbu 2015; Barbu et al. 2016; Negri et al. 2017; Sabet et al. 2016)</w:t>
      </w:r>
      <w:r>
        <w:fldChar w:fldCharType="end"/>
      </w:r>
      <w:r/>
      <w:r/>
    </w:p>
    <w:p>
      <w:pPr>
        <w:pStyle w:val="878"/>
        <w:numPr>
          <w:ilvl w:val="0"/>
          <w:numId w:val="0"/>
        </w:numPr>
        <w:pBdr/>
        <w:spacing/>
        <w:ind w:firstLine="0" w:left="0"/>
        <w:rPr/>
      </w:pPr>
      <w:r>
        <w:t xml:space="preserve">Dezidierte QA-Anwendungen wie diese verfügen typischerweise über einen deutlich höheren Funktionsumfang im Vergleich zu integrierten TM-Editoren in CAT-Tools. So bietet etw</w:t>
      </w:r>
      <w:r>
        <w:t xml:space="preserve">a ApSIC Xbench in seiner aktuellen Version 3.0 u. a. Funktionen zum Auffinden von nicht oder inkonsistent übersetzten Segmenten, Terminologiefehlern, Differenzen zwischen Zahlen, Tags, Sonderzeichen etc. in Ausgangs- und Zielsegment und Wortwiederholungen.</w:t>
      </w:r>
      <w:r/>
    </w:p>
    <w:p>
      <w:pPr>
        <w:pStyle w:val="895"/>
        <w:numPr>
          <w:ilvl w:val="1"/>
          <w:numId w:val="5"/>
        </w:numPr>
        <w:pBdr/>
        <w:spacing/>
        <w:ind w:hanging="360" w:left="360"/>
        <w:rPr/>
      </w:pPr>
      <w:r/>
      <w:bookmarkStart w:id="28" w:name="_Toc181194921"/>
      <w:r>
        <w:t xml:space="preserve">TM-Bereinigung mit Large Language Models</w:t>
      </w:r>
      <w:bookmarkEnd w:id="28"/>
      <w:r/>
      <w:r/>
    </w:p>
    <w:p>
      <w:pPr>
        <w:pStyle w:val="817"/>
        <w:pBdr/>
        <w:spacing/>
        <w:ind/>
        <w:rPr/>
      </w:pPr>
      <w:r>
        <w:t xml:space="preserve">Larg</w:t>
      </w:r>
      <w:r>
        <w:t xml:space="preserve">e Language Models (LLMs) bieten heute eine Reihe neuer Möglichkeiten bei der Pflege und Bereinigung von Übersetzungsdaten. Ein Anwendungsfall, der dies eindrücklich zeigt, ist die Bereinigung von Terminologiefehlern. Klassische Terminologieprüfungen dienen</w:t>
      </w:r>
      <w:r>
        <w:t xml:space="preserve"> lediglich dem Auffinden von Segmenten mit potenziellen Terminologiefehlern. Eine automatische Korrektur (oder auch nur eine halbautomatische mittels Suchen und Ersetzen) war bei Terminologiefehlern jedoch bislang in den allermeisten Fällen nicht möglich. </w:t>
      </w:r>
      <w:r>
        <w:t xml:space="preserve">Problematisch waren in diesem Zusammenhang sowohl flektierte Formen der Benennung als auch abhängige Wörter wie Adjektive, Artikel, Pronomen etc. Eine einfache Ersetzung von Benennungen hätte damit in der Vergangenheit unweigerlich zu Folgefehlern geführt.</w:t>
      </w:r>
      <w:r/>
    </w:p>
    <w:p>
      <w:pPr>
        <w:pStyle w:val="817"/>
        <w:pBdr/>
        <w:spacing/>
        <w:ind/>
        <w:rPr/>
      </w:pPr>
      <w:r>
        <w:t xml:space="preserve">LLMs</w:t>
      </w:r>
      <w:r>
        <w:t xml:space="preserve"> bieten nun erstmals die Möglichkeit, nicht nur inkorrekte Benennungen zu ersetzen, sondern auch alle erforderlichen grammatischen Anpassungen in deren Umfeld vorzunehmen – also etwa a) Artikel, b) Flexionsendungen und c) Pronomen zu ändern (siehe Abb. 8).</w:t>
      </w:r>
      <w:r/>
    </w:p>
    <w:p>
      <w:pPr>
        <w:pStyle w:val="817"/>
        <w:pBdr/>
        <w:spacing/>
        <w:ind/>
        <w:rPr/>
      </w:pPr>
      <w:r>
        <mc:AlternateContent>
          <mc:Choice Requires="wpg">
            <w:drawing>
              <wp:inline xmlns:wp="http://schemas.openxmlformats.org/drawingml/2006/wordprocessingDrawing" distT="0" distB="0" distL="0" distR="0">
                <wp:extent cx="4319905" cy="2447925"/>
                <wp:effectExtent l="0" t="0" r="0" b="0"/>
                <wp:docPr id="8" name="Bild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8" descr="A screenshot of a computer&#10;&#10;Description automatically generated"/>
                        <pic:cNvPicPr>
                          <a:picLocks noChangeAspect="1"/>
                        </pic:cNvPicPr>
                        <pic:nvPr/>
                      </pic:nvPicPr>
                      <pic:blipFill>
                        <a:blip r:embed="rId18"/>
                        <a:stretch/>
                      </pic:blipFill>
                      <pic:spPr bwMode="auto">
                        <a:xfrm>
                          <a:off x="0" y="0"/>
                          <a:ext cx="4319905" cy="24479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0.15pt;height:192.75pt;mso-wrap-distance-left:0.00pt;mso-wrap-distance-top:0.00pt;mso-wrap-distance-right:0.00pt;mso-wrap-distance-bottom:0.00pt;z-index:1;" stroked="false">
                <v:imagedata r:id="rId18" o:title=""/>
                <o:lock v:ext="edit" rotation="t"/>
              </v:shape>
            </w:pict>
          </mc:Fallback>
        </mc:AlternateContent>
      </w:r>
      <w:r/>
    </w:p>
    <w:p>
      <w:pPr>
        <w:pStyle w:val="865"/>
        <w:pBdr/>
        <w:spacing/>
        <w:ind/>
        <w:rPr/>
      </w:pPr>
      <w:r>
        <w:t xml:space="preserve">Abb. 8: Terminologiekorrektur mit ChatGPT </w:t>
      </w:r>
      <w:r>
        <w:fldChar w:fldCharType="begin"/>
      </w:r>
      <w:r>
        <w:instrText xml:space="preserve">ADDIN ZOTERO_ITEM CSL_CITATION {"citationID":"B7TmwrvE","properties":{"formattedCitation":"(Zielinski/Varga 2024)","plainCitation</w:instrText>
      </w:r>
      <w:r>
        <w:instrText xml:space="preserve">":"(Zielinski/Varga 2024)","noteIndex":0},"citationItems":[{"id":9351,"uris":["http://zotero.org/users/3827919/items/JFFEJV8E"],"itemData":{"id":9351,"type":"article-journal","container-title":"tcworld","page":"30–34","title":"Super-charge your language da</w:instrText>
      </w:r>
      <w:r>
        <w:instrText xml:space="preserve">ta with and for AI","volume":"April 2024","author":[{"family":"Zielinski","given":"Daniel"},{"family":"Varga","given":"Simon"}],"issued":{"date-parts":[["2024"]]}}}],"schema":"https://github.com/citation-style-language/schema/raw/master/csl-citation.json"}</w:instrText>
      </w:r>
      <w:r>
        <w:fldChar w:fldCharType="separate"/>
      </w:r>
      <w:r>
        <w:rPr>
          <w:rFonts w:cs="Times New Roman"/>
        </w:rPr>
        <w:t xml:space="preserve">(Zielinski/Varga 2024)</w:t>
      </w:r>
      <w:r>
        <w:fldChar w:fldCharType="end"/>
      </w:r>
      <w:r/>
      <w:r/>
    </w:p>
    <w:p>
      <w:pPr>
        <w:pStyle w:val="817"/>
        <w:pBdr/>
        <w:spacing/>
        <w:ind/>
        <w:rPr/>
      </w:pPr>
      <w:r>
        <w:t xml:space="preserve">Ob LLMs dabei als Ersatz oder Ergänzung klassischer Qualitätsprüfungen eingesetzt werden, hängt nicht zuletzt von wirtschaftlichen Überlegung</w:t>
      </w:r>
      <w:r>
        <w:t xml:space="preserve">en ab: Je nach Kosten des verwendeten Modells und Menge der zu prüfenden Daten kann es so etwa vorteilhaft sein, zunächst mit klassischen Methoden problematische Segmente zu identifizieren und nur diese dann gezielt mithilfe von LLMs korrigieren zu lassen.</w:t>
      </w:r>
      <w:r/>
    </w:p>
    <w:p>
      <w:pPr>
        <w:pStyle w:val="817"/>
        <w:pBdr/>
        <w:spacing/>
        <w:ind/>
        <w:rPr/>
      </w:pPr>
      <w:r>
        <w:t xml:space="preserve">Unabhängig davon stellt sich die Frage, </w:t>
      </w:r>
      <w:r>
        <w:t xml:space="preserve">wie automatisch per LLM korrigierte Übersetzungseinheiten in Produktionsprozesse integriert werden. Unter bestimmten Voraussetzungen ist eine manuelle Überprüfung der angepassten Übersetzungseinheiten denkbar, bevor diese eingesetzt werden: dann etwa, wenn</w:t>
      </w:r>
      <w:r>
        <w:t xml:space="preserve"> die die erforderlichen Ressourcen vorhanden, die Datenmengen überschaubar und ihre Kritikalität hoch ist. Eine weitere Möglichkeit ist die Auszeichnung der geänderten Segmente mit entsprechenden Metadatenwerten, die dann in den TM-Einstellungen mit einer </w:t>
      </w:r>
      <w:r>
        <w:t xml:space="preserve">Penalty belegt werden können. Dadurch ist gewährleistet, dass automatisch geänderte Übersetzungseinheiten in Übersetzungsprojekten nicht als Kontextmatches erscheinen, sondern auf jeden Fall vom Übersetzungsdienstleister geprüft und ggf. bearbeitet werden.</w:t>
      </w:r>
      <w:r/>
    </w:p>
    <w:p>
      <w:pPr>
        <w:pStyle w:val="894"/>
        <w:numPr>
          <w:ilvl w:val="0"/>
          <w:numId w:val="5"/>
        </w:numPr>
        <w:pBdr/>
        <w:spacing/>
        <w:ind w:hanging="360" w:left="360"/>
        <w:rPr/>
      </w:pPr>
      <w:r/>
      <w:bookmarkStart w:id="29" w:name="_Toc181194922"/>
      <w:r>
        <w:t xml:space="preserve">Daten annotieren und harmonisieren</w:t>
      </w:r>
      <w:bookmarkEnd w:id="29"/>
      <w:r/>
      <w:r/>
    </w:p>
    <w:p>
      <w:pPr>
        <w:pStyle w:val="817"/>
        <w:pBdr/>
        <w:spacing/>
        <w:ind/>
        <w:rPr/>
      </w:pPr>
      <w:r>
        <w:t xml:space="preserve">Nach Analyse und Bereinigung der Übersetzungsdaten müssen diese anhand des neuen Metadatenschemas annotiert und harmonisiert werden. Ein wichtiger Schritt ist in diesem</w:t>
      </w:r>
      <w:r>
        <w:t xml:space="preserve"> Zusammenhang die Ergänzung fehlender beschreibender Metadatenwerte. Diese können mithilfe unterschiedlicher Ansätze ermittelt werden, entweder anhand vorhandener Metadaten oder aber auf Grundlage der in den Übersetzungseinheiten enthaltenen Texten selbst.</w:t>
      </w:r>
      <w:r/>
    </w:p>
    <w:p>
      <w:pPr>
        <w:pStyle w:val="817"/>
        <w:pBdr/>
        <w:spacing/>
        <w:ind/>
        <w:rPr/>
      </w:pPr>
      <w:r>
        <w:t xml:space="preserve">Die Kreuzung von Metadatenwerten kann dabei auf unterschiedliche Weise erfolgen. So lassen etwa beschreibende Metadaten wie </w:t>
      </w:r>
      <w:r>
        <w:t xml:space="preserve">Projekt- oder Dateinamen potenziell Rückschlüsse auf Content-Typen oder Fachgebiete zu. Gleiches gilt u. U. auch für administrative Metadaten, wenn z. B. ein bestimmter Content-Typ ausschließlich von einem festen Übersetzungsdienstleister bearbeitet wurde.</w:t>
      </w:r>
      <w:r/>
    </w:p>
    <w:p>
      <w:pPr>
        <w:pStyle w:val="817"/>
        <w:pBdr/>
        <w:spacing/>
        <w:ind/>
        <w:rPr/>
      </w:pPr>
      <w:r>
        <w:t xml:space="preserve">Letztendlich sind die Möglichkeiten in diesem Bereich durch die vorhandenen Metadaten vorgegeben. Sind aus diesen keine Rückschlüsse auf die </w:t>
      </w:r>
      <w:r>
        <w:t xml:space="preserve">Inhalte von Übersetzungsdaten möglich, so besteht unter bestimmten Umständen auch die Möglichkeit, die Segmente selbst auf ihre Zugehörigkeit zu relevanten Kategorien hin zu untersuchen, und zwar anhand der der darin verwendeten Terminologie. Hierzu ein ei</w:t>
      </w:r>
      <w:r>
        <w:t xml:space="preserve">nfaches Beispiel: Liegen TMs mit Übersetzungen vor, die von verschiedenen Abteilungen – z. B. Marketing und Technische Dokumentation – in Auftrag gegeben wurden, können diese potenziell durch die darin vorkommenden Benennungen voneinander unterschieden wer</w:t>
      </w:r>
      <w:r>
        <w:t xml:space="preserve">den. Voraussetzung hierfür ist natürlich zunächst, dass es zwischen den Inhalten beider Abteilungen terminologische Unterschiede gibt; darüber hinaus muss eine Terminologiedatenbank mit entsprechend gelabelten Einträgen existieren (bzw. angelegt werden!). </w:t>
      </w:r>
      <w:r/>
    </w:p>
    <w:p>
      <w:pPr>
        <w:pStyle w:val="894"/>
        <w:numPr>
          <w:ilvl w:val="0"/>
          <w:numId w:val="5"/>
        </w:numPr>
        <w:pBdr/>
        <w:spacing/>
        <w:ind w:hanging="360" w:left="360"/>
        <w:rPr/>
      </w:pPr>
      <w:r/>
      <w:bookmarkStart w:id="30" w:name="_Toc181194923"/>
      <w:r>
        <w:t xml:space="preserve">Daten anreichern</w:t>
      </w:r>
      <w:bookmarkEnd w:id="30"/>
      <w:r/>
      <w:r/>
    </w:p>
    <w:p>
      <w:pPr>
        <w:pStyle w:val="817"/>
        <w:pBdr/>
        <w:spacing/>
        <w:ind/>
        <w:rPr/>
      </w:pPr>
      <w:r>
        <w:t xml:space="preserve">Wie in den bisherigen Kapiteln deutlich wurden, befasst sich Ü</w:t>
      </w:r>
      <w:r>
        <w:t xml:space="preserve">bersetzungsdatenmanagement nicht nur mit der Verwaltung und Pflege von TMs, sondern auch mit flankierenden Ressourcen und Prozessen, die sich unmittelbar auf die Nutzbarkeit der Übersetzungsdaten auswirken – also etwa Segmentierungsregeln und Non-Translata</w:t>
      </w:r>
      <w:r>
        <w:t xml:space="preserve">bles. Eine weitere zentrale Tätigkeit ist in diesem Zusammenhang die Generierung von Übersetzungsdaten. Ob und in welchem Umfang eine solche erforderlich sein kann, hängt vom Zweck und den Zielen ab, zu denen die Übersetzungsdaten eingesetzt werden sollen.</w:t>
      </w:r>
      <w:r/>
    </w:p>
    <w:p>
      <w:pPr>
        <w:pStyle w:val="817"/>
        <w:pBdr/>
        <w:spacing/>
        <w:ind/>
        <w:rPr/>
      </w:pPr>
      <w:r>
        <w:t xml:space="preserve">In klassischen Übersetzungsworkflows etwa ist der Wert solcher synthetischer Daten gegenüber „organischen“ TM-Treffern eher gering einzustufen: Einzelne Fuzzy-Matches genügen hier, u</w:t>
      </w:r>
      <w:r>
        <w:t xml:space="preserve">m eine konsistente Übersetzung neuer Inhalte zu ermöglichen. Anders sieht es jedoch im Bereich MÜ-Training/-Customization bzw. MÜ-Output-Customization aus. Hier können automatisch generierte Übersetzungseinheiten die Qualität des MÜ-Outputs verbessern. Int</w:t>
      </w:r>
      <w:r>
        <w:t xml:space="preserve">eressant ist diese Möglichkeit vor allem für Anwendungsfälle, in denen authentische Trainingsdaten nicht in ausreichender Menge vorhanden sind – was aus Sicht von Organisationen mit spezifischer Corporate Language eher die Regel als die Ausnahme darstellt.</w:t>
      </w:r>
      <w:r/>
    </w:p>
    <w:p>
      <w:pPr>
        <w:pStyle w:val="817"/>
        <w:pBdr/>
        <w:spacing/>
        <w:ind/>
        <w:rPr/>
      </w:pPr>
      <w:r>
        <w:t xml:space="preserve">Es gibt eine Reihe von Möglichkeiten, synthetische Trainingsdaten zu generieren, von denen an dieser Stelle zur Illustration zwei kurz genannt werden sollen: die sogenannte Back-Translation und die Umformulierung existierender Übersetzungseinheiten.</w:t>
      </w:r>
      <w:r/>
    </w:p>
    <w:p>
      <w:pPr>
        <w:pStyle w:val="817"/>
        <w:pBdr/>
        <w:spacing/>
        <w:ind/>
        <w:rPr/>
      </w:pPr>
      <w:r>
        <w:t xml:space="preserve">Back-Translation bezeichnet die Generierung zweisprachiger Trainingsdaten durch die maschinelle Übersetzung zielsprachlicher Inhalte in die gewünschte Ausgangssprache </w:t>
      </w:r>
      <w:r>
        <w:fldChar w:fldCharType="begin"/>
      </w:r>
      <w:r>
        <w:instrText xml:space="preserve">ADDIN ZOTERO_ITEM CSL_CITATION {"citationID":"pEOJT4o3","properties":{"formattedCitation":"(Edunov et al. 2018; Sennrich/Hadd</w:instrText>
      </w:r>
      <w:r>
        <w:instrText xml:space="preserve">ow/Birch 2016)","plainCitation":"(Edunov et al. 2018; Sennrich/Haddow/Birch 2016)","noteIndex":0},"citationItems":[{"id":9317,"uris":["http://zotero.org/users/3827919/items/89SF588C"],"itemData":{"id":9317,"type":"article","abstract":"An effective method t</w:instrText>
      </w:r>
      <w:r>
        <w:instrText xml:space="preserve">o improve neural machine translation with monolingual data is to augment the parallel training corpus with back-translations of target language sentences. This work broadens the understanding of back-translation and investigates a number of methods to gene</w:instrText>
      </w:r>
      <w:r>
        <w:instrText xml:space="preserve">rate synthetic source sentences. We ﬁnd that in all but resource poor settings back-translations obtained via sampling or noised beam outputs are most effective. Our analysis shows that sampling or noisy synthetic data gives a much stronger training signal</w:instrText>
      </w:r>
      <w:r>
        <w:instrText xml:space="preserve"> than data generated by beam or greedy search. We also compare how synthetic data compares to genuine bitext and study various domain effects. Finally, we scale to hundreds of millions of monolingual sentences and achieve a new state of the art of 35 BLEU </w:instrText>
      </w:r>
      <w:r>
        <w:instrText xml:space="preserve">on the WMT’14 English-German test set.","language":"en","note":"arXiv:1808.09381 [cs]","number":"arXiv:1808.09381","publisher":"arXiv","source":"arXiv.org","title":"Understanding Back-Translation at Scale","URL":"http://arxiv.org/abs/1808.09381","author":[</w:instrText>
      </w:r>
      <w:r>
        <w:instrText xml:space="preserve">{"family":"Edunov","given":"Sergey"},{"family":"Ott","given":"Myle"},{"family":"Auli","given":"Michael"},{"family":"Grangier","given":"David"}],"accessed":{"date-parts":[["2024",10,26]]},"issued":{"date-parts":[["2018"]]}}},{"id":9325,"uris":["http://zoter</w:instrText>
      </w:r>
      <w:r>
        <w:instrText xml:space="preserve">o.org/users/3827919/items/CES3ZUR4"],"itemData":{"id":9325,"type":"paper-conference","abstract":"Neural Machine Translation (NMT) has obtained state-of-the art performance for several language pairs, while only using parallel data for training. Targetside </w:instrText>
      </w:r>
      <w:r>
        <w:instrText xml:space="preserve">monolingual data plays an important role in boosting ﬂuency for phrasebased statistical machine translation, and we investigate the use of monolingual data for NMT. In contrast to previous work, which combines NMT models with separately trained language mo</w:instrText>
      </w:r>
      <w:r>
        <w:instrText xml:space="preserve">dels, we note that encoder-decoder NMT architectures already have the capacity to learn the same information as a language model, and we explore strategies to train with monolingual data without changing the neural network architecture. By pairing monoling</w:instrText>
      </w:r>
      <w:r>
        <w:instrText xml:space="preserve">ual training data with an automatic backtranslation, we can treat it as additional parallel training data, and we obtain substantial improvements on the WMT 15 task English↔German (+2.8–3.7 BLEU), and for the low-resourced IWSLT 14 task Turkish→English (+2</w:instrText>
      </w:r>
      <w:r>
        <w:instrText xml:space="preserve">.1–3.4 BLEU), obtaining new state-of-the-art results. We also show that ﬁne-tuning on in-domain monolingual and parallel data gives substantial improvements for the IWSLT 15 task English→German.","container-title":"Proceedings of the 54th Annual Meeting of</w:instrText>
      </w:r>
      <w:r>
        <w:instrText xml:space="preserve"> the Association for Computational Linguistics (Volume 1: Long Papers)","DOI":"10.18653/v1/P16-1009","event-place":"Berlin","event-title":"54th Annual Meeting of the Association for Computational Linguistics","language":"en","page":"86–96","publisher":"Ass</w:instrText>
      </w:r>
      <w:r>
        <w:instrText xml:space="preserve">ociation for Computational Linguistics","publisher-place":"Berlin","source":"DOI.org (Crossref)","title":"Improving Neural Machine Translation Models with Monolingual Data","URL":"http://aclweb.org/anthology/P16-1009","author":[{"family":"Sennrich","given"</w:instrText>
      </w:r>
      <w:r>
        <w:instrText xml:space="preserve">:"Rico"},{"family":"Haddow","given":"Barry"},{"family":"Birch","given":"Alexandra"}],"accessed":{"date-parts":[["2024",10,26]]},"issued":{"date-parts":[["2016"]]}}}],"schema":"https://github.com/citation-style-language/schema/raw/master/csl-citation.json"}</w:instrText>
      </w:r>
      <w:r>
        <w:fldChar w:fldCharType="separate"/>
      </w:r>
      <w:r>
        <w:rPr>
          <w:rFonts w:cs="Times New Roman"/>
        </w:rPr>
        <w:t xml:space="preserve">(Edunov et al. 2018; Sennrich/Haddow/Birch 2016)</w:t>
      </w:r>
      <w:r>
        <w:fldChar w:fldCharType="end"/>
      </w:r>
      <w:r>
        <w:t xml:space="preserve">. Das Ergebnis sind korrekte Zielsegmente mit einem oder mehreren (potenziell fehlerhaften!) maschinell übersetzten Ausgangssegmenten </w:t>
      </w:r>
      <w:r>
        <w:fldChar w:fldCharType="begin"/>
      </w:r>
      <w:r>
        <w:instrText xml:space="preserve">ADDIN ZOTERO_ITEM CSL_CITATION {"citationID":"96erxIxb","properties":{"formattedCitation":"(Imamura/Sumita 2019)","plainCi</w:instrText>
      </w:r>
      <w:r>
        <w:instrText xml:space="preserve">tation":"(Imamura/Sumita 2019)","noteIndex":0},"citationItems":[{"id":9322,"uris":["http://zotero.org/users/3827919/items/GYDPQU6I"],"itemData":{"id":9322,"type":"paper-conference","abstract":"This paper describes the NICT-2 neural machine translation syst</w:instrText>
      </w:r>
      <w:r>
        <w:instrText xml:space="preserve">em at the 6th Workshop on Asian Translation. This system employs the standard Transformer model but features the following two characteristics. One is the long warm-up strategy, which performs a longer warm-up of the learning rate at the start of the train</w:instrText>
      </w:r>
      <w:r>
        <w:instrText xml:space="preserve">ing than conventional approaches. Another is that the system introduces self-training approaches based on multiple back-translations generated by sampling. We participated in three tasks—ASPEC.enja, ASPEC.ja-en, and TDDC.ja-en—using this system.","containe</w:instrText>
      </w:r>
      <w:r>
        <w:instrText xml:space="preserve">r-title":"Proceedings of the 6th Workshop on Asian Translation","DOI":"10.18653/v1/D19-5217","event-place":"Hong Kong","event-title":"6th Workshop on Asian Translation","language":"en","page":"141–146","publisher":"Association for Computational Linguistics</w:instrText>
      </w:r>
      <w:r>
        <w:instrText xml:space="preserve">","publisher-place":"Hong Kong","source":"DOI.org (Crossref)","title":"Long Warm-up and Self-Training: Training Strategies of NICT-2 NMT System at WAT-2019","title-short":"Long Warm-up and Self-Training","URL":"https://www.aclweb.org/anthology/D19-5217","a</w:instrText>
      </w:r>
      <w:r>
        <w:instrText xml:space="preserve">uthor":[{"family":"Imamura","given":"Kenji"},{"family":"Sumita","given":"Eiichiro"}],"accessed":{"date-parts":[["2024",10,26]]},"issued":{"date-parts":[["2019"]]}}}],"schema":"https://github.com/citation-style-language/schema/raw/master/csl-citation.json"}</w:instrText>
      </w:r>
      <w:r>
        <w:fldChar w:fldCharType="separate"/>
      </w:r>
      <w:r>
        <w:rPr>
          <w:rFonts w:cs="Times New Roman"/>
        </w:rPr>
        <w:t xml:space="preserve">(Imamura/Sumita 2019)</w:t>
      </w:r>
      <w:r>
        <w:fldChar w:fldCharType="end"/>
      </w:r>
      <w:r>
        <w:t xml:space="preserve">. In diesem Zusammenhang können nicht nur monolinguale Daten (also nicht übersetzte Texte) verwendet werden, sondern auch die Zielsegmente bereits existierender Übersetzungseinheiten, zu denen alternative Ausgangssegmente generiert werden.</w:t>
      </w:r>
      <w:r/>
    </w:p>
    <w:p>
      <w:pPr>
        <w:pStyle w:val="817"/>
        <w:pBdr/>
        <w:spacing/>
        <w:ind/>
        <w:rPr/>
      </w:pPr>
      <w:r>
        <w:t xml:space="preserve">Die Umformulierung bestehender Übersetzungseinheiten wiederum kann sowohl auf Ausgangs- als auch auf Zielsegmente angewendet werden. Die konkreten Möglichkeiten sind hier vielfältig: So können etwa negierte Varianten von Sätzen erstellt werden </w:t>
      </w:r>
      <w:r>
        <w:fldChar w:fldCharType="begin"/>
      </w:r>
      <w:r>
        <w:instrText xml:space="preserve">ADDIN ZOTERO_ITEM CSL_CITATION {"citationID":"SvB90YNN","properties":{"formattedCitation":"(Wetzel/Bond 2012</w:instrText>
      </w:r>
      <w:r>
        <w:instrText xml:space="preserve">)","plainCitation":"(Wetzel/Bond 2012)","noteIndex":0},"citationItems":[{"id":9343,"uris":["http://zotero.org/users/3827919/items/TMQDARHA"],"itemData":{"id":9343,"type":"paper-conference","abstract":"This paper presents an approach to improving performanc</w:instrText>
      </w:r>
      <w:r>
        <w:instrText xml:space="preserve">e of statistical machine translation by automatically creating new training data for difﬁcult to translate phenomena. In particular this contribution is targeted towards tackling the poor performance of a state-of-the-art system on negated sentences. The c</w:instrText>
      </w:r>
      <w:r>
        <w:instrText xml:space="preserve">orpus expansion is achieved by high quality rephrasing of existing sentences to their negated counterparts making use of semantic transfer. The method is designed to work on both sides of the parallel corpus while preserving the alignment. Our results show</w:instrText>
      </w:r>
      <w:r>
        <w:instrText xml:space="preserve"> an overall improvement of 0.16 BLEU points, with a statistically signiﬁcant increase of 1.63 BLEU points when tested on only negated test data.","container-title":"Proceedings of SSST-6","event-place":"Jeju, Korea","event-title":"Sixth Workshop on Syntax,</w:instrText>
      </w:r>
      <w:r>
        <w:instrText xml:space="preserve"> Semantics and Structure in Statistical Translation","language":"en","page":"20–29","publisher":"Association for Computational Linguistics","publisher-place":"Jeju, Korea","source":"Zotero","title":"Enriching Parallel Corpora for Statistical Machine Transl</w:instrText>
      </w:r>
      <w:r>
        <w:instrText xml:space="preserve">ation with Semantic Negation Rephrasing","author":[{"family":"Wetzel","given":"Dominikus"},{"family":"Bond","given":"Francis"}],"issued":{"date-parts":[["2012"]]}}}],"schema":"https://github.com/citation-style-language/schema/raw/master/csl-citation.json"}</w:instrText>
      </w:r>
      <w:r>
        <w:fldChar w:fldCharType="separate"/>
      </w:r>
      <w:r>
        <w:rPr>
          <w:rFonts w:cs="Times New Roman"/>
        </w:rPr>
        <w:t xml:space="preserve">(Wetzel/Bond 2012)</w:t>
      </w:r>
      <w:r>
        <w:fldChar w:fldCharType="end"/>
      </w:r>
      <w:r>
        <w:t xml:space="preserve">. Ein weiterer Ansatz besteht darin, Entitäten, wie etwa Personen- und Städtenamen,  durch andere Entitäten derselben Kategorie zu ersetzen und so verschiedene Varianten derselben Übersetzungseinheit zu erstellen </w:t>
      </w:r>
      <w:r>
        <w:fldChar w:fldCharType="begin"/>
      </w:r>
      <w:r>
        <w:instrText xml:space="preserve">ADDIN ZO</w:instrText>
      </w:r>
      <w:r>
        <w:instrText xml:space="preserve">TERO_ITEM CSL_CITATION {"citationID":"YgO2HHfS","properties":{"formattedCitation":"(Winter/Zielinski 2020)","plainCitation":"(Winter/Zielinski 2020)","noteIndex":0},"citationItems":[{"id":4646,"uris":["http://zotero.org/users/3827919/items/BNMVF8EY"],"item</w:instrText>
      </w:r>
      <w:r>
        <w:instrText xml:space="preserve">Data":{"id":4646,"type":"chapter","container-title":"Maschinelle Übersetzung für Übersetzungsprofis","event-place":"Berlin","page":"210–233","publisher":"BDÜ Fachverlag","publisher-place":"Berlin","title":"Terminologie in der maschinellen Übersetzung","edi</w:instrText>
      </w:r>
      <w:r>
        <w:instrText xml:space="preserve">tor":[{"family":"Porsiel","given":"Jörg"}],"author":[{"family":"Winter","given":"Tom"},{"family":"Zielinski","given":"Daniel"}],"issued":{"date-parts":[["2020"]]}}}],"schema":"https://github.com/citation-style-language/schema/raw/master/csl-citation.json"}</w:instrText>
      </w:r>
      <w:r>
        <w:fldChar w:fldCharType="separate"/>
      </w:r>
      <w:r>
        <w:rPr>
          <w:rFonts w:cs="Times New Roman"/>
        </w:rPr>
        <w:t xml:space="preserve">(Winter/Zielinski 2020)</w:t>
      </w:r>
      <w:r>
        <w:fldChar w:fldCharType="end"/>
      </w:r>
      <w:r>
        <w:t xml:space="preserve">. Auch hier ermöglichen LLMs unterschiedlichste Transformationen, ohne dass hierfür aufwendige Methoden und Skripte entwickelt werden müssen – im einfachsten Fall mithilfe eines simplen Prompts, der bestehende Segmente rein syntaktisch variiert.</w:t>
      </w:r>
      <w:r/>
    </w:p>
    <w:p>
      <w:pPr>
        <w:pStyle w:val="817"/>
        <w:pBdr/>
        <w:spacing/>
        <w:ind/>
        <w:rPr/>
      </w:pPr>
      <w:r>
        <w:t xml:space="preserve">Unabhängig vom gewählten Ansatz müssen synthetische Daten in nachgelagerten Pr</w:t>
      </w:r>
      <w:r>
        <w:t xml:space="preserve">ozessen eindeutig identifizierbar bleiben, indem sie etwa in separaten TMs gespeichert, mindestens aber mit entsprechenden Metadaten ausgezeichnet und mit einer Penalty belegt werden. Ob und wie sie in klassische Übersetzungsprozesse eingebunden werden, hä</w:t>
      </w:r>
      <w:r>
        <w:t xml:space="preserve">ngt von der eingesetzten MÜ-Technologie ab: Bei Training/Customization von MÜ-Modellen sind sie nicht als Ressource in die eigentliche Übersetzung eingebunden. In den letzten Jahren zeichnet sich für viele Anwendungsfälle allerdings ein anderer Trend ab: A</w:t>
      </w:r>
      <w:r>
        <w:t xml:space="preserve">nstatt aufwendig MÜ-Modelle zu trainieren oder zu customizen, wird mithilfe sogenannter „adaptiver“ MÜ der Output des Modells selbst auf Grundlage der zur Verfügung stehenden Referenzübersetzungen angepasst (mittlerweile typischerweise mithilfe von LLMs!).</w:t>
      </w:r>
      <w:r/>
    </w:p>
    <w:p>
      <w:pPr>
        <w:pStyle w:val="894"/>
        <w:numPr>
          <w:ilvl w:val="0"/>
          <w:numId w:val="5"/>
        </w:numPr>
        <w:pBdr/>
        <w:spacing/>
        <w:ind w:hanging="360" w:left="360"/>
        <w:rPr/>
      </w:pPr>
      <w:r>
        <w:t xml:space="preserve">Daten implementieren</w:t>
      </w:r>
      <w:r/>
    </w:p>
    <w:p>
      <w:pPr>
        <w:pStyle w:val="817"/>
        <w:pBdr/>
        <w:spacing/>
        <w:ind/>
        <w:rPr/>
      </w:pPr>
      <w:r>
        <w:t xml:space="preserve">Nach Abschluss ihrer Aufbereitung können die Übersetzungsdaten dann in die relevanten Systeme und Prozesse integriert werden, im e</w:t>
      </w:r>
      <w:r>
        <w:t xml:space="preserve">infachsten Fall etwa durch Import in lokale bzw. server- oder cloudbasierte TMs. Werden die Daten hingegen (auch) an anderer Stelle benötigt, bspw. für MÜ-Training/-Customization, müssen ggf. vorab geeignete Austauschformate und -routinen definiert werden.</w:t>
      </w:r>
      <w:r/>
    </w:p>
    <w:p>
      <w:pPr>
        <w:pStyle w:val="894"/>
        <w:numPr>
          <w:ilvl w:val="0"/>
          <w:numId w:val="5"/>
        </w:numPr>
        <w:pBdr/>
        <w:spacing/>
        <w:ind w:hanging="360" w:left="360"/>
        <w:rPr/>
      </w:pPr>
      <w:r/>
      <w:bookmarkStart w:id="31" w:name="_Toc181194924"/>
      <w:r>
        <w:t xml:space="preserve">Daten überwachen und pflegen</w:t>
      </w:r>
      <w:bookmarkEnd w:id="31"/>
      <w:r/>
      <w:r/>
    </w:p>
    <w:p>
      <w:pPr>
        <w:pStyle w:val="817"/>
        <w:pBdr/>
        <w:spacing/>
        <w:ind/>
        <w:rPr/>
      </w:pPr>
      <w:r>
        <w:t xml:space="preserve">Übersetzungsdatenmanagement ist ein kontinuierlicher, aktiver Prozess. Nach ihrer initialen Aufbereitung und Bereitstellung müssen Qualitä</w:t>
      </w:r>
      <w:r>
        <w:t xml:space="preserve">t und Performance der Daten überwacht werden. Hierfür bieten sich APIs an, über die ein kontinuierliches Monitoring durchgeführt werden kann, ohne dass die Daten aus laufenden Prozessen genommen werden müssen. Prinzipiell kommen auch hier etwa die in Kap. </w:t>
      </w:r>
      <w:r>
        <w:fldChar w:fldCharType="begin"/>
      </w:r>
      <w:r>
        <w:instrText xml:space="preserve"> REF _Ref181196137 \r \r \h </w:instrText>
      </w:r>
      <w:r>
        <w:fldChar w:fldCharType="separate"/>
      </w:r>
      <w:r>
        <w:t xml:space="preserve">5.2</w:t>
      </w:r>
      <w:r>
        <w:fldChar w:fldCharType="end"/>
      </w:r>
      <w:r>
        <w:t xml:space="preserve"> vorgestellten Analysedimensionen zur kontinuierlichen Qualitätssicherung in Frage.</w:t>
      </w:r>
      <w:r/>
    </w:p>
    <w:p>
      <w:pPr>
        <w:pStyle w:val="817"/>
        <w:pBdr/>
        <w:spacing/>
        <w:ind/>
        <w:rPr/>
      </w:pPr>
      <w:r>
        <w:t xml:space="preserve">Grundsätzlich sind jedoch Qualitätssicherungsmaßnahmen an de</w:t>
      </w:r>
      <w:r>
        <w:t xml:space="preserve">r Quelle, also in laufenden Übersetzungsprojekten, die effektivsten Garanten für die Qualität von Übersetzungsdaten. Das Augenmerk sollte also auch und vor allem auf der Fehlervermeidung in den Übersetzungsprozessen selbst liegen – u. a. durch die in Kap. </w:t>
      </w:r>
      <w:r>
        <w:fldChar w:fldCharType="begin"/>
      </w:r>
      <w:r>
        <w:instrText xml:space="preserve"> REF _Ref181196366 \r \r \h </w:instrText>
      </w:r>
      <w:r>
        <w:fldChar w:fldCharType="separate"/>
      </w:r>
      <w:r>
        <w:t xml:space="preserve">2.2</w:t>
      </w:r>
      <w:r>
        <w:fldChar w:fldCharType="end"/>
      </w:r>
      <w:r>
        <w:t xml:space="preserve"> genannten Maßnahmen. Dadurch werden nicht nur Qualitätsprobleme in den Übersetzungsdaten, sondern auch in den eigentlichen mehrsprachigen Inhalten vermieden – schließlich ist ein Fehler in den Übersetzungsdaten immer auch ein Fehler an anderer Stelle!</w:t>
      </w:r>
      <w:r/>
    </w:p>
    <w:p>
      <w:pPr>
        <w:pStyle w:val="894"/>
        <w:numPr>
          <w:ilvl w:val="0"/>
          <w:numId w:val="5"/>
        </w:numPr>
        <w:pBdr/>
        <w:spacing/>
        <w:ind w:hanging="360" w:left="360"/>
        <w:rPr/>
      </w:pPr>
      <w:r/>
      <w:bookmarkStart w:id="32" w:name="_Toc181194925"/>
      <w:r>
        <w:t xml:space="preserve">Ausblick</w:t>
      </w:r>
      <w:bookmarkEnd w:id="32"/>
      <w:r/>
      <w:r/>
      <w:r/>
      <w:r/>
      <w:r/>
    </w:p>
    <w:p>
      <w:pPr>
        <w:pStyle w:val="817"/>
        <w:pBdr/>
        <w:spacing/>
        <w:ind/>
        <w:rPr/>
      </w:pPr>
      <w:r>
        <w:t xml:space="preserve">In den letzten Jahren haben Übersetzungsdaten zunehmend an Aufmerksamkeit gewonnen. Schließlich sind sie nicht mehr nur reine Übersetzungshilfen in von außen typischerweise unsichtbaren Prozessen, sondern können auch für andere Zwecke eingesetzt werden.</w:t>
      </w:r>
      <w:r>
        <w:rPr>
          <w:rStyle w:val="851"/>
        </w:rPr>
        <w:footnoteReference w:id="6"/>
      </w:r>
      <w:r>
        <w:t xml:space="preserve"> Wie bei anderen Daten auch hängt ihre Eignung für diese intendierten Einsatzzwecke – ihre </w:t>
      </w:r>
      <w:r>
        <w:rPr>
          <w:i/>
        </w:rPr>
        <w:t xml:space="preserve">fitness for use </w:t>
      </w:r>
      <w:r>
        <w:fldChar w:fldCharType="begin"/>
      </w:r>
      <w:r>
        <w:rPr>
          <w:i/>
        </w:rPr>
        <w:instrText xml:space="preserve">ADDIN ZOTERO_ITEM CSL_CITATION {"citationID":"EvIpmibF","properties":{"formattedCitation":"(Wang 1998)","plainCitation":"(Wang 1998)","noteIndex":0},"citationItems":[{"id":4691,"uris":["http://zotero.org/users/3827919/items/BEKPD2</w:instrText>
      </w:r>
      <w:r>
        <w:rPr>
          <w:i/>
        </w:rPr>
        <w:instrText xml:space="preserve">7Q"],"itemData":{"id":4691,"type":"article-journal","container-title":"Communications of the ACM","DOI":"10.1145/269012.269022","ISSN":"00010782","issue":"2","journalAbbreviation":"Commun. ACM","language":"en","page":"58–65","source":"DOI.org (Crossref)","</w:instrText>
      </w:r>
      <w:r>
        <w:rPr>
          <w:i/>
        </w:rPr>
        <w:instrText xml:space="preserve">title":"A Product Perspective on Total Data Quality Management","volume":"41","author":[{"family":"Wang","given":"Richard Y."}],"issued":{"date-parts":[["1998"]]}}}],"schema":"https://github.com/citation-style-language/schema/raw/master/csl-citation.json"}</w:instrText>
      </w:r>
      <w:r>
        <w:rPr>
          <w:i/>
        </w:rPr>
        <w:fldChar w:fldCharType="separate"/>
      </w:r>
      <w:r>
        <w:rPr>
          <w:rFonts w:cs="Times New Roman"/>
        </w:rPr>
        <w:t xml:space="preserve">(Wang 1998)</w:t>
      </w:r>
      <w:r>
        <w:rPr>
          <w:i/>
        </w:rPr>
        <w:fldChar w:fldCharType="end"/>
      </w:r>
      <w:r>
        <w:rPr>
          <w:i/>
        </w:rPr>
        <w:t xml:space="preserve"> </w:t>
      </w:r>
      <w:r>
        <w:rPr>
          <w:iCs/>
        </w:rPr>
        <w:t xml:space="preserve">–</w:t>
      </w:r>
      <w:r>
        <w:t xml:space="preserve"> dabei von explizit zu definierenden Qualitätskriterien ab, für deren Einhaltung</w:t>
      </w:r>
      <w:r>
        <w:t xml:space="preserve"> ein aktives Datenmanagement unerlässlich ist. Ein solches setzt, wie aus den vorangegangenen Kapiteln deutlich wurde, eine ganze Reihe von Maßnahmen und entsprechenden Kompetenzen voraus, sei es auf technischer, organisatorischer oder prozessualer Ebene. </w:t>
      </w:r>
      <w:r/>
    </w:p>
    <w:p>
      <w:pPr>
        <w:pStyle w:val="817"/>
        <w:pBdr/>
        <w:spacing/>
        <w:ind/>
        <w:rPr/>
      </w:pPr>
      <w:r>
        <w:t xml:space="preserve">Die Ausführungen hierzu bezogen s</w:t>
      </w:r>
      <w:r>
        <w:t xml:space="preserve">ich in diesem Kapitel auf den aktuell vorherrschenden technischen Standard für die Speicherung von Übersetzungsdaten, nämlich in Form fein segmentierter Übersetzungseinheiten in Translation Memorys. Dieser Ansatz, Inhalte auf möglichst kleine, wiederverwen</w:t>
      </w:r>
      <w:r>
        <w:t xml:space="preserve">dbare Einheiten herunterzubrechen, ist auch in der Content-Erstellung seit Jahren Standard, wie sich etwa an Component-Content-Management-Systemen (CCMS) in der technischen Redaktion deutlich erkennen lässt. Dabei handelt es sich aber keineswegs um den ein</w:t>
      </w:r>
      <w:r>
        <w:t xml:space="preserve">zigen Ansatz: So halten Tools wie STAR Transit Übersetzungsdaten in Form von Referenzdokumenten ohne Feinsegmentierung vor. War dieser Ansatz bislang die Ausnahme, so könnten die aktuellen technologischen Entwicklungen ihn in Zukunft aus seinem Nischendase</w:t>
      </w:r>
      <w:r>
        <w:t xml:space="preserve">in holen: Die neuesten Generationen von Übersetzungssystemen sind mittlerweile nicht nur in der Lage, wesentlich umfassendere Kontexte einzubeziehen, als diese durch klassische Segmentgrenzen vorgegeben sind – sie liefern auch potenziell bessere Ergebnisse</w:t>
      </w:r>
      <w:r>
        <w:t xml:space="preserve">, wenn ihnen mehr Kontext zur Verfügung steht! Dies ist der Fall bei LLMs, aber auch bei NMÜ. Dies wird zunehmend zu Nachteilen führen, wenn etwa Texte aus CAT-Tools weiterhin segmentweise statt im Kontext maschinell übersetzt werden (siehe Abb. 9 und 10):</w:t>
      </w:r>
      <w:r/>
    </w:p>
    <w:p>
      <w:pPr>
        <w:pStyle w:val="817"/>
        <w:pBdr/>
        <w:spacing/>
        <w:ind/>
        <w:rPr/>
      </w:pPr>
      <w:r>
        <mc:AlternateContent>
          <mc:Choice Requires="wpg">
            <w:drawing>
              <wp:inline xmlns:wp="http://schemas.openxmlformats.org/drawingml/2006/wordprocessingDrawing" distT="0" distB="0" distL="0" distR="0">
                <wp:extent cx="4194810" cy="1313815"/>
                <wp:effectExtent l="0" t="0" r="0" b="0"/>
                <wp:docPr id="9" name="Bild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9" descr="A screenshot of a computer&#10;&#10;Description automatically generated"/>
                        <pic:cNvPicPr>
                          <a:picLocks noChangeAspect="1"/>
                        </pic:cNvPicPr>
                        <pic:nvPr/>
                      </pic:nvPicPr>
                      <pic:blipFill>
                        <a:blip r:embed="rId19"/>
                        <a:srcRect l="0" t="0" r="0" b="17521"/>
                        <a:stretch/>
                      </pic:blipFill>
                      <pic:spPr bwMode="auto">
                        <a:xfrm>
                          <a:off x="0" y="0"/>
                          <a:ext cx="4194810" cy="13138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30.30pt;height:103.45pt;mso-wrap-distance-left:0.00pt;mso-wrap-distance-top:0.00pt;mso-wrap-distance-right:0.00pt;mso-wrap-distance-bottom:0.00pt;z-index:1;" stroked="false">
                <v:imagedata r:id="rId19" o:title=""/>
                <o:lock v:ext="edit" rotation="t"/>
              </v:shape>
            </w:pict>
          </mc:Fallback>
        </mc:AlternateContent>
      </w:r>
      <w:r/>
    </w:p>
    <w:p>
      <w:pPr>
        <w:pStyle w:val="865"/>
        <w:pBdr/>
        <w:spacing/>
        <w:ind/>
        <w:rPr/>
      </w:pPr>
      <w:r>
        <w:t xml:space="preserve">Abb. 9: Maschinelle Übersetzung segmentierter Texte in memoQ mit DeepL </w:t>
      </w:r>
      <w:r>
        <w:fldChar w:fldCharType="begin"/>
      </w:r>
      <w:r>
        <w:instrText xml:space="preserve">ADDIN ZOTERO_ITEM CSL_CITATION {"citationID":"DuTZJI70","properties":{"formattedCitation":"(Zielinski/Varga 2024)","plainCitation</w:instrText>
      </w:r>
      <w:r>
        <w:instrText xml:space="preserve">":"(Zielinski/Varga 2024)","noteIndex":0},"citationItems":[{"id":9351,"uris":["http://zotero.org/users/3827919/items/JFFEJV8E"],"itemData":{"id":9351,"type":"article-journal","container-title":"tcworld","page":"30–34","title":"Super-charge your language da</w:instrText>
      </w:r>
      <w:r>
        <w:instrText xml:space="preserve">ta with and for AI","volume":"April 2024","author":[{"family":"Zielinski","given":"Daniel"},{"family":"Varga","given":"Simon"}],"issued":{"date-parts":[["2024"]]}}}],"schema":"https://github.com/citation-style-language/schema/raw/master/csl-citation.json"}</w:instrText>
      </w:r>
      <w:r>
        <w:fldChar w:fldCharType="separate"/>
      </w:r>
      <w:r>
        <w:rPr>
          <w:rFonts w:cs="Times New Roman"/>
        </w:rPr>
        <w:t xml:space="preserve">(Zielinski/Varga 2024)</w:t>
      </w:r>
      <w:r>
        <w:fldChar w:fldCharType="end"/>
      </w:r>
      <w:r>
        <w:t xml:space="preserve"> </w:t>
      </w:r>
      <w:r/>
    </w:p>
    <w:p>
      <w:pPr>
        <w:pStyle w:val="817"/>
        <w:pBdr/>
        <w:spacing/>
        <w:ind/>
        <w:rPr/>
      </w:pPr>
      <w:r>
        <mc:AlternateContent>
          <mc:Choice Requires="wpg">
            <w:drawing>
              <wp:inline xmlns:wp="http://schemas.openxmlformats.org/drawingml/2006/wordprocessingDrawing" distT="0" distB="0" distL="0" distR="0">
                <wp:extent cx="4180840" cy="1430020"/>
                <wp:effectExtent l="0" t="0" r="0" b="0"/>
                <wp:docPr id="10" name="Bild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10" descr="A screenshot of a computer&#10;&#10;Description automatically generated"/>
                        <pic:cNvPicPr>
                          <a:picLocks noChangeAspect="1"/>
                        </pic:cNvPicPr>
                        <pic:nvPr/>
                      </pic:nvPicPr>
                      <pic:blipFill>
                        <a:blip r:embed="rId20"/>
                        <a:stretch/>
                      </pic:blipFill>
                      <pic:spPr bwMode="auto">
                        <a:xfrm>
                          <a:off x="0" y="0"/>
                          <a:ext cx="4180840" cy="14300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29.20pt;height:112.60pt;mso-wrap-distance-left:0.00pt;mso-wrap-distance-top:0.00pt;mso-wrap-distance-right:0.00pt;mso-wrap-distance-bottom:0.00pt;z-index:1;" stroked="false">
                <v:imagedata r:id="rId20" o:title=""/>
                <o:lock v:ext="edit" rotation="t"/>
              </v:shape>
            </w:pict>
          </mc:Fallback>
        </mc:AlternateContent>
      </w:r>
      <w:r/>
    </w:p>
    <w:p>
      <w:pPr>
        <w:pStyle w:val="865"/>
        <w:pBdr/>
        <w:spacing/>
        <w:ind/>
        <w:rPr/>
      </w:pPr>
      <w:r>
        <w:t xml:space="preserve">Abb. 10: Maschinelle Übersetzung unsegmentierter Texte im DeepL-Webeditor </w:t>
      </w:r>
      <w:r>
        <w:fldChar w:fldCharType="begin"/>
      </w:r>
      <w:r>
        <w:instrText xml:space="preserve">ADDIN ZOTERO_ITEM CSL_CITATION {"citationID":"iFClsAxy","properties":{"formattedCitation":"(ebd.)</w:instrText>
      </w:r>
      <w:r>
        <w:instrText xml:space="preserve">","plainCitation":"(ebd.)","noteIndex":0},"citationItems":[{"id":9351,"uris":["http://zotero.org/users/3827919/items/JFFEJV8E"],"itemData":{"id":9351,"type":"article-journal","container-title":"tcworld","page":"30–34","title":"Super-charge your language da</w:instrText>
      </w:r>
      <w:r>
        <w:instrText xml:space="preserve">ta with and for AI","volume":"April 2024","author":[{"family":"Zielinski","given":"Daniel"},{"family":"Varga","given":"Simon"}],"issued":{"date-parts":[["2024"]]}}}],"schema":"https://github.com/citation-style-language/schema/raw/master/csl-citation.json"}</w:instrText>
      </w:r>
      <w:r>
        <w:fldChar w:fldCharType="separate"/>
      </w:r>
      <w:r>
        <w:rPr>
          <w:rFonts w:cs="Times New Roman"/>
        </w:rPr>
        <w:t xml:space="preserve">(ebd.)</w:t>
      </w:r>
      <w:r>
        <w:fldChar w:fldCharType="end"/>
      </w:r>
      <w:r/>
      <w:r/>
    </w:p>
    <w:p>
      <w:pPr>
        <w:pStyle w:val="817"/>
        <w:pBdr/>
        <w:spacing/>
        <w:ind/>
        <w:rPr/>
      </w:pPr>
      <w:r>
        <w:t xml:space="preserve">Unberührt von einem möglicherweise bevorstehende</w:t>
      </w:r>
      <w:r>
        <w:t xml:space="preserve">n Paradigmenwechsel bleibt die Erkenntnis, dass datengetriebene Anwendungen und Prozesse nur so gute Ergebnisse liefern können, wie die Daten es zulassen. Für Hochschulen in der Übersetzerausbildung scheint also eine stärkere Einbeziehung von Aspekten wie </w:t>
      </w:r>
      <w:r>
        <w:rPr>
          <w:i/>
        </w:rPr>
        <w:t xml:space="preserve">Data Literacy </w:t>
      </w:r>
      <w:r>
        <w:fldChar w:fldCharType="begin"/>
      </w:r>
      <w:r>
        <w:rPr>
          <w:i/>
        </w:rPr>
        <w:instrText xml:space="preserve">ADDIN ZOTERO_ITEM CSL_CITATION {"citationID":"H6YnlOjf","propert</w:instrText>
      </w:r>
      <w:r>
        <w:rPr>
          <w:i/>
        </w:rPr>
        <w:instrText xml:space="preserve">ies":{"formattedCitation":"(Kr\\uc0\\u252{}ger 2022)","plainCitation":"(Krüger 2022)","noteIndex":0},"citationItems":[{"id":8115,"uris":["http://zotero.org/users/3827919/items/3TNMEWGW"],"itemData":{"id":8115,"type":"article-journal","abstract":"Abstract\n</w:instrText>
      </w:r>
      <w:r>
        <w:rPr>
          <w:i/>
        </w:rPr>
        <w:instrText xml:space="preserve">            The data-driven paradigm of neural machine translation is a powerful translation technology based on state-of-the art approaches in artificial intelligence research. This technology is employed extensively in the professional translation proces</w:instrText>
      </w:r>
      <w:r>
        <w:rPr>
          <w:i/>
        </w:rPr>
        <w:instrText xml:space="preserve">s, requiring an adequate degree of machine translation literacy on the part of professional translators. At the same time, the increasing datafication to be observed in modern society – both in private as well as in professional contexts – contributes to t</w:instrText>
      </w:r>
      <w:r>
        <w:rPr>
          <w:i/>
        </w:rPr>
        <w:instrText xml:space="preserve">he rise in prominence of another digital literacy, i. e., data literacy, which is also of high relevance with regard to data-driven machine translation. The present paper analyses and discusses in detail the individual dimensions and subdimensions of profe</w:instrText>
      </w:r>
      <w:r>
        <w:rPr>
          <w:i/>
        </w:rPr>
        <w:instrText xml:space="preserve">ssional machine translation literacy and data literacy and attempts to integrate the two concepts. It thereby lays the theoretical foundation for a didactic project concerned with teaching data literacy in its machine translation-specific form to students </w:instrText>
      </w:r>
      <w:r>
        <w:rPr>
          <w:i/>
        </w:rPr>
        <w:instrText xml:space="preserve">in the fields of translation and specialised communication studies.","container-title":"Lebende Sprachen","DOI":"10.1515/les-2022-1022","ISSN":"1868-0267, 0023-9909","issue":"2","language":"en","page":"247–282","source":"DOI.org (Crossref)","title":"Integr</w:instrText>
      </w:r>
      <w:r>
        <w:rPr>
          <w:i/>
        </w:rPr>
        <w:instrText xml:space="preserve">ating professional machine translation literacy and data literacy","volume":"67","author":[{"family":"Krüger","given":"Ralph"}],"issued":{"date-parts":[["2022"]]}}}],"schema":"https://github.com/citation-style-language/schema/raw/master/csl-citation.json"}</w:instrText>
      </w:r>
      <w:r>
        <w:rPr>
          <w:i/>
        </w:rPr>
        <w:fldChar w:fldCharType="separate"/>
      </w:r>
      <w:r>
        <w:rPr>
          <w:rFonts w:cs="Times New Roman"/>
        </w:rPr>
        <w:t xml:space="preserve">(Krüger 2022)</w:t>
      </w:r>
      <w:r>
        <w:rPr>
          <w:i/>
        </w:rPr>
        <w:fldChar w:fldCharType="end"/>
      </w:r>
      <w:r>
        <w:rPr>
          <w:iCs/>
        </w:rPr>
        <w:t xml:space="preserve">, Engineering und (Daten-)Prozessmanagement geboten, damit ihre Studierende auch lernen, mit Datenmengen umzugehen, die mit klassischen Übersetzungsstrategien nicht zu bewältigen sind.</w:t>
      </w:r>
      <w:r/>
    </w:p>
    <w:p>
      <w:pPr>
        <w:pStyle w:val="894"/>
        <w:numPr>
          <w:ilvl w:val="0"/>
          <w:numId w:val="5"/>
        </w:numPr>
        <w:pBdr/>
        <w:spacing/>
        <w:ind w:hanging="360" w:left="360"/>
        <w:rPr/>
      </w:pPr>
      <w:r/>
      <w:bookmarkStart w:id="33" w:name="_Toc181194926"/>
      <w:r>
        <w:t xml:space="preserve">Bibliographie</w:t>
      </w:r>
      <w:bookmarkEnd w:id="33"/>
      <w:r/>
      <w:r/>
    </w:p>
    <w:p>
      <w:pPr>
        <w:pStyle w:val="902"/>
        <w:pBdr/>
        <w:spacing/>
        <w:ind/>
        <w:rPr/>
      </w:pPr>
      <w:r>
        <w:fldChar w:fldCharType="begin"/>
      </w:r>
      <w:r>
        <w:instrText xml:space="preserve">ADDIN ZOTERO_BIBL {"uncited":[],"omitted":[],"custom":[]} CSL_BIBLIOGRAPHY</w:instrText>
      </w:r>
      <w:r>
        <w:fldChar w:fldCharType="separate"/>
      </w:r>
      <w:r>
        <w:rPr>
          <w:rFonts w:cs="Times New Roman"/>
          <w:lang w:val="en-GB"/>
        </w:rPr>
        <w:t xml:space="preserve">Barbu, Eduard (2015): Spotting false translation segments in translation memories. In: Proceedings of the Workshop on Natural Language Processing for Translation Memories (NLP4TM), Hissar, Bulgaria, S. 9–16.</w:t>
      </w:r>
      <w:r/>
    </w:p>
    <w:p>
      <w:pPr>
        <w:pStyle w:val="902"/>
        <w:pBdr/>
        <w:spacing/>
        <w:ind/>
        <w:rPr/>
      </w:pPr>
      <w:r>
        <w:rPr>
          <w:rFonts w:cs="Times New Roman"/>
          <w:lang w:val="en-GB"/>
        </w:rPr>
        <w:t xml:space="preserve">Barbu, Eduard et al. (2016): 1st Shared Task on Automatic Translation Memory Cleaning Preparation and Lessons Learned. In: Proceedings of the 2nd Workshop on Natural Language Processing for Translation Memories (NLP4TM). Portorož, Slovenia. S. 1–5.</w:t>
      </w:r>
      <w:r/>
    </w:p>
    <w:p>
      <w:pPr>
        <w:pStyle w:val="902"/>
        <w:pBdr/>
        <w:spacing/>
        <w:ind/>
        <w:rPr/>
      </w:pPr>
      <w:r>
        <w:rPr>
          <w:rFonts w:cs="Times New Roman"/>
          <w:lang w:val="en-GB"/>
        </w:rPr>
        <w:t xml:space="preserve">Batini, Carlo/Scan</w:t>
      </w:r>
      <w:r>
        <w:rPr>
          <w:rFonts w:cs="Times New Roman"/>
          <w:lang w:val="en-GB"/>
        </w:rPr>
        <w:t xml:space="preserve">napieco, Monica (2016): Data Quality Dimensions. In: Batini, Carlo/Scannapieco, Monica (Hg.): Data and Information Quality. Dimensions, Principles and Techniques. Cham: Springer International Publishing. S. 19–49. (= Data-Centric Systems and Applications).</w:t>
      </w:r>
      <w:r/>
    </w:p>
    <w:p>
      <w:pPr>
        <w:pStyle w:val="902"/>
        <w:pBdr/>
        <w:spacing/>
        <w:ind/>
        <w:rPr/>
      </w:pPr>
      <w:r>
        <w:rPr>
          <w:rFonts w:cs="Times New Roman"/>
          <w:lang w:val="en-GB"/>
        </w:rPr>
        <w:t xml:space="preserve">Chan, Sin-wai (2015): Computer-aided translation: major concepts. In: Chan, Sin-wai (Hg.): The Routledge Encyclopedia of Translation Technology. Oxon, New York: Routledge. S. 32–67.</w:t>
      </w:r>
      <w:r/>
    </w:p>
    <w:p>
      <w:pPr>
        <w:pStyle w:val="902"/>
        <w:pBdr/>
        <w:spacing/>
        <w:ind/>
        <w:rPr/>
      </w:pPr>
      <w:r>
        <w:rPr>
          <w:rFonts w:cs="Times New Roman"/>
          <w:lang w:val="en-GB"/>
        </w:rPr>
        <w:t xml:space="preserve">Edunov, Sergey et al. (2018): Understanding Back-Translation at Scale. arXiv. Online unter: http://arxiv.org/abs/1808.09381.</w:t>
      </w:r>
      <w:r/>
    </w:p>
    <w:p>
      <w:pPr>
        <w:pStyle w:val="902"/>
        <w:pBdr/>
        <w:spacing/>
        <w:ind/>
        <w:rPr/>
      </w:pPr>
      <w:r>
        <w:rPr>
          <w:rFonts w:cs="Times New Roman"/>
          <w:lang w:val="en-GB"/>
        </w:rPr>
        <w:t xml:space="preserve">Imamura, Kenji/Sumita, Eiichiro (2019): Long Warm-</w:t>
      </w:r>
      <w:r>
        <w:rPr>
          <w:rFonts w:cs="Times New Roman"/>
          <w:lang w:val="en-GB"/>
        </w:rPr>
        <w:t xml:space="preserve">up and Self-Training: Training Strategies of NICT-2 NMT System at WAT-2019. In: Proceedings of the 6th Workshop on Asian Translation. Hong Kong: Association for Computational Linguistics. S. 141–146. Online unter: https://www.aclweb.org/anthology/D19-5217.</w:t>
      </w:r>
      <w:r/>
    </w:p>
    <w:p>
      <w:pPr>
        <w:pStyle w:val="902"/>
        <w:pBdr/>
        <w:spacing/>
        <w:ind/>
        <w:rPr/>
      </w:pPr>
      <w:r>
        <w:rPr>
          <w:rFonts w:cs="Times New Roman"/>
          <w:lang w:val="en-GB"/>
        </w:rPr>
        <w:t xml:space="preserve">Khayrallah, Huda/Koehn, Philipp (2018): On the Impact of Variou</w:t>
      </w:r>
      <w:r>
        <w:rPr>
          <w:rFonts w:cs="Times New Roman"/>
          <w:lang w:val="en-GB"/>
        </w:rPr>
        <w:t xml:space="preserve">s Types of Noise on Neural Machine Translation. In: Proceedings of the 2nd Workshop on Neural Machine Translation and Generation. Melbourne, Australia: Association for Computational Linguistics. S. 74–83. Online unter: http://aclweb.org/anthology/W18-2709.</w:t>
      </w:r>
      <w:r/>
    </w:p>
    <w:p>
      <w:pPr>
        <w:pStyle w:val="902"/>
        <w:pBdr/>
        <w:spacing/>
        <w:ind/>
        <w:rPr/>
      </w:pPr>
      <w:r>
        <w:rPr>
          <w:rFonts w:cs="Times New Roman"/>
          <w:lang w:val="en-GB"/>
        </w:rPr>
        <w:t xml:space="preserve">Krüger, Ralph (2022): Integrating professional machine translation literacy and data literacy. In: Lebende Sprachen 67, S. 247–282.</w:t>
      </w:r>
      <w:r/>
    </w:p>
    <w:p>
      <w:pPr>
        <w:pStyle w:val="902"/>
        <w:pBdr/>
        <w:spacing/>
        <w:ind/>
        <w:rPr/>
      </w:pPr>
      <w:r>
        <w:rPr>
          <w:rFonts w:cs="Times New Roman"/>
          <w:lang w:val="en-GB"/>
        </w:rPr>
        <w:t xml:space="preserve">Localization Industry Standards Association (2005): TMX 1.4b Specification. Online unter: https://www.gala-global.org/tmx-14b.</w:t>
      </w:r>
      <w:r/>
    </w:p>
    <w:p>
      <w:pPr>
        <w:pStyle w:val="902"/>
        <w:pBdr/>
        <w:spacing/>
        <w:ind/>
        <w:rPr/>
      </w:pPr>
      <w:r>
        <w:rPr>
          <w:rFonts w:cs="Times New Roman"/>
          <w:lang w:val="en-GB"/>
        </w:rPr>
        <w:t xml:space="preserve">Moorkens, Joss (2015): Consistency in Translation Memory Corpora: A Mixed Methods Case Study. In: Journal of Mixed Methods Research 9, S. 31–50.</w:t>
      </w:r>
      <w:r/>
    </w:p>
    <w:p>
      <w:pPr>
        <w:pStyle w:val="902"/>
        <w:pBdr/>
        <w:spacing/>
        <w:ind/>
        <w:rPr/>
      </w:pPr>
      <w:r>
        <w:rPr>
          <w:rFonts w:cs="Times New Roman"/>
          <w:lang w:val="en-GB"/>
        </w:rPr>
        <w:t xml:space="preserve">Negri, Matteo et al. (2017): Automatic translation memory cleaning. In: Machine Translation 31, S. 93–115.</w:t>
      </w:r>
      <w:r/>
    </w:p>
    <w:p>
      <w:pPr>
        <w:pStyle w:val="902"/>
        <w:pBdr/>
        <w:spacing/>
        <w:ind/>
        <w:rPr/>
      </w:pPr>
      <w:r>
        <w:rPr>
          <w:rFonts w:cs="Times New Roman"/>
          <w:lang w:val="en-GB"/>
        </w:rPr>
        <w:t xml:space="preserve">O’Brien, Sharon (2007): Eye-tracking and translation memory matches. In: Perspectives: Studies in Translation Theory and Practice 14, S. 185–205.</w:t>
      </w:r>
      <w:r/>
    </w:p>
    <w:p>
      <w:pPr>
        <w:pStyle w:val="902"/>
        <w:pBdr/>
        <w:spacing/>
        <w:ind/>
        <w:rPr/>
      </w:pPr>
      <w:r>
        <w:rPr>
          <w:rFonts w:cs="Times New Roman"/>
          <w:lang w:val="en-GB"/>
        </w:rPr>
        <w:t xml:space="preserve">Ott, Myle et al. (2018): Analyzing Uncertainty in Neural Machine Translation. In: Proceedings of the 35th International Conference on Machine Learning. S. 3956–3965. (= Proceedings of Machine Learning Research 80).</w:t>
      </w:r>
      <w:r/>
    </w:p>
    <w:p>
      <w:pPr>
        <w:pStyle w:val="902"/>
        <w:pBdr/>
        <w:spacing/>
        <w:ind/>
        <w:rPr/>
      </w:pPr>
      <w:r>
        <w:rPr>
          <w:rFonts w:cs="Times New Roman"/>
          <w:lang w:val="en-GB"/>
        </w:rPr>
        <w:t xml:space="preserve">Pomerantz, Jeffrey (2015): Metadata. Cambridge, London: The MIT Press. (= The MIT Press Essential Knowledge series).</w:t>
      </w:r>
      <w:r/>
    </w:p>
    <w:p>
      <w:pPr>
        <w:pStyle w:val="902"/>
        <w:pBdr/>
        <w:spacing/>
        <w:ind/>
        <w:rPr/>
      </w:pPr>
      <w:r>
        <w:rPr>
          <w:rFonts w:cs="Times New Roman"/>
          <w:lang w:val="en-GB"/>
        </w:rPr>
        <w:t xml:space="preserve">Roturier, Johann (2020): XML for translation technology. In: O’Hagan, Minako (Hg.): The Routledge Handbook of Translation and Technology. London, New York: Routledge. S. 45–60. (= Routledge Handbooks in Translation and Interpreting Studies).</w:t>
      </w:r>
      <w:r/>
    </w:p>
    <w:p>
      <w:pPr>
        <w:pStyle w:val="902"/>
        <w:pBdr/>
        <w:spacing/>
        <w:ind/>
        <w:rPr/>
      </w:pPr>
      <w:r>
        <w:rPr>
          <w:rFonts w:cs="Times New Roman"/>
          <w:lang w:val="en-GB"/>
        </w:rPr>
        <w:t xml:space="preserve">Rudd, Anthony (2018): Practical Usage of Regular Expressions. An introduction to regexes for translators. 4th edition. Germany: Self-published.</w:t>
      </w:r>
      <w:r/>
    </w:p>
    <w:p>
      <w:pPr>
        <w:pStyle w:val="902"/>
        <w:pBdr/>
        <w:spacing/>
        <w:ind/>
        <w:rPr/>
      </w:pPr>
      <w:r>
        <w:rPr>
          <w:rFonts w:cs="Times New Roman"/>
          <w:lang w:val="en-GB"/>
        </w:rPr>
        <w:t xml:space="preserve">Sabet, Masoud Jalili et al. (2016): TMop: a Tool for Unsupervised Translation Memory Cleaning. In: Proceedings of ACL-2016 System Demonstrations. Berlin: Association for Computational Linguistics. S. 49–54.</w:t>
      </w:r>
      <w:r/>
    </w:p>
    <w:p>
      <w:pPr>
        <w:pStyle w:val="902"/>
        <w:pBdr/>
        <w:spacing/>
        <w:ind/>
        <w:rPr/>
      </w:pPr>
      <w:r>
        <w:rPr>
          <w:rFonts w:cs="Times New Roman"/>
          <w:lang w:val="en-GB"/>
        </w:rPr>
        <w:t xml:space="preserve">Savourel, Yves (2001): XML Internationalization and Localization. Carmel, Indiana: Sams.</w:t>
      </w:r>
      <w:r/>
    </w:p>
    <w:p>
      <w:pPr>
        <w:pStyle w:val="902"/>
        <w:pBdr/>
        <w:spacing/>
        <w:ind/>
        <w:rPr/>
      </w:pPr>
      <w:r>
        <w:rPr>
          <w:rFonts w:cs="Times New Roman"/>
          <w:lang w:val="en-GB"/>
        </w:rPr>
        <w:t xml:space="preserve">Scannapieco, Monica/Missier, Paolo/Batini, Carlo (2005): Data Quality at a Glance. In: Datenbank-Spektrum 14, S. 6–14.</w:t>
      </w:r>
      <w:r/>
    </w:p>
    <w:p>
      <w:pPr>
        <w:pStyle w:val="902"/>
        <w:pBdr/>
        <w:spacing/>
        <w:ind/>
        <w:rPr/>
      </w:pPr>
      <w:r>
        <w:rPr>
          <w:rFonts w:cs="Times New Roman"/>
          <w:lang w:val="en-GB"/>
        </w:rPr>
        <w:t xml:space="preserve">Sennrich, Rico/Haddow, Barry/Birch, Alexandra (2016): Improving Neural Machine Translation Mod</w:t>
      </w:r>
      <w:r>
        <w:rPr>
          <w:rFonts w:cs="Times New Roman"/>
          <w:lang w:val="en-GB"/>
        </w:rPr>
        <w:t xml:space="preserve">els with Monolingual Data. In: Proceedings of the 54th Annual Meeting of the Association for Computational Linguistics (Volume 1: Long Papers). Berlin: Association for Computational Linguistics. S. 86–96. Online unter: http://aclweb.org/anthology/P16-1009.</w:t>
      </w:r>
      <w:r/>
    </w:p>
    <w:p>
      <w:pPr>
        <w:pStyle w:val="902"/>
        <w:pBdr/>
        <w:spacing/>
        <w:ind/>
        <w:rPr/>
      </w:pPr>
      <w:r>
        <w:rPr>
          <w:rFonts w:cs="Times New Roman"/>
          <w:lang w:val="en-GB"/>
        </w:rPr>
        <w:t xml:space="preserve">Wang, Richard Y. (1998): A Product Perspective on Total Data Quality Management. In: Communications of the ACM 41, S. 58–65.</w:t>
      </w:r>
      <w:r/>
    </w:p>
    <w:p>
      <w:pPr>
        <w:pStyle w:val="902"/>
        <w:pBdr/>
        <w:spacing/>
        <w:ind/>
        <w:rPr/>
      </w:pPr>
      <w:r>
        <w:rPr>
          <w:rFonts w:cs="Times New Roman"/>
          <w:lang w:val="en-GB"/>
        </w:rPr>
        <w:t xml:space="preserve">Wang, Peng (2016): The Datafication of Translation. In: TAUS (Hg.): Keynotes 2015. A Review of the TAUS October Events. Amsterdam: TAUS Signature Editions. S. 11–14.</w:t>
      </w:r>
      <w:r/>
    </w:p>
    <w:p>
      <w:pPr>
        <w:pStyle w:val="902"/>
        <w:pBdr/>
        <w:spacing/>
        <w:ind/>
        <w:rPr/>
      </w:pPr>
      <w:r>
        <w:rPr>
          <w:rFonts w:cs="Times New Roman"/>
          <w:lang w:val="en-GB"/>
        </w:rPr>
        <w:t xml:space="preserve">Wetzel, Dominikus/Bond, Francis (2012): Enriching Parallel Corpora for Statistical Machine Translation with Semantic Negation Rephrasing. In: Proceedings of SSST-6. Jeju, Korea: Association for Computational Linguistics. </w:t>
      </w:r>
      <w:r>
        <w:rPr>
          <w:rFonts w:cs="Times New Roman"/>
        </w:rPr>
        <w:t xml:space="preserve">S. 20–29.</w:t>
      </w:r>
      <w:r/>
    </w:p>
    <w:p>
      <w:pPr>
        <w:pStyle w:val="902"/>
        <w:pBdr/>
        <w:spacing/>
        <w:ind/>
        <w:rPr/>
      </w:pPr>
      <w:r>
        <w:rPr>
          <w:rFonts w:cs="Times New Roman"/>
        </w:rPr>
        <w:t xml:space="preserve">Winter, Tom/Zielinski, Daniel (2020): Terminologie in der maschinellen Übersetzung. In: Porsiel, Jörg (Hg.): Maschinelle Übersetzung für Übersetzungsprofis. Berlin: BDÜ Fachverlag. </w:t>
      </w:r>
      <w:r>
        <w:rPr>
          <w:rFonts w:cs="Times New Roman"/>
          <w:lang w:val="en-GB"/>
        </w:rPr>
        <w:t xml:space="preserve">S. 210–233.</w:t>
      </w:r>
      <w:r/>
    </w:p>
    <w:p>
      <w:pPr>
        <w:pStyle w:val="902"/>
        <w:pBdr/>
        <w:spacing/>
        <w:ind/>
        <w:rPr/>
      </w:pPr>
      <w:r>
        <w:rPr>
          <w:rFonts w:cs="Times New Roman"/>
          <w:lang w:val="en-GB"/>
        </w:rPr>
        <w:t xml:space="preserve">Wolff, Friedel (2016): Combining off-the-shelf components to clean a translation memory. In: Machine Translation 30, S. 167–181.</w:t>
      </w:r>
      <w:r/>
    </w:p>
    <w:p>
      <w:pPr>
        <w:pStyle w:val="902"/>
        <w:pBdr/>
        <w:spacing/>
        <w:ind/>
        <w:rPr/>
      </w:pPr>
      <w:r>
        <w:rPr>
          <w:rFonts w:cs="Times New Roman"/>
          <w:lang w:val="en-GB"/>
        </w:rPr>
        <w:t xml:space="preserve">Wright, Sue Ellen (2018): TBX Dialects. Making Exchange Work for You. </w:t>
      </w:r>
      <w:r>
        <w:rPr>
          <w:rFonts w:cs="Times New Roman"/>
        </w:rPr>
        <w:t xml:space="preserve">In: Ahrens, Barbara et al. (Hg.): Verschmitzt! Von Terminologie und Terminologen. Festschrift für Klaus-Dirk Schmitz. Berlin: Frank &amp; Timme. S. 223–241.</w:t>
      </w:r>
      <w:r/>
    </w:p>
    <w:p>
      <w:pPr>
        <w:pStyle w:val="902"/>
        <w:pBdr/>
        <w:spacing/>
        <w:ind/>
        <w:rPr/>
      </w:pPr>
      <w:r>
        <w:rPr>
          <w:rFonts w:cs="Times New Roman"/>
        </w:rPr>
        <w:t xml:space="preserve">Zielinski, Daniel/Varga, Simon (2020): Translation memory quality and translation memory management. </w:t>
      </w:r>
      <w:r>
        <w:rPr>
          <w:rFonts w:cs="Times New Roman"/>
          <w:lang w:val="en-GB"/>
        </w:rPr>
        <w:t xml:space="preserve">In: Dalla-Zuanna, Jean-Marc/Kurz, Christropher (Hg.): Translation Quality in the Age of Digital Transformation. Berlin: BDÜ Fachverlag. S. 300–319.</w:t>
      </w:r>
      <w:r/>
    </w:p>
    <w:p>
      <w:pPr>
        <w:pStyle w:val="902"/>
        <w:pBdr/>
        <w:spacing/>
        <w:ind/>
        <w:rPr/>
      </w:pPr>
      <w:r>
        <w:rPr>
          <w:rFonts w:cs="Times New Roman"/>
          <w:lang w:val="en-GB"/>
        </w:rPr>
        <w:t xml:space="preserve">Zielinski, Daniel/Varga, Simon (2024): Super-charge your language data with and for AI. </w:t>
      </w:r>
      <w:r>
        <w:rPr>
          <w:rFonts w:cs="Times New Roman"/>
        </w:rPr>
        <w:t xml:space="preserve">In: tcworld April 2024, S. 30–34.</w:t>
      </w:r>
      <w:r/>
      <w:r>
        <w:fldChar w:fldCharType="end"/>
      </w:r>
      <w:r/>
      <w:r/>
      <w:r/>
    </w:p>
    <w:sectPr>
      <w:footnotePr>
        <w:numFmt w:val="decimal"/>
      </w:footnotePr>
      <w:endnotePr/>
      <w:type w:val="nextPage"/>
      <w:pgSz w:h="16838" w:orient="portrait" w:w="11906"/>
      <w:pgMar w:top="1440" w:right="1083" w:bottom="1440" w:left="1083"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CJK SC">
    <w:panose1 w:val="020B0200000000000000"/>
  </w:font>
  <w:font w:name="Lohit Marathi">
    <w:panose1 w:val="020B0600000000000000"/>
  </w:font>
  <w:font w:name="Wingdings">
    <w:panose1 w:val="05010000000000000000"/>
  </w:font>
  <w:font w:name="Liberation Sans">
    <w:panose1 w:val="020B0604020202020204"/>
  </w:font>
  <w:font w:name="Courier New">
    <w:panose1 w:val="02070409020205020404"/>
  </w:font>
  <w:font w:name="Mangal">
    <w:panose1 w:val="02040503050406030204"/>
  </w:font>
  <w:font w:name="Calibri Light">
    <w:panose1 w:val="020F0502020204030204"/>
  </w:font>
  <w:font w:name="Arial">
    <w:panose1 w:val="020B0604020202020204"/>
  </w:font>
  <w:font w:name="Droid Sans Fallback">
    <w:panose1 w:val="020B0502000000000001"/>
  </w:font>
  <w:font w:name="FreeSans">
    <w:panose1 w:val="020B05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id="2">
    <w:p>
      <w:pPr>
        <w:pStyle w:val="886"/>
        <w:pBdr/>
        <w:spacing w:after="160" w:before="0"/>
        <w:ind/>
        <w:rPr/>
      </w:pPr>
      <w:r>
        <w:rPr>
          <w:rStyle w:val="850"/>
        </w:rPr>
        <w:footnoteRef/>
      </w:r>
      <w:r>
        <w:tab/>
        <w:t xml:space="preserve"> </w:t>
      </w:r>
      <w:r>
        <w:t xml:space="preserve">Für einen Überblick über die Verwendung regulärer Ausdrücke in CAT-Tools siehe Rudd </w:t>
      </w:r>
      <w:r>
        <w:fldChar w:fldCharType="begin"/>
      </w:r>
      <w:r>
        <w:instrText xml:space="preserve">ADDIN ZOTERO_ITEM CSL_CITATION {"citati</w:instrText>
      </w:r>
      <w:r>
        <w:instrText xml:space="preserve">onID":"LhRqzT1G","properties":{"formattedCitation":"(2018)","plainCitation":"(2018)","noteIndex":1},"citationItems":[{"id":9346,"uris":["http://zotero.org/users/3827919/items/N8V3ET8Y"],"itemData":{"id":9346,"type":"book","edition":"4th edition","event-pla</w:instrText>
      </w:r>
      <w:r>
        <w:instrText xml:space="preserve">ce":"Germany","ISBN":"978-1-985752-92-4","language":"eng","note":"OCLC: 1202251692","publisher":"Self-published","publisher-place":"Germany","source":"Open WorldCat","title":"Practical Usage of Regular Expressions. An introduction to regexes for translator</w:instrText>
      </w:r>
      <w:r>
        <w:instrText xml:space="preserve">s","title-short":"Practical Usage of Regular Expressions","author":[{"family":"Rudd","given":"Anthony"}],"issued":{"date-parts":[["2018"]]}},"suppress-author":true}],"schema":"https://github.com/citation-style-language/schema/raw/master/csl-citation.json"}</w:instrText>
      </w:r>
      <w:r>
        <w:fldChar w:fldCharType="separate"/>
      </w:r>
      <w:r>
        <w:rPr>
          <w:rFonts w:cs="Times New Roman"/>
        </w:rPr>
        <w:t xml:space="preserve">(2018)</w:t>
      </w:r>
      <w:r>
        <w:fldChar w:fldCharType="end"/>
      </w:r>
      <w:r>
        <w:t xml:space="preserve">.</w:t>
      </w:r>
      <w:r/>
    </w:p>
  </w:footnote>
  <w:footnote w:id="3">
    <w:p>
      <w:pPr>
        <w:pStyle w:val="886"/>
        <w:pBdr/>
        <w:spacing w:after="160" w:before="0"/>
        <w:ind/>
        <w:rPr/>
      </w:pPr>
      <w:r>
        <w:rPr>
          <w:rStyle w:val="850"/>
        </w:rPr>
        <w:footnoteRef/>
      </w:r>
      <w:r>
        <w:tab/>
        <w:t xml:space="preserve"> </w:t>
      </w:r>
      <w:r>
        <w:t xml:space="preserve">Für einen Überblick über den Einsatz von XML in Übersetzung in Lokalisierung siehe Savourel </w:t>
      </w:r>
      <w:r>
        <w:fldChar w:fldCharType="begin"/>
      </w:r>
      <w:r>
        <w:instrText xml:space="preserve">ADDIN ZOTERO_ITEM CSL_CITATION {"citationID":"SWZfvPJ9","properties":{"formattedCitatio</w:instrText>
      </w:r>
      <w:r>
        <w:instrText xml:space="preserve">n":"(2001)","plainCitation":"(2001)","noteIndex":2},"citationItems":[{"id":9298,"uris":["http://zotero.org/users/3827919/items/W4VX63S7"],"itemData":{"id":9298,"type":"book","event-place":"Carmel, Indiana","publisher":"Sams","publisher-place":"Carmel, Indi</w:instrText>
      </w:r>
      <w:r>
        <w:instrText xml:space="preserve">ana","title":"XML Internationalization and Localization","author":[{"family":"Savourel","given":"Yves"}],"issued":{"date-parts":[["2001"]]}},"suppress-author":true}],"schema":"https://github.com/citation-style-language/schema/raw/master/csl-citation.json"}</w:instrText>
      </w:r>
      <w:r>
        <w:fldChar w:fldCharType="separate"/>
      </w:r>
      <w:r>
        <w:rPr>
          <w:rFonts w:cs="Times New Roman"/>
        </w:rPr>
        <w:t xml:space="preserve">(2001)</w:t>
      </w:r>
      <w:r>
        <w:fldChar w:fldCharType="end"/>
      </w:r>
      <w:r>
        <w:t xml:space="preserve">.</w:t>
      </w:r>
      <w:r/>
    </w:p>
  </w:footnote>
  <w:footnote w:id="4">
    <w:p>
      <w:pPr>
        <w:pStyle w:val="886"/>
        <w:pBdr/>
        <w:spacing w:after="160" w:before="0"/>
        <w:ind/>
        <w:rPr/>
      </w:pPr>
      <w:r>
        <w:rPr>
          <w:rStyle w:val="850"/>
        </w:rPr>
        <w:footnoteRef/>
      </w:r>
      <w:r>
        <w:tab/>
        <w:t xml:space="preserve"> </w:t>
      </w:r>
      <w:r>
        <w:t xml:space="preserve">Für eine Liste mit Beispielen siehe Chan </w:t>
      </w:r>
      <w:r>
        <w:fldChar w:fldCharType="begin"/>
      </w:r>
      <w:r>
        <w:instrText xml:space="preserve">ADDIN ZOTERO_ITEM CSL_CITATION {"citationID":"YrHDJGe4","properties":{"formattedCitation":"(2015)","plainCitation":"(2015)","noteIndex":3},"citationItems":[{"id":9292,"uris":["http://zotero.org/users/3827919/items/ASYN5UMI"],"it</w:instrText>
      </w:r>
      <w:r>
        <w:instrText xml:space="preserve">emData":{"id":9292,"type":"chapter","container-title":"The Routledge Encyclopedia of Translation Technology","event-place":"Oxon, New York","page":"32–67","publisher":"Routledge","publisher-place":"Oxon, New York","title":"Computer-aided translation: major</w:instrText>
      </w:r>
      <w:r>
        <w:instrText xml:space="preserve"> concepts","editor":[{"family":"Chan","given":"Sin-wai"}],"author":[{"family":"Chan","given":"Sin-wai"}],"issued":{"date-parts":[["2015"]]}},"suppress-author":true}],"schema":"https://github.com/citation-style-language/schema/raw/master/csl-citation.json"}</w:instrText>
      </w:r>
      <w:r>
        <w:fldChar w:fldCharType="separate"/>
      </w:r>
      <w:r>
        <w:rPr>
          <w:rFonts w:cs="Times New Roman"/>
        </w:rPr>
        <w:t xml:space="preserve">(2015)</w:t>
      </w:r>
      <w:r>
        <w:fldChar w:fldCharType="end"/>
      </w:r>
      <w:r>
        <w:t xml:space="preserve">.</w:t>
      </w:r>
      <w:r/>
    </w:p>
  </w:footnote>
  <w:footnote w:id="5">
    <w:p>
      <w:pPr>
        <w:pStyle w:val="886"/>
        <w:pBdr/>
        <w:spacing w:after="160" w:before="0"/>
        <w:ind/>
        <w:rPr/>
      </w:pPr>
      <w:r>
        <w:rPr>
          <w:rStyle w:val="850"/>
        </w:rPr>
        <w:footnoteRef/>
      </w:r>
      <w:r>
        <w:tab/>
        <w:t xml:space="preserve"> </w:t>
      </w:r>
      <w:r>
        <w:t xml:space="preserve">Toolspezifische Dialekte und die damit verbundenen Schwierigkeiten betreffen neben TMX auch andere Datenaustauschformate wie etwa TBX (TermBase eXchange) </w:t>
      </w:r>
      <w:r>
        <w:fldChar w:fldCharType="begin"/>
      </w:r>
      <w:r>
        <w:instrText xml:space="preserve">ADDIN ZOTERO_ITEM CSL_CITATION {"citationID":"5Y5dCnlR","properties":{"formattedCitation":"(siehe Wright 2018)","plainCitation":"(siehe Wright 2018)","noteIndex":4},"citationItems":[{"id":9295,"uris":["http://zotero.org/users/3</w:instrText>
      </w:r>
      <w:r>
        <w:instrText xml:space="preserve">827919/items/58SN3Q2X"],"itemData":{"id":9295,"type":"chapter","call-number":"P305 .V47 2018","container-title":"Verschmitzt! Von Terminologie und Terminologen. Festschrift für Klaus-Dirk Schmitz","event-place":"Berlin","note":"OCLC: on1051234509","page":"</w:instrText>
      </w:r>
      <w:r>
        <w:instrText xml:space="preserve">223–241","publisher":"Frank &amp; Timme","publisher-place":"Berlin","source":"Library of Congress ISBN","title":"TBX Dialects. Making Exchange Work for You","editor":[{"family":"Ahrens","given":"Barbara"},{"family":"Link","given":"Lisa"},{"family":"Schilly","g</w:instrText>
      </w:r>
      <w:r>
        <w:instrText xml:space="preserve">iven":"Ute Barbara"},{"family":"Wienen","given":"Ursula"}],"author":[{"family":"Wright","given":"Sue Ellen"}],"issued":{"date-parts":[["2018"]]}},"prefix":"siehe "}],"schema":"https://github.com/citation-style-language/schema/raw/master/csl-citation.json"}</w:instrText>
      </w:r>
      <w:r>
        <w:fldChar w:fldCharType="separate"/>
      </w:r>
      <w:r>
        <w:rPr>
          <w:rFonts w:cs="Times New Roman"/>
        </w:rPr>
        <w:t xml:space="preserve">(siehe Wright 2018)</w:t>
      </w:r>
      <w:r>
        <w:fldChar w:fldCharType="end"/>
      </w:r>
      <w:r>
        <w:t xml:space="preserve">.</w:t>
      </w:r>
      <w:r/>
    </w:p>
  </w:footnote>
  <w:footnote w:id="6">
    <w:p>
      <w:pPr>
        <w:pStyle w:val="886"/>
        <w:suppressLineNumbers w:val="true"/>
        <w:pBdr/>
        <w:spacing w:after="160" w:before="0"/>
        <w:ind w:hanging="339" w:left="339"/>
        <w:rPr/>
      </w:pPr>
      <w:r>
        <w:rPr>
          <w:rStyle w:val="850"/>
        </w:rPr>
        <w:footnoteRef/>
      </w:r>
      <w:r>
        <w:tab/>
        <w:t xml:space="preserve"> </w:t>
      </w:r>
      <w:r>
        <w:t xml:space="preserve">Die Erwartungen an ihr Monetisierungspotenzial, die im Zuge der Verbreitung trainierbarer NMÜ-Modelle aufkamen, schei</w:t>
      </w:r>
      <w:r>
        <w:t xml:space="preserve">nen sich jedoch – zumindest bislang – nicht zu bewahrheiten. So wurde etwa der von der Translation Automation User Society (TAUS) im Jahr 2020 geschaffene Data Marketplace, auf dem Übersetzungsdaten gehandelt werden konnten, Anfang 2024 wieder eingestellt.</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numFmt w:val="none"/>
      <w:pPr>
        <w:pBdr/>
        <w:tabs>
          <w:tab w:val="num" w:leader="none" w:pos="0"/>
        </w:tabs>
        <w:spacing/>
        <w:ind w:hanging="432" w:left="432"/>
      </w:pPr>
      <w:pStyle w:val="818"/>
      <w:rPr/>
      <w:start w:val="1"/>
      <w:suff w:val="nothing"/>
    </w:lvl>
    <w:lvl w:ilvl="1">
      <w:isLgl w:val="true"/>
      <w:lvlJc w:val="left"/>
      <w:lvlText w:val="(%2)"/>
      <w:numFmt w:val="decimal"/>
      <w:pPr>
        <w:pBdr/>
        <w:tabs>
          <w:tab w:val="num" w:leader="none" w:pos="0"/>
        </w:tabs>
        <w:spacing/>
        <w:ind w:hanging="579" w:left="692"/>
      </w:pPr>
      <w:rPr/>
      <w:start w:val="1"/>
      <w:suff w:val="tab"/>
    </w:lvl>
    <w:lvl w:ilvl="2">
      <w:isLgl w:val="true"/>
      <w:lvlJc w:val="left"/>
      <w:lvlText/>
      <w:numFmt w:val="none"/>
      <w:pPr>
        <w:pBdr/>
        <w:tabs>
          <w:tab w:val="num" w:leader="none" w:pos="0"/>
        </w:tabs>
        <w:spacing/>
        <w:ind w:hanging="720" w:left="720"/>
      </w:pPr>
      <w:pStyle w:val="820"/>
      <w:rPr/>
      <w:start w:val="1"/>
      <w:suff w:val="nothing"/>
    </w:lvl>
    <w:lvl w:ilvl="3">
      <w:isLgl w:val="true"/>
      <w:lvlJc w:val="left"/>
      <w:lvlText/>
      <w:numFmt w:val="none"/>
      <w:pPr>
        <w:pBdr/>
        <w:tabs>
          <w:tab w:val="num" w:leader="none" w:pos="0"/>
        </w:tabs>
        <w:spacing/>
        <w:ind w:hanging="864" w:left="864"/>
      </w:pPr>
      <w:rPr/>
      <w:start w:val="1"/>
      <w:suff w:val="nothing"/>
    </w:lvl>
    <w:lvl w:ilvl="4">
      <w:isLgl w:val="true"/>
      <w:lvlJc w:val="left"/>
      <w:lvlText/>
      <w:numFmt w:val="none"/>
      <w:pPr>
        <w:pBdr/>
        <w:tabs>
          <w:tab w:val="num" w:leader="none" w:pos="0"/>
        </w:tabs>
        <w:spacing/>
        <w:ind w:hanging="1008" w:left="1008"/>
      </w:pPr>
      <w:rPr/>
      <w:start w:val="1"/>
      <w:suff w:val="nothing"/>
    </w:lvl>
    <w:lvl w:ilvl="5">
      <w:isLgl w:val="true"/>
      <w:lvlJc w:val="left"/>
      <w:lvlText/>
      <w:numFmt w:val="none"/>
      <w:pPr>
        <w:pBdr/>
        <w:tabs>
          <w:tab w:val="num" w:leader="none" w:pos="0"/>
        </w:tabs>
        <w:spacing/>
        <w:ind w:hanging="1152" w:left="1152"/>
      </w:pPr>
      <w:pStyle w:val="823"/>
      <w:rPr/>
      <w:start w:val="1"/>
      <w:suff w:val="nothing"/>
    </w:lvl>
    <w:lvl w:ilvl="6">
      <w:isLgl w:val="true"/>
      <w:lvlJc w:val="left"/>
      <w:lvlText/>
      <w:numFmt w:val="none"/>
      <w:pPr>
        <w:pBdr/>
        <w:tabs>
          <w:tab w:val="num" w:leader="none" w:pos="0"/>
        </w:tabs>
        <w:spacing/>
        <w:ind w:hanging="1296" w:left="1296"/>
      </w:pPr>
      <w:pStyle w:val="824"/>
      <w:rPr/>
      <w:start w:val="1"/>
      <w:suff w:val="nothing"/>
    </w:lvl>
    <w:lvl w:ilvl="7">
      <w:isLgl w:val="true"/>
      <w:lvlJc w:val="left"/>
      <w:lvlText/>
      <w:numFmt w:val="none"/>
      <w:pPr>
        <w:pBdr/>
        <w:tabs>
          <w:tab w:val="num" w:leader="none" w:pos="0"/>
        </w:tabs>
        <w:spacing/>
        <w:ind w:hanging="1440" w:left="1440"/>
      </w:pPr>
      <w:pStyle w:val="825"/>
      <w:rPr/>
      <w:start w:val="1"/>
      <w:suff w:val="nothing"/>
    </w:lvl>
    <w:lvl w:ilvl="8">
      <w:isLgl w:val="true"/>
      <w:lvlJc w:val="left"/>
      <w:lvlText/>
      <w:numFmt w:val="none"/>
      <w:pPr>
        <w:pBdr/>
        <w:tabs>
          <w:tab w:val="num" w:leader="none" w:pos="0"/>
        </w:tabs>
        <w:spacing/>
        <w:ind w:hanging="1584" w:left="1584"/>
      </w:pPr>
      <w:rPr/>
      <w:start w:val="1"/>
      <w:suff w:val="nothing"/>
    </w:lvl>
  </w:abstractNum>
  <w:abstractNum w:abstractNumId="1">
    <w:lvl w:ilvl="0">
      <w:isLgl w:val="true"/>
      <w:lvlJc w:val="left"/>
      <w:lvlText w:val="(%1)"/>
      <w:numFmt w:val="decimal"/>
      <w:pPr>
        <w:pBdr/>
        <w:tabs>
          <w:tab w:val="num" w:leader="none" w:pos="113"/>
        </w:tabs>
        <w:spacing/>
        <w:ind w:hanging="283" w:left="283"/>
      </w:pPr>
      <w:pStyle w:val="892"/>
      <w:rPr/>
      <w:start w:val="1"/>
      <w:suff w:val="tab"/>
    </w:lvl>
    <w:lvl w:ilvl="1">
      <w:isLgl w:val="true"/>
      <w:lvlJc w:val="left"/>
      <w:lvlText w:val="%2."/>
      <w:numFmt w:val="lowerLetter"/>
      <w:pPr>
        <w:pBdr/>
        <w:tabs>
          <w:tab w:val="num" w:leader="none" w:pos="113"/>
        </w:tabs>
        <w:spacing/>
        <w:ind w:firstLine="794" w:left="283"/>
      </w:pPr>
      <w:rPr/>
      <w:start w:val="1"/>
      <w:suff w:val="tab"/>
    </w:lvl>
    <w:lvl w:ilvl="2">
      <w:isLgl w:val="true"/>
      <w:lvlJc w:val="left"/>
      <w:lvlText/>
      <w:numFmt w:val="none"/>
      <w:pPr>
        <w:pBdr/>
        <w:tabs>
          <w:tab w:val="num" w:leader="none" w:pos="0"/>
        </w:tabs>
        <w:spacing/>
        <w:ind w:hanging="283" w:left="283"/>
      </w:pPr>
      <w:rPr/>
      <w:start w:val="1"/>
      <w:suff w:val="nothing"/>
    </w:lvl>
    <w:lvl w:ilvl="3">
      <w:isLgl w:val="true"/>
      <w:lvlJc w:val="left"/>
      <w:lvlText/>
      <w:numFmt w:val="none"/>
      <w:pPr>
        <w:pBdr/>
        <w:tabs>
          <w:tab w:val="num" w:leader="none" w:pos="0"/>
        </w:tabs>
        <w:spacing/>
        <w:ind w:hanging="283" w:left="283"/>
      </w:pPr>
      <w:rPr/>
      <w:start w:val="1"/>
      <w:suff w:val="nothing"/>
    </w:lvl>
    <w:lvl w:ilvl="4">
      <w:isLgl w:val="true"/>
      <w:lvlJc w:val="left"/>
      <w:lvlText/>
      <w:numFmt w:val="none"/>
      <w:pPr>
        <w:pBdr/>
        <w:tabs>
          <w:tab w:val="num" w:leader="none" w:pos="0"/>
        </w:tabs>
        <w:spacing/>
        <w:ind w:hanging="283" w:left="283"/>
      </w:pPr>
      <w:rPr/>
      <w:start w:val="1"/>
      <w:suff w:val="nothing"/>
    </w:lvl>
    <w:lvl w:ilvl="5">
      <w:isLgl w:val="true"/>
      <w:lvlJc w:val="left"/>
      <w:lvlText/>
      <w:numFmt w:val="none"/>
      <w:pPr>
        <w:pBdr/>
        <w:tabs>
          <w:tab w:val="num" w:leader="none" w:pos="0"/>
        </w:tabs>
        <w:spacing/>
        <w:ind w:hanging="283" w:left="283"/>
      </w:pPr>
      <w:rPr/>
      <w:start w:val="1"/>
      <w:suff w:val="nothing"/>
    </w:lvl>
    <w:lvl w:ilvl="6">
      <w:isLgl w:val="true"/>
      <w:lvlJc w:val="left"/>
      <w:lvlText/>
      <w:numFmt w:val="none"/>
      <w:pPr>
        <w:pBdr/>
        <w:tabs>
          <w:tab w:val="num" w:leader="none" w:pos="0"/>
        </w:tabs>
        <w:spacing/>
        <w:ind w:hanging="283" w:left="283"/>
      </w:pPr>
      <w:rPr/>
      <w:start w:val="1"/>
      <w:suff w:val="nothing"/>
    </w:lvl>
    <w:lvl w:ilvl="7">
      <w:isLgl w:val="true"/>
      <w:lvlJc w:val="left"/>
      <w:lvlText/>
      <w:numFmt w:val="none"/>
      <w:pPr>
        <w:pBdr/>
        <w:tabs>
          <w:tab w:val="num" w:leader="none" w:pos="0"/>
        </w:tabs>
        <w:spacing/>
        <w:ind w:hanging="283" w:left="283"/>
      </w:pPr>
      <w:rPr/>
      <w:start w:val="1"/>
      <w:suff w:val="nothing"/>
    </w:lvl>
    <w:lvl w:ilvl="8">
      <w:isLgl w:val="true"/>
      <w:lvlJc w:val="left"/>
      <w:lvlText/>
      <w:numFmt w:val="none"/>
      <w:pPr>
        <w:pBdr/>
        <w:tabs>
          <w:tab w:val="num" w:leader="none" w:pos="0"/>
        </w:tabs>
        <w:spacing/>
        <w:ind w:hanging="283" w:left="283"/>
      </w:pPr>
      <w:rPr/>
      <w:start w:val="1"/>
      <w:suff w:val="nothing"/>
    </w:lvl>
  </w:abstractNum>
  <w:abstractNum w:abstractNumId="2">
    <w:lvl w:ilvl="0">
      <w:isLgl w:val="true"/>
      <w:lvlJc w:val="left"/>
      <w:lvlText w:val=""/>
      <w:numFmt w:val="bullet"/>
      <w:pPr>
        <w:pBdr/>
        <w:tabs>
          <w:tab w:val="num" w:leader="none" w:pos="0"/>
        </w:tabs>
        <w:spacing/>
        <w:ind w:hanging="360" w:left="720"/>
      </w:pPr>
      <w:pStyle w:val="883"/>
      <w:rPr>
        <w:rFonts w:hint="default" w:ascii="Symbol" w:hAnsi="Symbol" w:cs="Symbol"/>
      </w:rPr>
      <w:start w:val="1"/>
      <w:suff w:val="tab"/>
    </w:lvl>
    <w:lvl w:ilvl="1">
      <w:isLgl w:val="tru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60"/>
      </w:pPr>
      <w:rPr>
        <w:rFonts w:hint="default" w:ascii="Wingdings" w:hAnsi="Wingdings" w:cs="Wingdings"/>
      </w:rPr>
      <w:start w:val="1"/>
      <w:suff w:val="tab"/>
    </w:lvl>
    <w:lvl w:ilvl="3">
      <w:isLgl w:val="true"/>
      <w:lvlJc w:val="left"/>
      <w:lvlText w:val=""/>
      <w:numFmt w:val="bullet"/>
      <w:pPr>
        <w:pBdr/>
        <w:tabs>
          <w:tab w:val="num" w:leader="none" w:pos="0"/>
        </w:tabs>
        <w:spacing/>
        <w:ind w:hanging="360" w:left="2880"/>
      </w:pPr>
      <w:rPr>
        <w:rFonts w:hint="default" w:ascii="Symbol" w:hAnsi="Symbol" w:cs="Symbol"/>
      </w:rPr>
      <w:start w:val="1"/>
      <w:suff w:val="tab"/>
    </w:lvl>
    <w:lvl w:ilvl="4">
      <w:isLgl w:val="tru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20"/>
      </w:pPr>
      <w:rPr>
        <w:rFonts w:hint="default" w:ascii="Wingdings" w:hAnsi="Wingdings" w:cs="Wingdings"/>
      </w:rPr>
      <w:start w:val="1"/>
      <w:suff w:val="tab"/>
    </w:lvl>
    <w:lvl w:ilvl="6">
      <w:isLgl w:val="true"/>
      <w:lvlJc w:val="left"/>
      <w:lvlText w:val=""/>
      <w:numFmt w:val="bullet"/>
      <w:pPr>
        <w:pBdr/>
        <w:tabs>
          <w:tab w:val="num" w:leader="none" w:pos="0"/>
        </w:tabs>
        <w:spacing/>
        <w:ind w:hanging="360" w:left="5040"/>
      </w:pPr>
      <w:rPr>
        <w:rFonts w:hint="default" w:ascii="Symbol" w:hAnsi="Symbol" w:cs="Symbol"/>
      </w:rPr>
      <w:start w:val="1"/>
      <w:suff w:val="tab"/>
    </w:lvl>
    <w:lvl w:ilvl="7">
      <w:isLgl w:val="tru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
    <w:lvl w:ilvl="0">
      <w:isLgl w:val="true"/>
      <w:lvlJc w:val="left"/>
      <w:lvlText w:val="%1."/>
      <w:numFmt w:val="decimal"/>
      <w:pPr>
        <w:pBdr/>
        <w:tabs>
          <w:tab w:val="num" w:leader="none" w:pos="0"/>
        </w:tabs>
        <w:spacing/>
        <w:ind w:hanging="360" w:left="720"/>
      </w:pPr>
      <w:pStyle w:val="878"/>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4">
    <w:lvl w:ilvl="0">
      <w:isLgl w:val="true"/>
      <w:lvlJc w:val="left"/>
      <w:lvlText w:val="%1."/>
      <w:numFmt w:val="decimal"/>
      <w:pPr>
        <w:pBdr/>
        <w:tabs>
          <w:tab w:val="num" w:leader="none" w:pos="0"/>
        </w:tabs>
        <w:spacing/>
        <w:ind w:hanging="360" w:left="720"/>
      </w:pPr>
      <w:pStyle w:val="894"/>
      <w:rPr/>
      <w:start w:val="1"/>
      <w:suff w:val="tab"/>
    </w:lvl>
    <w:lvl w:ilvl="1">
      <w:isLgl w:val="true"/>
      <w:lvlJc w:val="left"/>
      <w:lvlText w:val="%1.%2."/>
      <w:numFmt w:val="decimal"/>
      <w:pPr>
        <w:pBdr/>
        <w:tabs>
          <w:tab w:val="num" w:leader="none" w:pos="0"/>
        </w:tabs>
        <w:spacing/>
        <w:ind w:hanging="360" w:left="927"/>
      </w:pPr>
      <w:pStyle w:val="895"/>
      <w:rPr/>
      <w:start w:val="1"/>
      <w:suff w:val="tab"/>
    </w:lvl>
    <w:lvl w:ilvl="2">
      <w:isLgl w:val="true"/>
      <w:lvlJc w:val="right"/>
      <w:lvlText w:val="%1.%2.%3."/>
      <w:numFmt w:val="decimal"/>
      <w:pPr>
        <w:pBdr/>
        <w:tabs>
          <w:tab w:val="num" w:leader="none" w:pos="0"/>
        </w:tabs>
        <w:spacing/>
        <w:ind w:hanging="180" w:left="2160"/>
      </w:pPr>
      <w:pStyle w:val="896"/>
      <w:rPr/>
      <w:start w:val="1"/>
      <w:suff w:val="tab"/>
    </w:lvl>
    <w:lvl w:ilvl="3">
      <w:isLgl w:val="true"/>
      <w:lvlJc w:val="left"/>
      <w:lvlText w:val="%1.%2.%3.%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5">
    <w:lvl w:ilvl="0">
      <w:isLgl w:val="true"/>
      <w:lvlJc w:val="left"/>
      <w:lvlText w:val="■"/>
      <w:numFmt w:val="bullet"/>
      <w:pPr>
        <w:pBdr/>
        <w:tabs>
          <w:tab w:val="num" w:leader="none" w:pos="284"/>
        </w:tabs>
        <w:spacing/>
        <w:ind w:hanging="284" w:left="284"/>
      </w:pPr>
      <w:pStyle w:val="898"/>
      <w:rPr>
        <w:rFonts w:hint="default" w:ascii="Arial" w:hAnsi="Arial" w:cs="Arial"/>
      </w:rPr>
      <w:start w:val="1"/>
      <w:suff w:val="tab"/>
    </w:lvl>
    <w:lvl w:ilvl="1">
      <w:isLgl w:val="true"/>
      <w:lvlJc w:val="left"/>
      <w:lvlText w:val="–"/>
      <w:numFmt w:val="bullet"/>
      <w:pPr>
        <w:pBdr/>
        <w:tabs>
          <w:tab w:val="num" w:leader="none" w:pos="567"/>
        </w:tabs>
        <w:spacing/>
        <w:ind w:hanging="283" w:left="567"/>
      </w:pPr>
      <w:rPr>
        <w:rFonts w:hint="default" w:ascii="Arial" w:hAnsi="Arial" w:cs="Arial"/>
      </w:rPr>
      <w:start w:val="1"/>
      <w:suff w:val="tab"/>
    </w:lvl>
    <w:lvl w:ilvl="2">
      <w:isLgl w:val="true"/>
      <w:lvlJc w:val="left"/>
      <w:lvlText w:val="-"/>
      <w:numFmt w:val="bullet"/>
      <w:pPr>
        <w:pBdr/>
        <w:tabs>
          <w:tab w:val="num" w:leader="none" w:pos="851"/>
        </w:tabs>
        <w:spacing/>
        <w:ind w:hanging="284" w:left="851"/>
      </w:pPr>
      <w:rPr>
        <w:rFonts w:hint="default" w:ascii="Arial" w:hAnsi="Arial" w:cs="Arial"/>
      </w:rPr>
      <w:start w:val="1"/>
      <w:suff w:val="tab"/>
    </w:lvl>
    <w:lvl w:ilvl="3">
      <w:isLgl w:val="true"/>
      <w:lvlJc w:val="left"/>
      <w:lvlText w:val="·"/>
      <w:numFmt w:val="bullet"/>
      <w:pPr>
        <w:pBdr/>
        <w:tabs>
          <w:tab w:val="num" w:leader="none" w:pos="1134"/>
        </w:tabs>
        <w:spacing/>
        <w:ind w:hanging="283" w:left="1134"/>
      </w:pPr>
      <w:rPr>
        <w:rFonts w:hint="default" w:ascii="Arial" w:hAnsi="Arial" w:cs="Arial"/>
      </w:rPr>
      <w:start w:val="1"/>
      <w:suff w:val="tab"/>
    </w:lvl>
    <w:lvl w:ilvl="4">
      <w:isLgl w:val="tru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20"/>
      </w:pPr>
      <w:rPr>
        <w:rFonts w:hint="default" w:ascii="Wingdings" w:hAnsi="Wingdings" w:cs="Wingdings"/>
      </w:rPr>
      <w:start w:val="1"/>
      <w:suff w:val="tab"/>
    </w:lvl>
    <w:lvl w:ilvl="6">
      <w:isLgl w:val="true"/>
      <w:lvlJc w:val="left"/>
      <w:lvlText w:val=""/>
      <w:numFmt w:val="bullet"/>
      <w:pPr>
        <w:pBdr/>
        <w:tabs>
          <w:tab w:val="num" w:leader="none" w:pos="0"/>
        </w:tabs>
        <w:spacing/>
        <w:ind w:hanging="360" w:left="5040"/>
      </w:pPr>
      <w:rPr>
        <w:rFonts w:hint="default" w:ascii="Symbol" w:hAnsi="Symbol" w:cs="Symbol"/>
      </w:rPr>
      <w:start w:val="1"/>
      <w:suff w:val="tab"/>
    </w:lvl>
    <w:lvl w:ilvl="7">
      <w:isLgl w:val="tru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7">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8">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9">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10">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11">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12">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13">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3"/>
    <w:lvlOverride w:ilvl="0">
      <w:startOverride w:val="1"/>
    </w:lvlOverride>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lvlOverride w:ilvl="0">
      <w:startOverride w:val="1"/>
    </w:lvlOverride>
  </w:num>
  <w:num w:numId="23">
    <w:abstractNumId w:val="3"/>
  </w:num>
  <w:num w:numId="24">
    <w:abstractNumId w:val="3"/>
  </w:num>
  <w:num w:numId="25">
    <w:abstractNumId w:val="3"/>
    <w:lvlOverride w:ilvl="0">
      <w:startOverride w:val="1"/>
    </w:lvlOverride>
  </w:num>
  <w:num w:numId="26">
    <w:abstractNumId w:val="3"/>
  </w:num>
  <w:num w:numId="27">
    <w:abstractNumId w:val="3"/>
  </w:num>
  <w:num w:numId="28">
    <w:abstractNumId w:val="3"/>
    <w:lvlOverride w:ilvl="0">
      <w:startOverride w:val="1"/>
    </w:lvlOverride>
  </w:num>
  <w:num w:numId="29">
    <w:abstractNumId w:val="3"/>
  </w:num>
  <w:num w:numId="30">
    <w:abstractNumId w:val="3"/>
  </w:num>
  <w:num w:numId="31">
    <w:abstractNumId w:val="3"/>
    <w:lvlOverride w:ilvl="0">
      <w:startOverride w:val="1"/>
    </w:lvlOverride>
  </w:num>
  <w:num w:numId="32">
    <w:abstractNumId w:val="3"/>
    <w:lvlOverride w:ilvl="0">
      <w:startOverride w:val="1"/>
    </w:lvlOverride>
  </w:num>
  <w:num w:numId="33">
    <w:abstractNumId w:val="3"/>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643"/>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de-DE" w:eastAsia="de-D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styleId="148" w:default="1">
    <w:name w:val="No List"/>
    <w:uiPriority w:val="99"/>
    <w:semiHidden/>
    <w:unhideWhenUsed/>
    <w:pPr>
      <w:pBdr/>
      <w:spacing/>
      <w:ind/>
    </w:pPr>
  </w:style>
  <w:style w:type="paragraph" w:styleId="817" w:default="1">
    <w:name w:val="Normal"/>
    <w:qFormat/>
    <w:pPr>
      <w:keepNext w:val="true"/>
      <w:widowControl w:val="false"/>
      <w:pBdr/>
      <w:bidi w:val="false"/>
      <w:spacing w:after="160" w:afterAutospacing="0" w:before="0" w:beforeAutospacing="0" w:line="100" w:lineRule="atLeast"/>
      <w:ind/>
      <w:jc w:val="left"/>
    </w:pPr>
    <w:rPr>
      <w:rFonts w:ascii="Times New Roman" w:hAnsi="Times New Roman" w:eastAsia="Droid Sans Fallback" w:cs="FreeSans"/>
      <w:color w:val="auto"/>
      <w:sz w:val="24"/>
      <w:szCs w:val="24"/>
      <w:lang w:val="de-DE" w:eastAsia="hi-IN" w:bidi="hi-IN"/>
    </w:rPr>
  </w:style>
  <w:style w:type="paragraph" w:styleId="818">
    <w:name w:val="Heading 1"/>
    <w:basedOn w:val="817"/>
    <w:next w:val="817"/>
    <w:qFormat/>
    <w:pPr>
      <w:numPr>
        <w:ilvl w:val="0"/>
        <w:numId w:val="1"/>
      </w:numPr>
      <w:pBdr/>
      <w:spacing w:after="120" w:before="240"/>
      <w:ind/>
      <w:outlineLvl w:val="0"/>
    </w:pPr>
    <w:rPr>
      <w:rFonts w:ascii="Arial" w:hAnsi="Arial"/>
      <w:b/>
      <w:bCs/>
      <w:sz w:val="36"/>
      <w:szCs w:val="36"/>
    </w:rPr>
  </w:style>
  <w:style w:type="paragraph" w:styleId="819">
    <w:name w:val="Heading 2"/>
    <w:basedOn w:val="817"/>
    <w:next w:val="817"/>
    <w:qFormat/>
    <w:pPr>
      <w:pBdr/>
      <w:spacing w:after="120" w:before="320"/>
      <w:ind/>
      <w:outlineLvl w:val="1"/>
    </w:pPr>
    <w:rPr>
      <w:rFonts w:ascii="Arial" w:hAnsi="Arial"/>
      <w:b/>
      <w:bCs/>
      <w:sz w:val="32"/>
      <w:szCs w:val="32"/>
    </w:rPr>
  </w:style>
  <w:style w:type="paragraph" w:styleId="820">
    <w:name w:val="Heading 3"/>
    <w:basedOn w:val="817"/>
    <w:next w:val="817"/>
    <w:qFormat/>
    <w:pPr>
      <w:numPr>
        <w:ilvl w:val="2"/>
        <w:numId w:val="1"/>
      </w:numPr>
      <w:pBdr/>
      <w:spacing w:after="0" w:before="140"/>
      <w:ind/>
      <w:outlineLvl w:val="2"/>
    </w:pPr>
    <w:rPr>
      <w:rFonts w:ascii="Arial" w:hAnsi="Arial"/>
      <w:b/>
      <w:sz w:val="28"/>
      <w:szCs w:val="28"/>
    </w:rPr>
  </w:style>
  <w:style w:type="paragraph" w:styleId="821">
    <w:name w:val="Heading 4"/>
    <w:basedOn w:val="817"/>
    <w:next w:val="817"/>
    <w:link w:val="854"/>
    <w:uiPriority w:val="9"/>
    <w:semiHidden/>
    <w:unhideWhenUsed/>
    <w:qFormat/>
    <w:pPr>
      <w:keepLines w:val="true"/>
      <w:pBdr/>
      <w:spacing w:after="0" w:before="40"/>
      <w:ind/>
      <w:outlineLvl w:val="3"/>
    </w:pPr>
    <w:rPr>
      <w:rFonts w:ascii="Calibri Light" w:hAnsi="Calibri Light" w:eastAsia="Arial" w:cs="Mangal" w:asciiTheme="majorHAnsi" w:hAnsiTheme="majorHAnsi" w:eastAsiaTheme="majorEastAsia"/>
      <w:i/>
      <w:iCs/>
      <w:color w:val="2e74b5" w:themeColor="accent1" w:themeShade="BF"/>
      <w:szCs w:val="21"/>
    </w:rPr>
  </w:style>
  <w:style w:type="paragraph" w:styleId="822">
    <w:name w:val="Heading 5"/>
    <w:basedOn w:val="817"/>
    <w:next w:val="817"/>
    <w:link w:val="83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23">
    <w:name w:val="Heading 6"/>
    <w:basedOn w:val="817"/>
    <w:next w:val="817"/>
    <w:qFormat/>
    <w:pPr>
      <w:numPr>
        <w:ilvl w:val="5"/>
        <w:numId w:val="1"/>
      </w:numPr>
      <w:pBdr/>
      <w:spacing w:after="60" w:before="60"/>
      <w:ind/>
      <w:outlineLvl w:val="5"/>
    </w:pPr>
    <w:rPr>
      <w:rFonts w:ascii="Arial" w:hAnsi="Arial"/>
      <w:b/>
      <w:bCs/>
      <w:i/>
      <w:iCs/>
    </w:rPr>
  </w:style>
  <w:style w:type="paragraph" w:styleId="824">
    <w:name w:val="Heading 7"/>
    <w:basedOn w:val="817"/>
    <w:next w:val="817"/>
    <w:qFormat/>
    <w:pPr>
      <w:numPr>
        <w:ilvl w:val="6"/>
        <w:numId w:val="1"/>
      </w:numPr>
      <w:pBdr/>
      <w:spacing w:after="60" w:before="60"/>
      <w:ind/>
      <w:outlineLvl w:val="6"/>
    </w:pPr>
    <w:rPr>
      <w:rFonts w:ascii="Arial" w:hAnsi="Arial"/>
      <w:b/>
      <w:bCs/>
      <w:sz w:val="22"/>
      <w:szCs w:val="22"/>
    </w:rPr>
  </w:style>
  <w:style w:type="paragraph" w:styleId="825">
    <w:name w:val="Heading 8"/>
    <w:basedOn w:val="817"/>
    <w:next w:val="817"/>
    <w:qFormat/>
    <w:pPr>
      <w:numPr>
        <w:ilvl w:val="7"/>
        <w:numId w:val="1"/>
      </w:numPr>
      <w:pBdr/>
      <w:spacing w:after="60" w:before="60"/>
      <w:ind/>
      <w:outlineLvl w:val="7"/>
    </w:pPr>
    <w:rPr>
      <w:rFonts w:ascii="Arial" w:hAnsi="Arial"/>
      <w:b/>
      <w:bCs/>
      <w:i/>
      <w:iCs/>
      <w:sz w:val="22"/>
      <w:szCs w:val="22"/>
    </w:rPr>
  </w:style>
  <w:style w:type="paragraph" w:styleId="826">
    <w:name w:val="Heading 9"/>
    <w:basedOn w:val="817"/>
    <w:next w:val="817"/>
    <w:qFormat/>
    <w:pPr>
      <w:pBdr/>
      <w:spacing w:after="60" w:before="60"/>
      <w:ind/>
      <w:outlineLvl w:val="8"/>
    </w:pPr>
    <w:rPr>
      <w:rFonts w:ascii="Arial" w:hAnsi="Arial"/>
      <w:b/>
      <w:bCs/>
      <w:sz w:val="21"/>
      <w:szCs w:val="21"/>
    </w:rPr>
  </w:style>
  <w:style w:type="character" w:styleId="827">
    <w:name w:val="Heading 1 Char"/>
    <w:basedOn w:val="849"/>
    <w:uiPriority w:val="9"/>
    <w:qFormat/>
    <w:pPr>
      <w:pBdr/>
      <w:spacing/>
      <w:ind/>
    </w:pPr>
    <w:rPr>
      <w:rFonts w:ascii="Arial" w:hAnsi="Arial" w:eastAsia="Arial" w:cs="Arial"/>
      <w:color w:val="0f4761" w:themeColor="accent1" w:themeShade="BF"/>
      <w:sz w:val="40"/>
      <w:szCs w:val="40"/>
    </w:rPr>
  </w:style>
  <w:style w:type="character" w:styleId="828">
    <w:name w:val="Heading 2 Char"/>
    <w:basedOn w:val="849"/>
    <w:uiPriority w:val="9"/>
    <w:qFormat/>
    <w:pPr>
      <w:pBdr/>
      <w:spacing/>
      <w:ind/>
    </w:pPr>
    <w:rPr>
      <w:rFonts w:ascii="Arial" w:hAnsi="Arial" w:eastAsia="Arial" w:cs="Arial"/>
      <w:color w:val="0f4761" w:themeColor="accent1" w:themeShade="BF"/>
      <w:sz w:val="32"/>
      <w:szCs w:val="32"/>
    </w:rPr>
  </w:style>
  <w:style w:type="character" w:styleId="829">
    <w:name w:val="Heading 3 Char"/>
    <w:basedOn w:val="849"/>
    <w:uiPriority w:val="9"/>
    <w:qFormat/>
    <w:pPr>
      <w:pBdr/>
      <w:spacing/>
      <w:ind/>
    </w:pPr>
    <w:rPr>
      <w:rFonts w:ascii="Arial" w:hAnsi="Arial" w:eastAsia="Arial" w:cs="Arial"/>
      <w:color w:val="0f4761" w:themeColor="accent1" w:themeShade="BF"/>
      <w:sz w:val="28"/>
      <w:szCs w:val="28"/>
    </w:rPr>
  </w:style>
  <w:style w:type="character" w:styleId="830">
    <w:name w:val="Heading 5 Char"/>
    <w:basedOn w:val="849"/>
    <w:uiPriority w:val="9"/>
    <w:qFormat/>
    <w:pPr>
      <w:pBdr/>
      <w:spacing/>
      <w:ind/>
    </w:pPr>
    <w:rPr>
      <w:rFonts w:ascii="Arial" w:hAnsi="Arial" w:eastAsia="Arial" w:cs="Arial"/>
      <w:color w:val="0f4761" w:themeColor="accent1" w:themeShade="BF"/>
    </w:rPr>
  </w:style>
  <w:style w:type="character" w:styleId="831">
    <w:name w:val="Heading 6 Char"/>
    <w:basedOn w:val="849"/>
    <w:uiPriority w:val="9"/>
    <w:qFormat/>
    <w:pPr>
      <w:pBdr/>
      <w:spacing/>
      <w:ind/>
    </w:pPr>
    <w:rPr>
      <w:rFonts w:ascii="Arial" w:hAnsi="Arial" w:eastAsia="Arial" w:cs="Arial"/>
      <w:i/>
      <w:iCs/>
      <w:color w:val="595959" w:themeColor="text1" w:themeTint="A6"/>
    </w:rPr>
  </w:style>
  <w:style w:type="character" w:styleId="832">
    <w:name w:val="Heading 7 Char"/>
    <w:basedOn w:val="849"/>
    <w:uiPriority w:val="9"/>
    <w:qFormat/>
    <w:pPr>
      <w:pBdr/>
      <w:spacing/>
      <w:ind/>
    </w:pPr>
    <w:rPr>
      <w:rFonts w:ascii="Arial" w:hAnsi="Arial" w:eastAsia="Arial" w:cs="Arial"/>
      <w:color w:val="595959" w:themeColor="text1" w:themeTint="A6"/>
    </w:rPr>
  </w:style>
  <w:style w:type="character" w:styleId="833">
    <w:name w:val="Heading 8 Char"/>
    <w:basedOn w:val="849"/>
    <w:uiPriority w:val="9"/>
    <w:qFormat/>
    <w:pPr>
      <w:pBdr/>
      <w:spacing/>
      <w:ind/>
    </w:pPr>
    <w:rPr>
      <w:rFonts w:ascii="Arial" w:hAnsi="Arial" w:eastAsia="Arial" w:cs="Arial"/>
      <w:i/>
      <w:iCs/>
      <w:color w:val="272727" w:themeColor="text1" w:themeTint="D8"/>
    </w:rPr>
  </w:style>
  <w:style w:type="character" w:styleId="834">
    <w:name w:val="Heading 9 Char"/>
    <w:basedOn w:val="849"/>
    <w:uiPriority w:val="9"/>
    <w:qFormat/>
    <w:pPr>
      <w:pBdr/>
      <w:spacing/>
      <w:ind/>
    </w:pPr>
    <w:rPr>
      <w:rFonts w:ascii="Arial" w:hAnsi="Arial" w:eastAsia="Arial" w:cs="Arial"/>
      <w:i/>
      <w:iCs/>
      <w:color w:val="272727" w:themeColor="text1" w:themeTint="D8"/>
    </w:rPr>
  </w:style>
  <w:style w:type="character" w:styleId="835">
    <w:name w:val="Title Char"/>
    <w:basedOn w:val="849"/>
    <w:uiPriority w:val="10"/>
    <w:qFormat/>
    <w:pPr>
      <w:pBdr/>
      <w:spacing/>
      <w:ind/>
    </w:pPr>
    <w:rPr>
      <w:rFonts w:ascii="Arial" w:hAnsi="Arial" w:eastAsia="Arial" w:cs="Arial"/>
      <w:spacing w:val="-10"/>
      <w:sz w:val="56"/>
      <w:szCs w:val="56"/>
    </w:rPr>
  </w:style>
  <w:style w:type="character" w:styleId="836">
    <w:name w:val="Subtitle Char"/>
    <w:basedOn w:val="849"/>
    <w:uiPriority w:val="11"/>
    <w:qFormat/>
    <w:pPr>
      <w:pBdr/>
      <w:spacing/>
      <w:ind/>
    </w:pPr>
    <w:rPr>
      <w:color w:val="595959" w:themeColor="text1" w:themeTint="A6"/>
      <w:spacing w:val="15"/>
      <w:sz w:val="28"/>
      <w:szCs w:val="28"/>
    </w:rPr>
  </w:style>
  <w:style w:type="character" w:styleId="837">
    <w:name w:val="Quote Char"/>
    <w:basedOn w:val="849"/>
    <w:link w:val="879"/>
    <w:uiPriority w:val="29"/>
    <w:qFormat/>
    <w:pPr>
      <w:pBdr/>
      <w:spacing/>
      <w:ind/>
    </w:pPr>
    <w:rPr>
      <w:i/>
      <w:iCs/>
      <w:color w:val="404040" w:themeColor="text1" w:themeTint="BF"/>
    </w:rPr>
  </w:style>
  <w:style w:type="character" w:styleId="838">
    <w:name w:val="Intense Emphasis"/>
    <w:basedOn w:val="849"/>
    <w:uiPriority w:val="21"/>
    <w:qFormat/>
    <w:pPr>
      <w:pBdr/>
      <w:spacing/>
      <w:ind/>
    </w:pPr>
    <w:rPr>
      <w:i/>
      <w:iCs/>
      <w:color w:val="0f4761" w:themeColor="accent1" w:themeShade="BF"/>
    </w:rPr>
  </w:style>
  <w:style w:type="character" w:styleId="839">
    <w:name w:val="Intense Quote Char"/>
    <w:basedOn w:val="849"/>
    <w:link w:val="868"/>
    <w:uiPriority w:val="30"/>
    <w:qFormat/>
    <w:pPr>
      <w:pBdr/>
      <w:spacing/>
      <w:ind/>
    </w:pPr>
    <w:rPr>
      <w:i/>
      <w:iCs/>
      <w:color w:val="0f4761" w:themeColor="accent1" w:themeShade="BF"/>
    </w:rPr>
  </w:style>
  <w:style w:type="character" w:styleId="840">
    <w:name w:val="Intense Reference"/>
    <w:basedOn w:val="849"/>
    <w:uiPriority w:val="32"/>
    <w:qFormat/>
    <w:pPr>
      <w:pBdr/>
      <w:spacing/>
      <w:ind/>
    </w:pPr>
    <w:rPr>
      <w:b/>
      <w:bCs/>
      <w:smallCaps/>
      <w:color w:val="0f4761" w:themeColor="accent1" w:themeShade="BF"/>
      <w:spacing w:val="5"/>
    </w:rPr>
  </w:style>
  <w:style w:type="character" w:styleId="841">
    <w:name w:val="Subtle Emphasis"/>
    <w:basedOn w:val="849"/>
    <w:uiPriority w:val="19"/>
    <w:qFormat/>
    <w:pPr>
      <w:pBdr/>
      <w:spacing/>
      <w:ind/>
    </w:pPr>
    <w:rPr>
      <w:i/>
      <w:iCs/>
      <w:color w:val="404040" w:themeColor="text1" w:themeTint="BF"/>
    </w:rPr>
  </w:style>
  <w:style w:type="character" w:styleId="842">
    <w:name w:val="Subtle Reference"/>
    <w:basedOn w:val="849"/>
    <w:uiPriority w:val="31"/>
    <w:qFormat/>
    <w:pPr>
      <w:pBdr/>
      <w:spacing/>
      <w:ind/>
    </w:pPr>
    <w:rPr>
      <w:smallCaps/>
      <w:color w:val="5a5a5a" w:themeColor="text1" w:themeTint="A5"/>
    </w:rPr>
  </w:style>
  <w:style w:type="character" w:styleId="843">
    <w:name w:val="Book Title"/>
    <w:basedOn w:val="849"/>
    <w:uiPriority w:val="33"/>
    <w:qFormat/>
    <w:pPr>
      <w:pBdr/>
      <w:spacing/>
      <w:ind/>
    </w:pPr>
    <w:rPr>
      <w:b/>
      <w:bCs/>
      <w:i/>
      <w:iCs/>
      <w:spacing w:val="5"/>
    </w:rPr>
  </w:style>
  <w:style w:type="character" w:styleId="844">
    <w:name w:val="Footer Char"/>
    <w:basedOn w:val="849"/>
    <w:uiPriority w:val="99"/>
    <w:qFormat/>
    <w:pPr>
      <w:pBdr/>
      <w:spacing/>
      <w:ind/>
    </w:pPr>
  </w:style>
  <w:style w:type="character" w:styleId="845">
    <w:name w:val="Endnote Text Char"/>
    <w:basedOn w:val="849"/>
    <w:link w:val="870"/>
    <w:uiPriority w:val="99"/>
    <w:semiHidden/>
    <w:qFormat/>
    <w:pPr>
      <w:pBdr/>
      <w:spacing/>
      <w:ind/>
    </w:pPr>
    <w:rPr>
      <w:sz w:val="20"/>
      <w:szCs w:val="20"/>
    </w:rPr>
  </w:style>
  <w:style w:type="character" w:styleId="846">
    <w:name w:val="Endnotenzeichen"/>
    <w:basedOn w:val="849"/>
    <w:uiPriority w:val="99"/>
    <w:semiHidden/>
    <w:unhideWhenUsed/>
    <w:qFormat/>
    <w:pPr>
      <w:pBdr/>
      <w:spacing/>
      <w:ind/>
    </w:pPr>
    <w:rPr>
      <w:vertAlign w:val="superscript"/>
    </w:rPr>
  </w:style>
  <w:style w:type="character" w:styleId="847">
    <w:name w:val="endnote reference"/>
    <w:pPr>
      <w:pBdr/>
      <w:spacing/>
      <w:ind/>
    </w:pPr>
    <w:rPr>
      <w:vertAlign w:val="superscript"/>
    </w:rPr>
  </w:style>
  <w:style w:type="character" w:styleId="848">
    <w:name w:val="FollowedHyperlink"/>
    <w:basedOn w:val="849"/>
    <w:uiPriority w:val="99"/>
    <w:semiHidden/>
    <w:unhideWhenUsed/>
    <w:pPr>
      <w:pBdr/>
      <w:spacing/>
      <w:ind/>
    </w:pPr>
    <w:rPr>
      <w:color w:val="954f72" w:themeColor="followedHyperlink"/>
      <w:u w:val="single"/>
    </w:rPr>
  </w:style>
  <w:style w:type="character" w:styleId="849" w:default="1">
    <w:name w:val="Default Paragraph Font"/>
    <w:uiPriority w:val="1"/>
    <w:semiHidden/>
    <w:unhideWhenUsed/>
    <w:qFormat/>
    <w:pPr>
      <w:pBdr/>
      <w:spacing/>
      <w:ind/>
    </w:pPr>
  </w:style>
  <w:style w:type="character" w:styleId="850">
    <w:name w:val="Fußnotenzeichen"/>
    <w:qFormat/>
    <w:pPr>
      <w:pBdr/>
      <w:spacing/>
      <w:ind/>
    </w:pPr>
    <w:rPr>
      <w:sz w:val="13"/>
      <w:vertAlign w:val="superscript"/>
    </w:rPr>
  </w:style>
  <w:style w:type="character" w:styleId="851">
    <w:name w:val="footnote reference"/>
    <w:pPr>
      <w:pBdr/>
      <w:spacing/>
      <w:ind/>
    </w:pPr>
    <w:rPr>
      <w:sz w:val="13"/>
      <w:vertAlign w:val="superscript"/>
    </w:rPr>
  </w:style>
  <w:style w:type="character" w:styleId="852">
    <w:name w:val="Internet Link"/>
    <w:uiPriority w:val="99"/>
    <w:qFormat/>
    <w:pPr>
      <w:pBdr/>
      <w:spacing/>
      <w:ind/>
    </w:pPr>
    <w:rPr>
      <w:color w:val="000080"/>
      <w:u w:val="single"/>
    </w:rPr>
  </w:style>
  <w:style w:type="character" w:styleId="853" w:customStyle="1">
    <w:name w:val="ls_Category"/>
    <w:qFormat/>
    <w:pPr>
      <w:pBdr/>
      <w:spacing/>
      <w:ind/>
    </w:pPr>
    <w:rPr>
      <w:smallCaps/>
    </w:rPr>
  </w:style>
  <w:style w:type="character" w:styleId="854" w:customStyle="1">
    <w:name w:val="Heading 4 Char"/>
    <w:basedOn w:val="849"/>
    <w:uiPriority w:val="9"/>
    <w:semiHidden/>
    <w:qFormat/>
    <w:pPr>
      <w:pBdr/>
      <w:spacing/>
      <w:ind/>
    </w:pPr>
    <w:rPr>
      <w:rFonts w:ascii="Calibri Light" w:hAnsi="Calibri Light" w:eastAsia="Arial" w:cs="Mangal" w:asciiTheme="majorHAnsi" w:hAnsiTheme="majorHAnsi" w:eastAsiaTheme="majorEastAsia"/>
      <w:i/>
      <w:iCs/>
      <w:color w:val="2e74b5" w:themeColor="accent1" w:themeShade="BF"/>
      <w:sz w:val="24"/>
      <w:szCs w:val="21"/>
      <w:lang w:val="en-US" w:eastAsia="hi-IN" w:bidi="hi-IN"/>
    </w:rPr>
  </w:style>
  <w:style w:type="character" w:styleId="855" w:customStyle="1">
    <w:name w:val="Footnote Text Char"/>
    <w:qFormat/>
    <w:pPr>
      <w:pBdr/>
      <w:spacing/>
      <w:ind/>
    </w:pPr>
    <w:rPr>
      <w:rFonts w:ascii="Times New Roman" w:hAnsi="Times New Roman" w:eastAsia="Droid Sans Fallback" w:cs="FreeSans"/>
      <w:sz w:val="20"/>
      <w:szCs w:val="20"/>
      <w:lang w:val="en-US" w:eastAsia="hi-IN" w:bidi="hi-IN"/>
    </w:rPr>
  </w:style>
  <w:style w:type="character" w:styleId="856">
    <w:name w:val="Strong"/>
    <w:uiPriority w:val="22"/>
    <w:qFormat/>
    <w:pPr>
      <w:pBdr/>
      <w:spacing/>
      <w:ind/>
    </w:pPr>
    <w:rPr>
      <w:b/>
      <w:bCs/>
    </w:rPr>
  </w:style>
  <w:style w:type="character" w:styleId="857" w:customStyle="1">
    <w:name w:val="st"/>
    <w:basedOn w:val="849"/>
    <w:qFormat/>
    <w:pPr>
      <w:pBdr/>
      <w:spacing/>
      <w:ind/>
    </w:pPr>
  </w:style>
  <w:style w:type="character" w:styleId="858">
    <w:name w:val="Emphasis"/>
    <w:qFormat/>
    <w:pPr>
      <w:pBdr/>
      <w:spacing/>
      <w:ind/>
    </w:pPr>
    <w:rPr>
      <w:i/>
      <w:iCs/>
    </w:rPr>
  </w:style>
  <w:style w:type="character" w:styleId="859">
    <w:name w:val="Unresolved Mention"/>
    <w:basedOn w:val="849"/>
    <w:uiPriority w:val="99"/>
    <w:semiHidden/>
    <w:unhideWhenUsed/>
    <w:qFormat/>
    <w:pPr>
      <w:pBdr/>
      <w:spacing/>
      <w:ind/>
    </w:pPr>
    <w:rPr>
      <w:color w:val="605e5c"/>
      <w:shd w:val="clear" w:color="auto" w:fill="e1dfdd"/>
    </w:rPr>
  </w:style>
  <w:style w:type="character" w:styleId="860" w:customStyle="1">
    <w:name w:val="Header Char"/>
    <w:basedOn w:val="849"/>
    <w:uiPriority w:val="99"/>
    <w:qFormat/>
    <w:pPr>
      <w:pBdr/>
      <w:spacing/>
      <w:ind/>
    </w:pPr>
    <w:rPr>
      <w:rFonts w:ascii="Times New Roman" w:hAnsi="Times New Roman" w:eastAsia="Droid Sans Fallback" w:cs="Mangal"/>
      <w:sz w:val="24"/>
      <w:szCs w:val="21"/>
      <w:lang w:eastAsia="hi-IN" w:bidi="hi-IN"/>
    </w:rPr>
  </w:style>
  <w:style w:type="character" w:styleId="861">
    <w:name w:val="Hyperlink"/>
    <w:pPr>
      <w:pBdr/>
      <w:spacing/>
      <w:ind/>
    </w:pPr>
    <w:rPr>
      <w:color w:val="000080"/>
      <w:u w:val="single"/>
    </w:rPr>
  </w:style>
  <w:style w:type="paragraph" w:styleId="862">
    <w:name w:val="Überschrift"/>
    <w:basedOn w:val="817"/>
    <w:next w:val="863"/>
    <w:qFormat/>
    <w:pPr>
      <w:keepNext w:val="true"/>
      <w:pBdr/>
      <w:spacing w:after="120" w:before="240"/>
      <w:ind/>
    </w:pPr>
    <w:rPr>
      <w:rFonts w:ascii="Liberation Sans" w:hAnsi="Liberation Sans" w:eastAsia="Noto Sans CJK SC" w:cs="Lohit Marathi"/>
      <w:sz w:val="28"/>
      <w:szCs w:val="28"/>
    </w:rPr>
  </w:style>
  <w:style w:type="paragraph" w:styleId="863">
    <w:name w:val="Body Text"/>
    <w:basedOn w:val="817"/>
    <w:pPr>
      <w:pBdr/>
      <w:spacing w:after="140" w:before="0" w:line="276" w:lineRule="auto"/>
      <w:ind/>
    </w:pPr>
  </w:style>
  <w:style w:type="paragraph" w:styleId="864">
    <w:name w:val="List"/>
    <w:basedOn w:val="863"/>
    <w:pPr>
      <w:pBdr/>
      <w:spacing/>
      <w:ind/>
    </w:pPr>
    <w:rPr>
      <w:rFonts w:cs="Lohit Marathi"/>
    </w:rPr>
  </w:style>
  <w:style w:type="paragraph" w:styleId="865">
    <w:name w:val="Caption"/>
    <w:basedOn w:val="817"/>
    <w:qFormat/>
    <w:pPr>
      <w:suppressLineNumbers w:val="true"/>
      <w:pBdr/>
      <w:spacing w:after="120" w:before="120"/>
      <w:ind/>
    </w:pPr>
    <w:rPr>
      <w:i/>
      <w:iCs/>
      <w:sz w:val="20"/>
      <w:szCs w:val="20"/>
    </w:rPr>
  </w:style>
  <w:style w:type="paragraph" w:styleId="866">
    <w:name w:val="Verzeichnis"/>
    <w:basedOn w:val="817"/>
    <w:qFormat/>
    <w:pPr>
      <w:suppressLineNumbers w:val="true"/>
      <w:pBdr/>
      <w:spacing/>
      <w:ind/>
    </w:pPr>
    <w:rPr>
      <w:rFonts w:cs="Lohit Marathi"/>
    </w:rPr>
  </w:style>
  <w:style w:type="paragraph" w:styleId="867">
    <w:name w:val="Subtitle"/>
    <w:basedOn w:val="817"/>
    <w:next w:val="817"/>
    <w:link w:val="836"/>
    <w:uiPriority w:val="11"/>
    <w:qFormat/>
    <w:pPr>
      <w:pBdr/>
      <w:spacing/>
      <w:ind/>
    </w:pPr>
    <w:rPr>
      <w:color w:val="595959" w:themeColor="text1" w:themeTint="A6"/>
      <w:spacing w:val="15"/>
      <w:sz w:val="28"/>
      <w:szCs w:val="28"/>
    </w:rPr>
  </w:style>
  <w:style w:type="paragraph" w:styleId="868">
    <w:name w:val="Intense Quote"/>
    <w:basedOn w:val="817"/>
    <w:next w:val="817"/>
    <w:link w:val="83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69">
    <w:name w:val="No Spacing"/>
    <w:basedOn w:val="817"/>
    <w:uiPriority w:val="1"/>
    <w:qFormat/>
    <w:pPr>
      <w:pBdr/>
      <w:spacing w:after="0" w:before="0" w:line="240" w:lineRule="auto"/>
      <w:ind/>
    </w:pPr>
  </w:style>
  <w:style w:type="paragraph" w:styleId="870">
    <w:name w:val="endnote text"/>
    <w:basedOn w:val="817"/>
    <w:link w:val="845"/>
    <w:uiPriority w:val="99"/>
    <w:semiHidden/>
    <w:unhideWhenUsed/>
    <w:pPr>
      <w:pBdr/>
      <w:spacing w:after="0" w:before="0" w:line="240" w:lineRule="auto"/>
      <w:ind/>
    </w:pPr>
    <w:rPr>
      <w:sz w:val="20"/>
      <w:szCs w:val="20"/>
    </w:rPr>
  </w:style>
  <w:style w:type="paragraph" w:styleId="871">
    <w:name w:val="toc 4"/>
    <w:basedOn w:val="817"/>
    <w:next w:val="817"/>
    <w:uiPriority w:val="39"/>
    <w:unhideWhenUsed/>
    <w:pPr>
      <w:pBdr/>
      <w:spacing w:after="100" w:before="0"/>
      <w:ind w:left="660"/>
    </w:pPr>
  </w:style>
  <w:style w:type="paragraph" w:styleId="872">
    <w:name w:val="toc 5"/>
    <w:basedOn w:val="817"/>
    <w:next w:val="817"/>
    <w:uiPriority w:val="39"/>
    <w:unhideWhenUsed/>
    <w:pPr>
      <w:pBdr/>
      <w:spacing w:after="100" w:before="0"/>
      <w:ind w:left="880"/>
    </w:pPr>
  </w:style>
  <w:style w:type="paragraph" w:styleId="873">
    <w:name w:val="toc 6"/>
    <w:basedOn w:val="817"/>
    <w:next w:val="817"/>
    <w:uiPriority w:val="39"/>
    <w:unhideWhenUsed/>
    <w:pPr>
      <w:pBdr/>
      <w:spacing w:after="100" w:before="0"/>
      <w:ind w:left="1100"/>
    </w:pPr>
  </w:style>
  <w:style w:type="paragraph" w:styleId="874">
    <w:name w:val="toc 7"/>
    <w:basedOn w:val="817"/>
    <w:next w:val="817"/>
    <w:uiPriority w:val="39"/>
    <w:unhideWhenUsed/>
    <w:pPr>
      <w:pBdr/>
      <w:spacing w:after="100" w:before="0"/>
      <w:ind w:left="1320"/>
    </w:pPr>
  </w:style>
  <w:style w:type="paragraph" w:styleId="875">
    <w:name w:val="toc 8"/>
    <w:basedOn w:val="817"/>
    <w:next w:val="817"/>
    <w:uiPriority w:val="39"/>
    <w:unhideWhenUsed/>
    <w:pPr>
      <w:pBdr/>
      <w:spacing w:after="100" w:before="0"/>
      <w:ind w:left="1540"/>
    </w:pPr>
  </w:style>
  <w:style w:type="paragraph" w:styleId="876">
    <w:name w:val="toc 9"/>
    <w:basedOn w:val="817"/>
    <w:next w:val="817"/>
    <w:uiPriority w:val="39"/>
    <w:unhideWhenUsed/>
    <w:pPr>
      <w:pBdr/>
      <w:spacing w:after="100" w:before="0"/>
      <w:ind w:left="1760"/>
    </w:pPr>
  </w:style>
  <w:style w:type="paragraph" w:styleId="877">
    <w:name w:val="table of figures"/>
    <w:basedOn w:val="817"/>
    <w:next w:val="817"/>
    <w:uiPriority w:val="99"/>
    <w:unhideWhenUsed/>
    <w:pPr>
      <w:pBdr/>
      <w:spacing w:after="0" w:afterAutospacing="0" w:before="0"/>
      <w:ind/>
    </w:pPr>
  </w:style>
  <w:style w:type="paragraph" w:styleId="878" w:customStyle="1">
    <w:name w:val="ls_Enumerated"/>
    <w:basedOn w:val="817"/>
    <w:qFormat/>
    <w:pPr>
      <w:keepNext w:val="false"/>
      <w:numPr>
        <w:ilvl w:val="0"/>
        <w:numId w:val="4"/>
      </w:numPr>
      <w:pBdr/>
      <w:spacing w:after="140" w:before="0" w:line="288" w:lineRule="auto"/>
      <w:ind/>
    </w:pPr>
  </w:style>
  <w:style w:type="paragraph" w:styleId="879">
    <w:name w:val="Quote"/>
    <w:basedOn w:val="817"/>
    <w:qFormat/>
    <w:pPr>
      <w:pBdr/>
      <w:spacing w:after="283" w:before="0"/>
      <w:ind w:right="567" w:left="567"/>
    </w:pPr>
  </w:style>
  <w:style w:type="paragraph" w:styleId="880">
    <w:name w:val="Title"/>
    <w:basedOn w:val="817"/>
    <w:next w:val="817"/>
    <w:qFormat/>
    <w:pPr>
      <w:pBdr/>
      <w:spacing w:after="120" w:before="240"/>
      <w:ind/>
      <w:jc w:val="center"/>
    </w:pPr>
    <w:rPr>
      <w:rFonts w:ascii="Arial" w:hAnsi="Arial"/>
      <w:b/>
      <w:bCs/>
      <w:sz w:val="56"/>
      <w:szCs w:val="56"/>
    </w:rPr>
  </w:style>
  <w:style w:type="paragraph" w:styleId="881">
    <w:name w:val="Kopf-/Fußzeile"/>
    <w:basedOn w:val="817"/>
    <w:qFormat/>
    <w:pPr>
      <w:pBdr/>
      <w:spacing/>
      <w:ind/>
    </w:pPr>
  </w:style>
  <w:style w:type="paragraph" w:styleId="882">
    <w:name w:val="Footer"/>
    <w:basedOn w:val="817"/>
    <w:pPr>
      <w:suppressLineNumbers w:val="true"/>
      <w:pBdr/>
      <w:tabs>
        <w:tab w:val="clear" w:leader="none" w:pos="643"/>
        <w:tab w:val="center" w:leader="none" w:pos="4819"/>
        <w:tab w:val="right" w:leader="none" w:pos="9638"/>
      </w:tabs>
      <w:spacing/>
      <w:ind/>
    </w:pPr>
  </w:style>
  <w:style w:type="paragraph" w:styleId="883" w:customStyle="1">
    <w:name w:val="ls_BulletList"/>
    <w:qFormat/>
    <w:pPr>
      <w:widowControl w:val="true"/>
      <w:numPr>
        <w:ilvl w:val="0"/>
        <w:numId w:val="3"/>
      </w:numPr>
      <w:pBdr/>
      <w:bidi w:val="false"/>
      <w:spacing w:after="160" w:afterAutospacing="0" w:before="0" w:beforeAutospacing="0" w:line="259" w:lineRule="auto"/>
      <w:ind/>
      <w:jc w:val="left"/>
    </w:pPr>
    <w:rPr>
      <w:rFonts w:ascii="Times New Roman" w:hAnsi="Times New Roman" w:eastAsia="Droid Sans Fallback" w:cs="FreeSans"/>
      <w:color w:val="auto"/>
      <w:sz w:val="24"/>
      <w:szCs w:val="24"/>
      <w:lang w:val="en-US" w:eastAsia="hi-IN" w:bidi="hi-IN"/>
    </w:rPr>
  </w:style>
  <w:style w:type="paragraph" w:styleId="884" w:customStyle="1">
    <w:name w:val="ls_Table"/>
    <w:basedOn w:val="885"/>
    <w:qFormat/>
    <w:pPr>
      <w:suppressLineNumbers w:val="true"/>
      <w:pBdr/>
      <w:spacing w:after="0" w:before="29"/>
      <w:ind/>
    </w:pPr>
    <w:rPr>
      <w:b w:val="0"/>
    </w:rPr>
  </w:style>
  <w:style w:type="paragraph" w:styleId="885" w:customStyle="1">
    <w:name w:val="ls_TableHeading"/>
    <w:basedOn w:val="817"/>
    <w:qFormat/>
    <w:pPr>
      <w:keepNext w:val="false"/>
      <w:pBdr/>
      <w:spacing w:line="276" w:lineRule="auto"/>
      <w:ind/>
    </w:pPr>
    <w:rPr>
      <w:b/>
    </w:rPr>
  </w:style>
  <w:style w:type="paragraph" w:styleId="886">
    <w:name w:val="footnote text"/>
    <w:basedOn w:val="817"/>
    <w:link w:val="855"/>
    <w:pPr>
      <w:suppressLineNumbers w:val="true"/>
      <w:pBdr/>
      <w:spacing/>
      <w:ind w:hanging="339" w:left="339"/>
    </w:pPr>
    <w:rPr>
      <w:sz w:val="20"/>
      <w:szCs w:val="20"/>
    </w:rPr>
  </w:style>
  <w:style w:type="paragraph" w:styleId="887" w:customStyle="1">
    <w:name w:val="ls_Abstract"/>
    <w:basedOn w:val="817"/>
    <w:qFormat/>
    <w:pPr>
      <w:pBdr/>
      <w:spacing/>
      <w:ind w:right="720" w:left="720"/>
      <w:jc w:val="both"/>
    </w:pPr>
    <w:rPr>
      <w:i/>
    </w:rPr>
  </w:style>
  <w:style w:type="paragraph" w:styleId="888" w:customStyle="1">
    <w:name w:val="ls_ConversationTranscript"/>
    <w:basedOn w:val="817"/>
    <w:qFormat/>
    <w:pPr>
      <w:pBdr/>
      <w:spacing w:after="140" w:before="0" w:line="288" w:lineRule="auto"/>
      <w:ind/>
    </w:pPr>
    <w:rPr>
      <w:rFonts w:ascii="Courier New" w:hAnsi="Courier New"/>
    </w:rPr>
  </w:style>
  <w:style w:type="paragraph" w:styleId="889" w:customStyle="1">
    <w:name w:val="ls_Sourceline"/>
    <w:next w:val="890"/>
    <w:qFormat/>
    <w:pPr>
      <w:keepNext w:val="true"/>
      <w:widowControl w:val="true"/>
      <w:pBdr/>
      <w:tabs>
        <w:tab w:val="clear" w:leader="none" w:pos="643"/>
        <w:tab w:val="left" w:leader="none" w:pos="1077"/>
      </w:tabs>
      <w:bidi w:val="false"/>
      <w:spacing w:after="0" w:afterAutospacing="0" w:before="0" w:beforeAutospacing="0" w:line="240" w:lineRule="auto"/>
      <w:ind w:left="1077"/>
      <w:jc w:val="left"/>
    </w:pPr>
    <w:rPr>
      <w:rFonts w:ascii="Times New Roman" w:hAnsi="Times New Roman" w:eastAsia="Droid Sans Fallback" w:cs="FreeSans"/>
      <w:i/>
      <w:color w:val="auto"/>
      <w:sz w:val="24"/>
      <w:szCs w:val="24"/>
      <w:lang w:val="en-US" w:eastAsia="hi-IN" w:bidi="hi-IN"/>
    </w:rPr>
  </w:style>
  <w:style w:type="paragraph" w:styleId="890" w:customStyle="1">
    <w:name w:val="ls_IMT"/>
    <w:basedOn w:val="889"/>
    <w:next w:val="891"/>
    <w:qFormat/>
    <w:pPr>
      <w:pBdr/>
      <w:spacing/>
      <w:ind/>
    </w:pPr>
    <w:rPr>
      <w:i w:val="0"/>
    </w:rPr>
  </w:style>
  <w:style w:type="paragraph" w:styleId="891" w:customStyle="1">
    <w:name w:val="ls_Translation"/>
    <w:next w:val="892"/>
    <w:qFormat/>
    <w:pPr>
      <w:keepNext w:val="true"/>
      <w:widowControl w:val="true"/>
      <w:pBdr/>
      <w:bidi w:val="false"/>
      <w:spacing w:after="160" w:afterAutospacing="0" w:before="0" w:beforeAutospacing="0" w:line="100" w:lineRule="atLeast"/>
      <w:ind w:left="1077"/>
      <w:jc w:val="left"/>
    </w:pPr>
    <w:rPr>
      <w:rFonts w:ascii="Times New Roman" w:hAnsi="Times New Roman" w:eastAsia="Droid Sans Fallback" w:cs="FreeSans"/>
      <w:iCs/>
      <w:color w:val="auto"/>
      <w:sz w:val="24"/>
      <w:szCs w:val="24"/>
      <w:lang w:val="en-US" w:eastAsia="hi-IN" w:bidi="hi-IN"/>
    </w:rPr>
  </w:style>
  <w:style w:type="paragraph" w:styleId="892" w:customStyle="1">
    <w:name w:val="ls_Langinfo"/>
    <w:next w:val="889"/>
    <w:qFormat/>
    <w:pPr>
      <w:keepNext w:val="true"/>
      <w:widowControl w:val="true"/>
      <w:numPr>
        <w:ilvl w:val="0"/>
        <w:numId w:val="2"/>
      </w:numPr>
      <w:pBdr/>
      <w:bidi w:val="false"/>
      <w:spacing w:after="0" w:afterAutospacing="0" w:before="0" w:beforeAutospacing="0" w:line="240" w:lineRule="auto"/>
      <w:ind w:firstLine="0" w:left="113"/>
      <w:jc w:val="left"/>
    </w:pPr>
    <w:rPr>
      <w:rFonts w:ascii="Times New Roman" w:hAnsi="Times New Roman" w:eastAsia="Times New Roman" w:cs="Times New Roman"/>
      <w:color w:val="auto"/>
      <w:sz w:val="24"/>
      <w:szCs w:val="20"/>
      <w:lang w:val="de-DE" w:eastAsia="de-DE" w:bidi="ar-SA"/>
    </w:rPr>
  </w:style>
  <w:style w:type="paragraph" w:styleId="893" w:customStyle="1">
    <w:name w:val="ls_Translation_Subexample"/>
    <w:basedOn w:val="891"/>
    <w:next w:val="892"/>
    <w:qFormat/>
    <w:pPr>
      <w:pBdr/>
      <w:spacing/>
      <w:ind/>
    </w:pPr>
  </w:style>
  <w:style w:type="paragraph" w:styleId="894" w:customStyle="1">
    <w:name w:val="ls_Section1"/>
    <w:basedOn w:val="818"/>
    <w:next w:val="817"/>
    <w:qFormat/>
    <w:pPr>
      <w:keepNext w:val="false"/>
      <w:numPr>
        <w:ilvl w:val="0"/>
        <w:numId w:val="5"/>
      </w:numPr>
      <w:pBdr/>
      <w:spacing/>
      <w:ind w:left="360"/>
    </w:pPr>
  </w:style>
  <w:style w:type="paragraph" w:styleId="895" w:customStyle="1">
    <w:name w:val="ls_Section2"/>
    <w:basedOn w:val="819"/>
    <w:next w:val="817"/>
    <w:qFormat/>
    <w:pPr>
      <w:numPr>
        <w:ilvl w:val="1"/>
        <w:numId w:val="5"/>
      </w:numPr>
      <w:pBdr/>
      <w:spacing/>
      <w:ind w:left="360"/>
    </w:pPr>
  </w:style>
  <w:style w:type="paragraph" w:styleId="896" w:customStyle="1">
    <w:name w:val="ls_Section3"/>
    <w:basedOn w:val="820"/>
    <w:next w:val="817"/>
    <w:qFormat/>
    <w:pPr>
      <w:numPr>
        <w:ilvl w:val="2"/>
        <w:numId w:val="5"/>
      </w:numPr>
      <w:pBdr/>
      <w:spacing/>
      <w:ind w:left="823"/>
    </w:pPr>
  </w:style>
  <w:style w:type="paragraph" w:styleId="897" w:customStyle="1">
    <w:name w:val="ls_Section4"/>
    <w:basedOn w:val="896"/>
    <w:next w:val="817"/>
    <w:qFormat/>
    <w:pPr>
      <w:pBdr/>
      <w:spacing/>
      <w:ind w:left="360"/>
    </w:pPr>
    <w:rPr>
      <w:sz w:val="24"/>
    </w:rPr>
  </w:style>
  <w:style w:type="paragraph" w:styleId="898" w:customStyle="1">
    <w:name w:val="BDÜ - List Punkt"/>
    <w:basedOn w:val="817"/>
    <w:qFormat/>
    <w:pPr>
      <w:keepNext w:val="false"/>
      <w:widowControl w:val="true"/>
      <w:numPr>
        <w:ilvl w:val="0"/>
        <w:numId w:val="6"/>
      </w:numPr>
      <w:pBdr/>
      <w:tabs>
        <w:tab w:val="left" w:leader="none" w:pos="284"/>
        <w:tab w:val="clear" w:leader="none" w:pos="643"/>
      </w:tabs>
      <w:spacing w:after="140" w:before="0" w:line="240" w:lineRule="auto"/>
      <w:ind/>
      <w:jc w:val="both"/>
    </w:pPr>
    <w:rPr>
      <w:rFonts w:ascii="Arial" w:hAnsi="Arial" w:eastAsia="Times New Roman" w:cs="Times New Roman"/>
      <w:sz w:val="28"/>
      <w:szCs w:val="20"/>
      <w:lang w:eastAsia="de-DE" w:bidi="ar-SA"/>
    </w:rPr>
  </w:style>
  <w:style w:type="paragraph" w:styleId="899" w:customStyle="1">
    <w:name w:val="BDÜ - Fließtext EN"/>
    <w:basedOn w:val="817"/>
    <w:qFormat/>
    <w:pPr>
      <w:keepNext w:val="false"/>
      <w:widowControl w:val="true"/>
      <w:pBdr/>
      <w:spacing w:after="280" w:before="280" w:line="240" w:lineRule="auto"/>
      <w:ind/>
      <w:jc w:val="both"/>
    </w:pPr>
    <w:rPr>
      <w:rFonts w:ascii="Arial" w:hAnsi="Arial" w:eastAsia="Times New Roman" w:cs="Times New Roman"/>
      <w:sz w:val="28"/>
      <w:szCs w:val="20"/>
      <w:lang w:val="en-GB" w:eastAsia="de-DE" w:bidi="ar-SA"/>
    </w:rPr>
  </w:style>
  <w:style w:type="paragraph" w:styleId="900" w:customStyle="1">
    <w:name w:val="BDÜ - List Punkt EN"/>
    <w:basedOn w:val="898"/>
    <w:qFormat/>
    <w:pPr>
      <w:pBdr/>
      <w:spacing/>
      <w:ind/>
    </w:pPr>
    <w:rPr>
      <w:lang w:val="en-GB"/>
    </w:rPr>
  </w:style>
  <w:style w:type="paragraph" w:styleId="901">
    <w:name w:val="List Paragraph"/>
    <w:basedOn w:val="817"/>
    <w:uiPriority w:val="34"/>
    <w:qFormat/>
    <w:pPr>
      <w:pBdr/>
      <w:spacing w:after="160" w:before="0"/>
      <w:ind w:left="720"/>
      <w:contextualSpacing w:val="true"/>
    </w:pPr>
    <w:rPr>
      <w:rFonts w:cs="Mangal"/>
      <w:szCs w:val="21"/>
    </w:rPr>
  </w:style>
  <w:style w:type="paragraph" w:styleId="902">
    <w:name w:val="Bibliography"/>
    <w:basedOn w:val="817"/>
    <w:next w:val="817"/>
    <w:uiPriority w:val="37"/>
    <w:unhideWhenUsed/>
    <w:qFormat/>
    <w:pPr>
      <w:pBdr/>
      <w:spacing w:after="240" w:before="0" w:line="240" w:lineRule="atLeast"/>
      <w:ind/>
    </w:pPr>
    <w:rPr>
      <w:rFonts w:cs="Mangal"/>
      <w:szCs w:val="21"/>
    </w:rPr>
  </w:style>
  <w:style w:type="paragraph" w:styleId="903">
    <w:name w:val="index heading"/>
    <w:basedOn w:val="862"/>
    <w:pPr>
      <w:pBdr/>
      <w:spacing/>
      <w:ind/>
    </w:pPr>
  </w:style>
  <w:style w:type="paragraph" w:styleId="904">
    <w:name w:val="TOC Heading"/>
    <w:basedOn w:val="818"/>
    <w:next w:val="817"/>
    <w:uiPriority w:val="39"/>
    <w:unhideWhenUsed/>
    <w:qFormat/>
    <w:pPr>
      <w:keepLines w:val="true"/>
      <w:widowControl w:val="true"/>
      <w:numPr>
        <w:ilvl w:val="0"/>
        <w:numId w:val="0"/>
      </w:numPr>
      <w:pBdr/>
      <w:spacing w:after="0" w:before="240" w:line="259" w:lineRule="auto"/>
      <w:ind/>
      <w:outlineLvl w:val="9"/>
    </w:pPr>
    <w:rPr>
      <w:rFonts w:ascii="Calibri Light" w:hAnsi="Calibri Light" w:eastAsia="Arial" w:cs="Arial" w:asciiTheme="majorHAnsi" w:hAnsiTheme="majorHAnsi" w:eastAsiaTheme="majorEastAsia" w:cstheme="majorBidi"/>
      <w:b w:val="0"/>
      <w:bCs w:val="0"/>
      <w:color w:val="2e74b5" w:themeColor="accent1" w:themeShade="BF"/>
      <w:sz w:val="32"/>
      <w:szCs w:val="32"/>
      <w:lang w:eastAsia="de-DE" w:bidi="ar-SA"/>
    </w:rPr>
  </w:style>
  <w:style w:type="paragraph" w:styleId="905">
    <w:name w:val="toc 1"/>
    <w:basedOn w:val="817"/>
    <w:next w:val="817"/>
    <w:uiPriority w:val="39"/>
    <w:unhideWhenUsed/>
    <w:pPr>
      <w:pBdr/>
      <w:spacing w:after="100" w:before="0"/>
      <w:ind/>
    </w:pPr>
    <w:rPr>
      <w:rFonts w:cs="Mangal"/>
      <w:szCs w:val="21"/>
    </w:rPr>
  </w:style>
  <w:style w:type="paragraph" w:styleId="906">
    <w:name w:val="toc 2"/>
    <w:basedOn w:val="817"/>
    <w:next w:val="817"/>
    <w:uiPriority w:val="39"/>
    <w:unhideWhenUsed/>
    <w:pPr>
      <w:pBdr/>
      <w:spacing w:after="100" w:before="0"/>
      <w:ind w:left="240"/>
    </w:pPr>
    <w:rPr>
      <w:rFonts w:cs="Mangal"/>
      <w:szCs w:val="21"/>
    </w:rPr>
  </w:style>
  <w:style w:type="paragraph" w:styleId="907">
    <w:name w:val="toc 3"/>
    <w:basedOn w:val="817"/>
    <w:next w:val="817"/>
    <w:uiPriority w:val="39"/>
    <w:unhideWhenUsed/>
    <w:pPr>
      <w:pBdr/>
      <w:spacing w:after="100" w:before="0"/>
      <w:ind w:left="480"/>
    </w:pPr>
    <w:rPr>
      <w:rFonts w:cs="Mangal"/>
      <w:szCs w:val="21"/>
    </w:rPr>
  </w:style>
  <w:style w:type="paragraph" w:styleId="908">
    <w:name w:val="Header"/>
    <w:basedOn w:val="817"/>
    <w:link w:val="860"/>
    <w:uiPriority w:val="99"/>
    <w:unhideWhenUsed/>
    <w:pPr>
      <w:pBdr/>
      <w:tabs>
        <w:tab w:val="clear" w:leader="none" w:pos="643"/>
        <w:tab w:val="center" w:leader="none" w:pos="4536"/>
        <w:tab w:val="right" w:leader="none" w:pos="9072"/>
      </w:tabs>
      <w:spacing w:after="0" w:before="0" w:line="240" w:lineRule="auto"/>
      <w:ind/>
    </w:pPr>
    <w:rPr>
      <w:rFonts w:cs="Mangal"/>
      <w:szCs w:val="21"/>
    </w:rPr>
  </w:style>
  <w:style w:type="numbering" w:styleId="909">
    <w:name w:val="Keine Liste"/>
    <w:uiPriority w:val="99"/>
    <w:semiHidden/>
    <w:unhideWhenUsed/>
    <w:qFormat/>
    <w:pPr>
      <w:pBdr/>
      <w:spacing/>
      <w:ind/>
    </w:pPr>
  </w:style>
  <w:style w:type="table" w:styleId="910">
    <w:name w:val="Table Grid"/>
    <w:basedOn w:val="103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Table Grid Light"/>
    <w:basedOn w:val="1036"/>
    <w:uiPriority w:val="59"/>
    <w:pPr>
      <w:pBdr/>
      <w:spacing w:after="0" w:line="240" w:lineRule="auto"/>
      <w:ind/>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Plain Table 1"/>
    <w:basedOn w:val="1036"/>
    <w:uiPriority w:val="59"/>
    <w:pPr>
      <w:pBdr/>
      <w:spacing w:after="0" w:line="240" w:lineRule="auto"/>
      <w:ind/>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Plain Table 2"/>
    <w:basedOn w:val="103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Plain Table 3"/>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Plain Table 4"/>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Plain Table 5"/>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1 Light"/>
    <w:basedOn w:val="1036"/>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1 Light - Accent 1"/>
    <w:basedOn w:val="1036"/>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1 Light - Accent 2"/>
    <w:basedOn w:val="1036"/>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1 Light - Accent 3"/>
    <w:basedOn w:val="1036"/>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1 Light - Accent 4"/>
    <w:basedOn w:val="1036"/>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1 Light - Accent 5"/>
    <w:basedOn w:val="1036"/>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1 Light - Accent 6"/>
    <w:basedOn w:val="1036"/>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2"/>
    <w:basedOn w:val="1036"/>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2 - Accent 1"/>
    <w:basedOn w:val="1036"/>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eebf6" w:themeFill="accent1" w:themeFillTint="34"/>
        <w:tcBorders/>
      </w:tcPr>
    </w:tblStylePr>
    <w:tblStylePr w:type="band1Vert">
      <w:rPr>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2 - Accent 2"/>
    <w:basedOn w:val="1036"/>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2 - Accent 3"/>
    <w:basedOn w:val="1036"/>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 Accent 4"/>
    <w:basedOn w:val="1036"/>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2 - Accent 5"/>
    <w:basedOn w:val="1036"/>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2 - Accent 6"/>
    <w:basedOn w:val="1036"/>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3"/>
    <w:basedOn w:val="1036"/>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3 - Accent 1"/>
    <w:basedOn w:val="1036"/>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eebf6" w:themeFill="accent1" w:themeFillTint="34"/>
        <w:tcBorders/>
      </w:tcPr>
    </w:tblStylePr>
    <w:tblStylePr w:type="band1Vert">
      <w:rPr>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3 - Accent 2"/>
    <w:basedOn w:val="1036"/>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3 - Accent 3"/>
    <w:basedOn w:val="1036"/>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 Accent 4"/>
    <w:basedOn w:val="1036"/>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3 - Accent 5"/>
    <w:basedOn w:val="1036"/>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 Accent 6"/>
    <w:basedOn w:val="1036"/>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4"/>
    <w:basedOn w:val="1036"/>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4 - Accent 1"/>
    <w:basedOn w:val="1036"/>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febf7" w:themeFill="accent1" w:themeFillTint="32"/>
        <w:tcBorders/>
      </w:tcPr>
    </w:tblStylePr>
    <w:tblStylePr w:type="band1Vert">
      <w:rPr>
        <w:sz w:val="22"/>
      </w:rPr>
      <w:pPr>
        <w:pBdr/>
        <w:spacing/>
        <w:ind/>
      </w:pPr>
      <w:tblPr>
        <w:tblBorders/>
      </w:tblPr>
      <w:tcPr>
        <w:shd w:val="clear" w:color="ffffff"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9a3d8"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4 - Accent 2"/>
    <w:basedOn w:val="1036"/>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4 - Accent 3"/>
    <w:basedOn w:val="1036"/>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 Accent 4"/>
    <w:basedOn w:val="1036"/>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4 - Accent 5"/>
    <w:basedOn w:val="1036"/>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 Accent 6"/>
    <w:basedOn w:val="1036"/>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5 Dark"/>
    <w:basedOn w:val="103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Accent 1"/>
    <w:basedOn w:val="103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1" w:themeFillTint="75"/>
        <w:tcBorders/>
      </w:tcPr>
    </w:tblStylePr>
    <w:tblStylePr w:type="band1Vert">
      <w:pPr>
        <w:pBdr/>
        <w:spacing/>
        <w:ind/>
      </w:pPr>
      <w:tblPr>
        <w:tblBorders/>
      </w:tblPr>
      <w:tcPr>
        <w:shd w:val="clear" w:color="ffffff"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1"/>
        <w:tcBorders/>
      </w:tcPr>
    </w:tblStylePr>
    <w:tblStylePr w:type="firstRow">
      <w:rPr>
        <w:b/>
        <w:sz w:val="22"/>
      </w:rPr>
      <w:pPr>
        <w:pBdr/>
        <w:spacing/>
        <w:ind/>
      </w:pPr>
      <w:tblPr>
        <w:tblBorders/>
      </w:tblPr>
      <w:tcPr>
        <w:shd w:val="clear" w:color="ffffff" w:fill="5b9bd5" w:themeFill="accent1"/>
        <w:tcBorders/>
      </w:tcPr>
    </w:tblStylePr>
    <w:tblStylePr w:type="lastCol">
      <w:rPr>
        <w:b/>
        <w:sz w:val="22"/>
      </w:rPr>
      <w:pPr>
        <w:pBdr/>
        <w:spacing/>
        <w:ind/>
      </w:pPr>
      <w:tblPr>
        <w:tblBorders/>
      </w:tblPr>
      <w:tcPr>
        <w:shd w:val="clear" w:color="ffffff" w:fill="5b9bd5" w:themeFill="accent1"/>
        <w:tcBorders/>
      </w:tcPr>
    </w:tblStylePr>
    <w:tblStylePr w:type="lastRow">
      <w:rPr>
        <w:b/>
        <w:sz w:val="22"/>
      </w:rPr>
      <w:pPr>
        <w:pBdr/>
        <w:spacing/>
        <w:ind/>
      </w:pPr>
      <w:tblPr>
        <w:tblBorders/>
      </w:tblPr>
      <w:tcPr>
        <w:shd w:val="clear" w:color="ffffff"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5 Dark - Accent 2"/>
    <w:basedOn w:val="103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5 Dark - Accent 3"/>
    <w:basedOn w:val="103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Accent 4"/>
    <w:basedOn w:val="103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5 Dark - Accent 5"/>
    <w:basedOn w:val="103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5" w:themeFillTint="75"/>
        <w:tcBorders/>
      </w:tcPr>
    </w:tblStylePr>
    <w:tblStylePr w:type="band1Vert">
      <w:pPr>
        <w:pBdr/>
        <w:spacing/>
        <w:ind/>
      </w:pPr>
      <w:tblPr>
        <w:tblBorders/>
      </w:tblPr>
      <w:tcPr>
        <w:shd w:val="clear" w:color="ffffff"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5"/>
        <w:tcBorders/>
      </w:tcPr>
    </w:tblStylePr>
    <w:tblStylePr w:type="firstRow">
      <w:rPr>
        <w:b/>
        <w:sz w:val="22"/>
      </w:rPr>
      <w:pPr>
        <w:pBdr/>
        <w:spacing/>
        <w:ind/>
      </w:pPr>
      <w:tblPr>
        <w:tblBorders/>
      </w:tblPr>
      <w:tcPr>
        <w:shd w:val="clear" w:color="ffffff" w:fill="4472c4" w:themeFill="accent5"/>
        <w:tcBorders/>
      </w:tcPr>
    </w:tblStylePr>
    <w:tblStylePr w:type="lastCol">
      <w:rPr>
        <w:b/>
        <w:sz w:val="22"/>
      </w:rPr>
      <w:pPr>
        <w:pBdr/>
        <w:spacing/>
        <w:ind/>
      </w:pPr>
      <w:tblPr>
        <w:tblBorders/>
      </w:tblPr>
      <w:tcPr>
        <w:shd w:val="clear" w:color="ffffff" w:fill="4472c4" w:themeFill="accent5"/>
        <w:tcBorders/>
      </w:tcPr>
    </w:tblStylePr>
    <w:tblStylePr w:type="lastRow">
      <w:rPr>
        <w:b/>
        <w:sz w:val="22"/>
      </w:rPr>
      <w:pPr>
        <w:pBdr/>
        <w:spacing/>
        <w:ind/>
      </w:pPr>
      <w:tblPr>
        <w:tblBorders/>
      </w:tblPr>
      <w:tcPr>
        <w:shd w:val="clear" w:color="ffffff"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 Accent 6"/>
    <w:basedOn w:val="103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6 Colorful"/>
    <w:basedOn w:val="1036"/>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53">
    <w:name w:val="Grid Table 6 Colorful - Accent 1"/>
    <w:basedOn w:val="1036"/>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07abd" w:themeColor="accent1" w:themeTint="80" w:themeShade="95"/>
        <w:sz w:val="22"/>
      </w:rPr>
      <w:pPr>
        <w:pBdr/>
        <w:spacing/>
        <w:ind/>
      </w:pPr>
      <w:tblPr>
        <w:tblBorders/>
      </w:tblPr>
      <w:tcPr>
        <w:tcBorders/>
      </w:tcPr>
    </w:tblStylePr>
  </w:style>
  <w:style w:type="table" w:styleId="954">
    <w:name w:val="Grid Table 6 Colorful - Accent 2"/>
    <w:basedOn w:val="1036"/>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a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a5d12" w:themeColor="accent2" w:themeTint="97" w:themeShade="95"/>
        <w:sz w:val="22"/>
      </w:rPr>
      <w:pPr>
        <w:pBdr/>
        <w:spacing/>
        <w:ind/>
      </w:pPr>
      <w:tblPr>
        <w:tblBorders/>
      </w:tblPr>
      <w:tcPr>
        <w:tcBorders/>
      </w:tcPr>
    </w:tblStylePr>
  </w:style>
  <w:style w:type="table" w:styleId="955">
    <w:name w:val="Grid Table 6 Colorful - Accent 3"/>
    <w:basedOn w:val="1036"/>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606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606060" w:themeColor="accent3" w:themeTint="FE" w:themeShade="95"/>
        <w:sz w:val="22"/>
      </w:rPr>
      <w:pPr>
        <w:pBdr/>
        <w:spacing/>
        <w:ind/>
      </w:pPr>
      <w:tblPr>
        <w:tblBorders/>
      </w:tblPr>
      <w:tcPr>
        <w:tcBorders/>
      </w:tcPr>
    </w:tblStylePr>
  </w:style>
  <w:style w:type="table" w:styleId="956">
    <w:name w:val="Grid Table 6 Colorful - Accent 4"/>
    <w:basedOn w:val="1036"/>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957">
    <w:name w:val="Grid Table 6 Colorful - Accent 5"/>
    <w:basedOn w:val="1036"/>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5" w:themeShade="95"/>
        <w:sz w:val="22"/>
      </w:rPr>
      <w:pPr>
        <w:pBdr/>
        <w:spacing/>
        <w:ind/>
      </w:pPr>
      <w:tblPr>
        <w:tblBorders/>
      </w:tblPr>
      <w:tcPr>
        <w:tcBorders/>
      </w:tcPr>
    </w:tblStylePr>
  </w:style>
  <w:style w:type="table" w:styleId="958">
    <w:name w:val="Grid Table 6 Colorful - Accent 6"/>
    <w:basedOn w:val="1036"/>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254275"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5" w:themeShade="95"/>
        <w:sz w:val="22"/>
      </w:rPr>
      <w:pPr>
        <w:pBdr/>
        <w:spacing/>
        <w:ind/>
      </w:pPr>
      <w:tblPr>
        <w:tblBorders/>
      </w:tblPr>
      <w:tcPr>
        <w:tcBorders/>
      </w:tcPr>
    </w:tblStylePr>
  </w:style>
  <w:style w:type="table" w:styleId="959">
    <w:name w:val="Grid Table 7 Colorful"/>
    <w:basedOn w:val="1036"/>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 Accent 1"/>
    <w:basedOn w:val="1036"/>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07abd"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07abd"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07abd"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 Accent 2"/>
    <w:basedOn w:val="1036"/>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a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a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a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a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7 Colorful - Accent 3"/>
    <w:basedOn w:val="1036"/>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606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6060"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6060"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6060"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7 Colorful - Accent 4"/>
    <w:basedOn w:val="1036"/>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7 Colorful - Accent 5"/>
    <w:basedOn w:val="1036"/>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54275"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54275"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54275"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7 Colorful - Accent 6"/>
    <w:basedOn w:val="1036"/>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w:basedOn w:val="10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 Accent 1"/>
    <w:basedOn w:val="10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1 Light - Accent 2"/>
    <w:basedOn w:val="10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1 Light - Accent 3"/>
    <w:basedOn w:val="10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 Accent 4"/>
    <w:basedOn w:val="10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1 Light - Accent 5"/>
    <w:basedOn w:val="10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1 Light - Accent 6"/>
    <w:basedOn w:val="10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w:basedOn w:val="1036"/>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 Accent 1"/>
    <w:basedOn w:val="1036"/>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6e6f4" w:themeFill="accent1" w:themeFillTint="40"/>
        <w:tcBorders/>
      </w:tcPr>
    </w:tblStylePr>
    <w:tblStylePr w:type="band1Vert">
      <w:rPr>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2 - Accent 2"/>
    <w:basedOn w:val="1036"/>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2 - Accent 3"/>
    <w:basedOn w:val="1036"/>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2 - Accent 4"/>
    <w:basedOn w:val="1036"/>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2 - Accent 5"/>
    <w:basedOn w:val="1036"/>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0dcf0" w:themeFill="accent5" w:themeFillTint="40"/>
        <w:tcBorders/>
      </w:tcPr>
    </w:tblStylePr>
    <w:tblStylePr w:type="band1Vert">
      <w:rPr>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2 - Accent 6"/>
    <w:basedOn w:val="1036"/>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w:basedOn w:val="103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 Accent 1"/>
    <w:basedOn w:val="1036"/>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3 - Accent 2"/>
    <w:basedOn w:val="1036"/>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3 - Accent 3"/>
    <w:basedOn w:val="1036"/>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3 - Accent 4"/>
    <w:basedOn w:val="1036"/>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3 - Accent 5"/>
    <w:basedOn w:val="1036"/>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aadb"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3 - Accent 6"/>
    <w:basedOn w:val="1036"/>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w:basedOn w:val="103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 Accent 1"/>
    <w:basedOn w:val="1036"/>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6e6f4" w:themeFill="accent1" w:themeFillTint="40"/>
        <w:tcBorders/>
      </w:tcPr>
    </w:tblStylePr>
    <w:tblStylePr w:type="band1Vert">
      <w:rPr>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4 - Accent 2"/>
    <w:basedOn w:val="1036"/>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4 - Accent 3"/>
    <w:basedOn w:val="1036"/>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4 - Accent 4"/>
    <w:basedOn w:val="1036"/>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 Accent 5"/>
    <w:basedOn w:val="1036"/>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0dcf0" w:themeFill="accent5" w:themeFillTint="40"/>
        <w:tcBorders/>
      </w:tcPr>
    </w:tblStylePr>
    <w:tblStylePr w:type="band1Vert">
      <w:rPr>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4 - Accent 6"/>
    <w:basedOn w:val="1036"/>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5 Dark"/>
    <w:basedOn w:val="1036"/>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95">
    <w:name w:val="List Table 5 Dark - Accent 1"/>
    <w:basedOn w:val="1036"/>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96">
    <w:name w:val="List Table 5 Dark - Accent 2"/>
    <w:basedOn w:val="1036"/>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97">
    <w:name w:val="List Table 5 Dark - Accent 3"/>
    <w:basedOn w:val="1036"/>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98">
    <w:name w:val="List Table 5 Dark - Accent 4"/>
    <w:basedOn w:val="1036"/>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99">
    <w:name w:val="List Table 5 Dark - Accent 5"/>
    <w:basedOn w:val="1036"/>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eaadb"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00">
    <w:name w:val="List Table 5 Dark - Accent 6"/>
    <w:basedOn w:val="1036"/>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01">
    <w:name w:val="List Table 6 Colorful"/>
    <w:basedOn w:val="1036"/>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6 Colorful - Accent 1"/>
    <w:basedOn w:val="1036"/>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6 Colorful - Accent 2"/>
    <w:basedOn w:val="1036"/>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ca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6 Colorful - Accent 3"/>
    <w:basedOn w:val="1036"/>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757575"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6 Colorful - Accent 4"/>
    <w:basedOn w:val="1036"/>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6 Colorful - Accent 5"/>
    <w:basedOn w:val="1036"/>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335ba0"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6 Colorful - Accent 6"/>
    <w:basedOn w:val="1036"/>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7 Colorful"/>
    <w:basedOn w:val="1036"/>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1009">
    <w:name w:val="List Table 7 Colorful - Accent 1"/>
    <w:basedOn w:val="1036"/>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45b8d"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45b8d"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45b8d" w:themeColor="accent1" w:themeShade="95"/>
        <w:sz w:val="22"/>
      </w:rPr>
      <w:pPr>
        <w:pBdr/>
        <w:spacing/>
        <w:ind/>
      </w:pPr>
      <w:tblPr>
        <w:tblBorders/>
      </w:tblPr>
      <w:tcPr>
        <w:tcBorders/>
      </w:tcPr>
    </w:tblStylePr>
  </w:style>
  <w:style w:type="table" w:styleId="1010">
    <w:name w:val="List Table 7 Colorful - Accent 2"/>
    <w:basedOn w:val="1036"/>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a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a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a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a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a5d12" w:themeColor="accent2" w:themeTint="97" w:themeShade="95"/>
        <w:sz w:val="22"/>
      </w:rPr>
      <w:pPr>
        <w:pBdr/>
        <w:spacing/>
        <w:ind/>
      </w:pPr>
      <w:tblPr>
        <w:tblBorders/>
      </w:tblPr>
      <w:tcPr>
        <w:tcBorders/>
      </w:tcPr>
    </w:tblStylePr>
  </w:style>
  <w:style w:type="table" w:styleId="1011">
    <w:name w:val="List Table 7 Colorful - Accent 3"/>
    <w:basedOn w:val="1036"/>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57575"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57575"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57575"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57575"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57575" w:themeColor="accent3" w:themeTint="98" w:themeShade="95"/>
        <w:sz w:val="22"/>
      </w:rPr>
      <w:pPr>
        <w:pBdr/>
        <w:spacing/>
        <w:ind/>
      </w:pPr>
      <w:tblPr>
        <w:tblBorders/>
      </w:tblPr>
      <w:tcPr>
        <w:tcBorders/>
      </w:tcPr>
    </w:tblStylePr>
  </w:style>
  <w:style w:type="table" w:styleId="1012">
    <w:name w:val="List Table 7 Colorful - Accent 4"/>
    <w:basedOn w:val="1036"/>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1013">
    <w:name w:val="List Table 7 Colorful - Accent 5"/>
    <w:basedOn w:val="1036"/>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335ba0"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35ba0"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35ba0"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35ba0"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35ba0" w:themeColor="accent5" w:themeTint="9A" w:themeShade="95"/>
        <w:sz w:val="22"/>
      </w:rPr>
      <w:pPr>
        <w:pBdr/>
        <w:spacing/>
        <w:ind/>
      </w:pPr>
      <w:tblPr>
        <w:tblBorders/>
      </w:tblPr>
      <w:tcPr>
        <w:tcBorders/>
      </w:tcPr>
    </w:tblStylePr>
  </w:style>
  <w:style w:type="table" w:styleId="1014">
    <w:name w:val="List Table 7 Colorful - Accent 6"/>
    <w:basedOn w:val="1036"/>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1015">
    <w:name w:val="Lined - Accent"/>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ned - Accent 1"/>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ce0f2" w:themeFill="accent1" w:themeFillTint="50"/>
        <w:tcBorders/>
      </w:tcPr>
    </w:tblStylePr>
    <w:tblStylePr w:type="band2Vert">
      <w:rPr>
        <w:sz w:val="22"/>
      </w:rPr>
      <w:pPr>
        <w:pBdr/>
        <w:spacing/>
        <w:ind/>
      </w:pPr>
      <w:tblPr>
        <w:tblBorders/>
      </w:tblPr>
      <w:tcPr>
        <w:shd w:val="clear" w:color="ffffff" w:fill="cce0f2" w:themeFill="accent1" w:themeFillTint="50"/>
        <w:tcBorders/>
      </w:tcPr>
    </w:tblStylePr>
    <w:tblStylePr w:type="firstCol">
      <w:rPr>
        <w:sz w:val="22"/>
      </w:rPr>
      <w:pPr>
        <w:pBdr/>
        <w:spacing/>
        <w:ind/>
      </w:pPr>
      <w:tblPr>
        <w:tblBorders/>
      </w:tblPr>
      <w:tcPr>
        <w:shd w:val="clear" w:color="ffffff" w:fill="69a3d8" w:themeFill="accent1" w:themeFillTint="EA"/>
        <w:tcBorders/>
      </w:tcPr>
    </w:tblStylePr>
    <w:tblStylePr w:type="firstRow">
      <w:rPr>
        <w:sz w:val="22"/>
      </w:rPr>
      <w:pPr>
        <w:pBdr/>
        <w:spacing/>
        <w:ind/>
      </w:pPr>
      <w:tblPr>
        <w:tblBorders/>
      </w:tblPr>
      <w:tcPr>
        <w:shd w:val="clear" w:color="ffffff" w:fill="69a3d8" w:themeFill="accent1" w:themeFillTint="EA"/>
        <w:tcBorders/>
      </w:tcPr>
    </w:tblStylePr>
    <w:tblStylePr w:type="lastCol">
      <w:rPr>
        <w:sz w:val="22"/>
      </w:rPr>
      <w:pPr>
        <w:pBdr/>
        <w:spacing/>
        <w:ind/>
      </w:pPr>
      <w:tblPr>
        <w:tblBorders/>
      </w:tblPr>
      <w:tcPr>
        <w:shd w:val="clear" w:color="ffffff" w:fill="69a3d8" w:themeFill="accent1" w:themeFillTint="EA"/>
        <w:tcBorders/>
      </w:tcPr>
    </w:tblStylePr>
    <w:tblStylePr w:type="lastRow">
      <w:rPr>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ned - Accent 2"/>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ned - Accent 3"/>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ned - Accent 4"/>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ned - Accent 5"/>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e2f3" w:themeFill="accent5" w:themeFillTint="34"/>
        <w:tcBorders/>
      </w:tcPr>
    </w:tblStylePr>
    <w:tblStylePr w:type="band2Vert">
      <w:rPr>
        <w:sz w:val="22"/>
      </w:rPr>
      <w:pPr>
        <w:pBdr/>
        <w:spacing/>
        <w:ind/>
      </w:pPr>
      <w:tblPr>
        <w:tblBorders/>
      </w:tblPr>
      <w:tcPr>
        <w:shd w:val="clear" w:color="ffffff" w:fill="d9e2f3" w:themeFill="accent5" w:themeFillTint="34"/>
        <w:tcBorders/>
      </w:tcPr>
    </w:tblStylePr>
    <w:tblStylePr w:type="firstCol">
      <w:rPr>
        <w:sz w:val="22"/>
      </w:rPr>
      <w:pPr>
        <w:pBdr/>
        <w:spacing/>
        <w:ind/>
      </w:pPr>
      <w:tblPr>
        <w:tblBorders/>
      </w:tblPr>
      <w:tcPr>
        <w:shd w:val="clear" w:color="ffffff" w:fill="4472c4" w:themeFill="accent5"/>
        <w:tcBorders/>
      </w:tcPr>
    </w:tblStylePr>
    <w:tblStylePr w:type="firstRow">
      <w:rPr>
        <w:sz w:val="22"/>
      </w:rPr>
      <w:pPr>
        <w:pBdr/>
        <w:spacing/>
        <w:ind/>
      </w:pPr>
      <w:tblPr>
        <w:tblBorders/>
      </w:tblPr>
      <w:tcPr>
        <w:shd w:val="clear" w:color="ffffff" w:fill="4472c4" w:themeFill="accent5"/>
        <w:tcBorders/>
      </w:tcPr>
    </w:tblStylePr>
    <w:tblStylePr w:type="lastCol">
      <w:rPr>
        <w:sz w:val="22"/>
      </w:rPr>
      <w:pPr>
        <w:pBdr/>
        <w:spacing/>
        <w:ind/>
      </w:pPr>
      <w:tblPr>
        <w:tblBorders/>
      </w:tblPr>
      <w:tcPr>
        <w:shd w:val="clear" w:color="ffffff" w:fill="4472c4" w:themeFill="accent5"/>
        <w:tcBorders/>
      </w:tcPr>
    </w:tblStylePr>
    <w:tblStylePr w:type="lastRow">
      <w:rPr>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ned - Accent 6"/>
    <w:basedOn w:val="103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Bordered &amp; Lined - Accent"/>
    <w:basedOn w:val="1036"/>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Bordered &amp; Lined - Accent 1"/>
    <w:basedOn w:val="1036"/>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ce0f2" w:themeFill="accent1" w:themeFillTint="50"/>
        <w:tcBorders/>
      </w:tcPr>
    </w:tblStylePr>
    <w:tblStylePr w:type="band2Vert">
      <w:rPr>
        <w:sz w:val="22"/>
      </w:rPr>
      <w:pPr>
        <w:pBdr/>
        <w:spacing/>
        <w:ind/>
      </w:pPr>
      <w:tblPr>
        <w:tblBorders/>
      </w:tblPr>
      <w:tcPr>
        <w:shd w:val="clear" w:color="ffffff" w:fill="cce0f2" w:themeFill="accent1" w:themeFillTint="50"/>
        <w:tcBorders/>
      </w:tcPr>
    </w:tblStylePr>
    <w:tblStylePr w:type="firstCol">
      <w:rPr>
        <w:sz w:val="22"/>
      </w:rPr>
      <w:pPr>
        <w:pBdr/>
        <w:spacing/>
        <w:ind/>
      </w:pPr>
      <w:tblPr>
        <w:tblBorders/>
      </w:tblPr>
      <w:tcPr>
        <w:shd w:val="clear" w:color="ffffff" w:fill="69a3d8" w:themeFill="accent1" w:themeFillTint="EA"/>
        <w:tcBorders/>
      </w:tcPr>
    </w:tblStylePr>
    <w:tblStylePr w:type="firstRow">
      <w:rPr>
        <w:sz w:val="22"/>
      </w:rPr>
      <w:pPr>
        <w:pBdr/>
        <w:spacing/>
        <w:ind/>
      </w:pPr>
      <w:tblPr>
        <w:tblBorders/>
      </w:tblPr>
      <w:tcPr>
        <w:shd w:val="clear" w:color="ffffff" w:fill="69a3d8" w:themeFill="accent1" w:themeFillTint="EA"/>
        <w:tcBorders/>
      </w:tcPr>
    </w:tblStylePr>
    <w:tblStylePr w:type="lastCol">
      <w:rPr>
        <w:sz w:val="22"/>
      </w:rPr>
      <w:pPr>
        <w:pBdr/>
        <w:spacing/>
        <w:ind/>
      </w:pPr>
      <w:tblPr>
        <w:tblBorders/>
      </w:tblPr>
      <w:tcPr>
        <w:shd w:val="clear" w:color="ffffff" w:fill="69a3d8" w:themeFill="accent1" w:themeFillTint="EA"/>
        <w:tcBorders/>
      </w:tcPr>
    </w:tblStylePr>
    <w:tblStylePr w:type="lastRow">
      <w:rPr>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Bordered &amp; Lined - Accent 2"/>
    <w:basedOn w:val="1036"/>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Bordered &amp; Lined - Accent 3"/>
    <w:basedOn w:val="1036"/>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amp; Lined - Accent 4"/>
    <w:basedOn w:val="1036"/>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amp; Lined - Accent 5"/>
    <w:basedOn w:val="1036"/>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e2f3" w:themeFill="accent5" w:themeFillTint="34"/>
        <w:tcBorders/>
      </w:tcPr>
    </w:tblStylePr>
    <w:tblStylePr w:type="band2Vert">
      <w:rPr>
        <w:sz w:val="22"/>
      </w:rPr>
      <w:pPr>
        <w:pBdr/>
        <w:spacing/>
        <w:ind/>
      </w:pPr>
      <w:tblPr>
        <w:tblBorders/>
      </w:tblPr>
      <w:tcPr>
        <w:shd w:val="clear" w:color="ffffff" w:fill="d9e2f3" w:themeFill="accent5" w:themeFillTint="34"/>
        <w:tcBorders/>
      </w:tcPr>
    </w:tblStylePr>
    <w:tblStylePr w:type="firstCol">
      <w:rPr>
        <w:sz w:val="22"/>
      </w:rPr>
      <w:pPr>
        <w:pBdr/>
        <w:spacing/>
        <w:ind/>
      </w:pPr>
      <w:tblPr>
        <w:tblBorders/>
      </w:tblPr>
      <w:tcPr>
        <w:shd w:val="clear" w:color="ffffff" w:fill="4472c4" w:themeFill="accent5"/>
        <w:tcBorders/>
      </w:tcPr>
    </w:tblStylePr>
    <w:tblStylePr w:type="firstRow">
      <w:rPr>
        <w:sz w:val="22"/>
      </w:rPr>
      <w:pPr>
        <w:pBdr/>
        <w:spacing/>
        <w:ind/>
      </w:pPr>
      <w:tblPr>
        <w:tblBorders/>
      </w:tblPr>
      <w:tcPr>
        <w:shd w:val="clear" w:color="ffffff" w:fill="4472c4" w:themeFill="accent5"/>
        <w:tcBorders/>
      </w:tcPr>
    </w:tblStylePr>
    <w:tblStylePr w:type="lastCol">
      <w:rPr>
        <w:sz w:val="22"/>
      </w:rPr>
      <w:pPr>
        <w:pBdr/>
        <w:spacing/>
        <w:ind/>
      </w:pPr>
      <w:tblPr>
        <w:tblBorders/>
      </w:tblPr>
      <w:tcPr>
        <w:shd w:val="clear" w:color="ffffff" w:fill="4472c4" w:themeFill="accent5"/>
        <w:tcBorders/>
      </w:tcPr>
    </w:tblStylePr>
    <w:tblStylePr w:type="lastRow">
      <w:rPr>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Bordered &amp; Lined - Accent 6"/>
    <w:basedOn w:val="1036"/>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Bordered"/>
    <w:basedOn w:val="1036"/>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Bordered - Accent 1"/>
    <w:basedOn w:val="1036"/>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Bordered - Accent 2"/>
    <w:basedOn w:val="1036"/>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 Accent 3"/>
    <w:basedOn w:val="1036"/>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 Accent 4"/>
    <w:basedOn w:val="1036"/>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Bordered - Accent 5"/>
    <w:basedOn w:val="1036"/>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Bordered - Accent 6"/>
    <w:basedOn w:val="1036"/>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default="1">
    <w:name w:val="Normal Table"/>
    <w:uiPriority w:val="99"/>
    <w:semiHidden/>
    <w:unhideWhenUsed/>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www.glossa.de/de/dienstleistungen/glossa-myproof.html"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6B9A5-F92B-4353-B223-5CFE5675D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Kapitel.dotx</Template>
  <Application>ONLYOFFICE/8.2.0.143</Application>
  <HeadingPairs>
    <vt:vector size="0" baseType="variant"/>
  </HeadingPairs>
  <TitlesOfParts>
    <vt:vector size="0" baseType="lpstr"/>
  </TitlesOfParts>
  <Company>Freie Universitaet Berlin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Varga</dc:creator>
  <dc:description/>
  <dc:language>de-DE</dc:language>
  <cp:revision>1378</cp:revision>
  <dcterms:created xsi:type="dcterms:W3CDTF">2024-09-04T08:41:00Z</dcterms:created>
  <dcterms:modified xsi:type="dcterms:W3CDTF">2024-11-02T15:03:48Z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zotero-version="7.0.9"&gt;&lt;session id="scRr5kYn"/&gt;&lt;style id="http://www.zotero.org/styles/deutsche-sprache" hasBibliography="1" bibliographyStyleHasBeenSet="1"/&gt;&lt;prefs&gt;&lt;pref name="fieldType" value="Field"/&gt;&lt;/prefs&gt;&lt;/data&gt;</vt:lpwstr>
  </property>
</Properties>
</file>