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BC0" w:rsidRDefault="00A1325E">
      <w:pPr>
        <w:rPr>
          <w:rFonts w:hint="eastAsia"/>
        </w:rPr>
      </w:pPr>
      <w:r>
        <w:rPr>
          <w:rStyle w:val="a4"/>
        </w:rPr>
        <w:commentReference w:id="0"/>
      </w:r>
    </w:p>
    <w:p w:rsidR="00F330E2" w:rsidRDefault="00F330E2">
      <w:pPr>
        <w:rPr>
          <w:rFonts w:hint="eastAsia"/>
        </w:rPr>
      </w:pPr>
    </w:p>
    <w:p w:rsidR="00F330E2" w:rsidRDefault="00F330E2" w:rsidP="00F330E2">
      <w:pPr>
        <w:jc w:val="center"/>
        <w:rPr>
          <w:rFonts w:hint="eastAsia"/>
        </w:rPr>
      </w:pPr>
      <w:r>
        <w:rPr>
          <w:rFonts w:hint="eastAsia"/>
        </w:rPr>
        <w:t>投保须知</w:t>
      </w:r>
    </w:p>
    <w:p w:rsidR="00F330E2" w:rsidRDefault="00F330E2">
      <w:pPr>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1、保险期间：本产品保险期间为1年，生效日以保单载明起保日期为准。</w:t>
      </w:r>
    </w:p>
    <w:p w:rsidR="00F330E2" w:rsidRPr="00F330E2" w:rsidRDefault="00F330E2" w:rsidP="00F330E2">
      <w:pPr>
        <w:jc w:val="left"/>
        <w:rPr>
          <w:rFonts w:asciiTheme="majorEastAsia" w:eastAsiaTheme="majorEastAsia" w:hAnsiTheme="majorEastAsia"/>
          <w:sz w:val="22"/>
        </w:rPr>
      </w:pPr>
      <w:r>
        <w:rPr>
          <w:rFonts w:hint="eastAsia"/>
        </w:rPr>
        <w:t>2</w:t>
      </w:r>
      <w:r>
        <w:rPr>
          <w:rFonts w:hint="eastAsia"/>
        </w:rPr>
        <w:t>、产品责任：</w:t>
      </w:r>
      <w:r w:rsidRPr="00F330E2">
        <w:rPr>
          <w:rFonts w:asciiTheme="majorEastAsia" w:eastAsiaTheme="majorEastAsia" w:hAnsiTheme="majorEastAsia" w:hint="eastAsia"/>
          <w:sz w:val="22"/>
        </w:rPr>
        <w:t>被保险人在从事与其执业资格相符的诊疗活动中，因过错造成患者死亡或残疾的，在保险期间内，由患方首次向被保险人或医疗机构提出损害赔偿请求，依照中华人民共和国（港、澳、台地区除外）法律应由被保险人承担的经济赔偿责任，或依据被保险人与医疗机构签订的协议应由被保险人分担的经济损失，保险人按照保险合同的约定负责赔偿。</w:t>
      </w:r>
    </w:p>
    <w:p w:rsidR="00F330E2" w:rsidRDefault="00F330E2">
      <w:pPr>
        <w:rPr>
          <w:rFonts w:hint="eastAsia"/>
        </w:rPr>
      </w:pPr>
      <w:r>
        <w:rPr>
          <w:rFonts w:hint="eastAsia"/>
        </w:rPr>
        <w:t>3</w:t>
      </w:r>
      <w:r>
        <w:rPr>
          <w:rFonts w:hint="eastAsia"/>
        </w:rPr>
        <w:t>、保险金额：</w:t>
      </w:r>
    </w:p>
    <w:tbl>
      <w:tblPr>
        <w:tblW w:w="4555" w:type="pct"/>
        <w:tblLayout w:type="fixed"/>
        <w:tblLook w:val="00A0"/>
      </w:tblPr>
      <w:tblGrid>
        <w:gridCol w:w="1622"/>
        <w:gridCol w:w="1623"/>
        <w:gridCol w:w="2033"/>
        <w:gridCol w:w="2486"/>
      </w:tblGrid>
      <w:tr w:rsidR="00F330E2" w:rsidRPr="004C466A" w:rsidTr="00F330E2">
        <w:trPr>
          <w:trHeight w:val="744"/>
        </w:trPr>
        <w:tc>
          <w:tcPr>
            <w:tcW w:w="1045"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b/>
                <w:bCs/>
                <w:color w:val="000000"/>
                <w:kern w:val="0"/>
                <w:sz w:val="22"/>
              </w:rPr>
            </w:pPr>
            <w:r w:rsidRPr="004C466A">
              <w:rPr>
                <w:rFonts w:asciiTheme="majorEastAsia" w:eastAsiaTheme="majorEastAsia" w:hAnsiTheme="majorEastAsia" w:cs="宋体" w:hint="eastAsia"/>
                <w:b/>
                <w:bCs/>
                <w:color w:val="000000"/>
                <w:kern w:val="0"/>
                <w:sz w:val="22"/>
              </w:rPr>
              <w:t>方案</w:t>
            </w:r>
          </w:p>
        </w:tc>
        <w:tc>
          <w:tcPr>
            <w:tcW w:w="1045"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b/>
                <w:bCs/>
                <w:color w:val="000000"/>
                <w:kern w:val="0"/>
                <w:sz w:val="22"/>
              </w:rPr>
            </w:pPr>
            <w:r w:rsidRPr="004C466A">
              <w:rPr>
                <w:rFonts w:asciiTheme="majorEastAsia" w:eastAsiaTheme="majorEastAsia" w:hAnsiTheme="majorEastAsia" w:cs="宋体" w:hint="eastAsia"/>
                <w:b/>
                <w:bCs/>
                <w:color w:val="000000"/>
                <w:kern w:val="0"/>
                <w:sz w:val="22"/>
              </w:rPr>
              <w:t>累计责任限额</w:t>
            </w:r>
          </w:p>
        </w:tc>
        <w:tc>
          <w:tcPr>
            <w:tcW w:w="1309"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b/>
                <w:bCs/>
                <w:color w:val="000000"/>
                <w:kern w:val="0"/>
                <w:sz w:val="22"/>
              </w:rPr>
            </w:pPr>
            <w:r w:rsidRPr="004C466A">
              <w:rPr>
                <w:rFonts w:asciiTheme="majorEastAsia" w:eastAsiaTheme="majorEastAsia" w:hAnsiTheme="majorEastAsia" w:cs="宋体" w:hint="eastAsia"/>
                <w:b/>
                <w:bCs/>
                <w:color w:val="000000"/>
                <w:kern w:val="0"/>
                <w:sz w:val="22"/>
              </w:rPr>
              <w:t>每次事故责任限额</w:t>
            </w:r>
          </w:p>
        </w:tc>
        <w:tc>
          <w:tcPr>
            <w:tcW w:w="1600"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b/>
                <w:bCs/>
                <w:color w:val="000000"/>
                <w:kern w:val="0"/>
                <w:sz w:val="22"/>
              </w:rPr>
            </w:pPr>
            <w:r w:rsidRPr="004C466A">
              <w:rPr>
                <w:rFonts w:asciiTheme="majorEastAsia" w:eastAsiaTheme="majorEastAsia" w:hAnsiTheme="majorEastAsia" w:cs="宋体" w:hint="eastAsia"/>
                <w:b/>
                <w:bCs/>
                <w:color w:val="000000"/>
                <w:kern w:val="0"/>
                <w:sz w:val="22"/>
              </w:rPr>
              <w:t>法律费用</w:t>
            </w:r>
            <w:r>
              <w:rPr>
                <w:rFonts w:asciiTheme="majorEastAsia" w:eastAsiaTheme="majorEastAsia" w:hAnsiTheme="majorEastAsia" w:cs="宋体" w:hint="eastAsia"/>
                <w:b/>
                <w:bCs/>
                <w:color w:val="000000"/>
                <w:kern w:val="0"/>
                <w:sz w:val="22"/>
              </w:rPr>
              <w:t>限额</w:t>
            </w:r>
          </w:p>
        </w:tc>
      </w:tr>
      <w:tr w:rsidR="00F330E2" w:rsidRPr="004C466A" w:rsidTr="00F330E2">
        <w:trPr>
          <w:trHeight w:val="744"/>
        </w:trPr>
        <w:tc>
          <w:tcPr>
            <w:tcW w:w="1045"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b/>
                <w:bCs/>
                <w:color w:val="000000"/>
                <w:kern w:val="0"/>
                <w:sz w:val="22"/>
              </w:rPr>
            </w:pPr>
            <w:r w:rsidRPr="004C466A">
              <w:rPr>
                <w:rFonts w:asciiTheme="majorEastAsia" w:eastAsiaTheme="majorEastAsia" w:hAnsiTheme="majorEastAsia" w:cs="宋体" w:hint="eastAsia"/>
                <w:b/>
                <w:bCs/>
                <w:color w:val="000000"/>
                <w:kern w:val="0"/>
                <w:sz w:val="22"/>
              </w:rPr>
              <w:t>尊享版</w:t>
            </w:r>
          </w:p>
        </w:tc>
        <w:tc>
          <w:tcPr>
            <w:tcW w:w="1045"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color w:val="000000"/>
                <w:kern w:val="0"/>
                <w:sz w:val="22"/>
              </w:rPr>
            </w:pPr>
            <w:r w:rsidRPr="004C466A">
              <w:rPr>
                <w:rFonts w:asciiTheme="majorEastAsia" w:eastAsiaTheme="majorEastAsia" w:hAnsiTheme="majorEastAsia" w:cs="宋体"/>
                <w:color w:val="000000"/>
                <w:kern w:val="0"/>
                <w:sz w:val="22"/>
              </w:rPr>
              <w:t>80</w:t>
            </w:r>
            <w:r w:rsidRPr="004C466A">
              <w:rPr>
                <w:rFonts w:asciiTheme="majorEastAsia" w:eastAsiaTheme="majorEastAsia" w:hAnsiTheme="majorEastAsia" w:cs="宋体" w:hint="eastAsia"/>
                <w:color w:val="000000"/>
                <w:kern w:val="0"/>
                <w:sz w:val="22"/>
              </w:rPr>
              <w:t>万元</w:t>
            </w:r>
          </w:p>
        </w:tc>
        <w:tc>
          <w:tcPr>
            <w:tcW w:w="1309"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color w:val="000000"/>
                <w:kern w:val="0"/>
                <w:sz w:val="22"/>
              </w:rPr>
            </w:pPr>
            <w:r w:rsidRPr="004C466A">
              <w:rPr>
                <w:rFonts w:asciiTheme="majorEastAsia" w:eastAsiaTheme="majorEastAsia" w:hAnsiTheme="majorEastAsia" w:cs="宋体"/>
                <w:color w:val="000000"/>
                <w:kern w:val="0"/>
                <w:sz w:val="22"/>
              </w:rPr>
              <w:t>40</w:t>
            </w:r>
            <w:r w:rsidRPr="004C466A">
              <w:rPr>
                <w:rFonts w:asciiTheme="majorEastAsia" w:eastAsiaTheme="majorEastAsia" w:hAnsiTheme="majorEastAsia" w:cs="宋体" w:hint="eastAsia"/>
                <w:color w:val="000000"/>
                <w:kern w:val="0"/>
                <w:sz w:val="22"/>
              </w:rPr>
              <w:t>万元</w:t>
            </w:r>
          </w:p>
        </w:tc>
        <w:tc>
          <w:tcPr>
            <w:tcW w:w="1601"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color w:val="000000"/>
                <w:kern w:val="0"/>
                <w:sz w:val="22"/>
              </w:rPr>
            </w:pPr>
            <w:r>
              <w:rPr>
                <w:rFonts w:asciiTheme="majorEastAsia" w:eastAsiaTheme="majorEastAsia" w:hAnsiTheme="majorEastAsia" w:cs="宋体" w:hint="eastAsia"/>
                <w:color w:val="000000"/>
                <w:kern w:val="0"/>
                <w:sz w:val="22"/>
              </w:rPr>
              <w:t>累计</w:t>
            </w:r>
            <w:r w:rsidRPr="004C466A">
              <w:rPr>
                <w:rFonts w:asciiTheme="majorEastAsia" w:eastAsiaTheme="majorEastAsia" w:hAnsiTheme="majorEastAsia" w:cs="宋体"/>
                <w:color w:val="000000"/>
                <w:kern w:val="0"/>
                <w:sz w:val="22"/>
              </w:rPr>
              <w:t>1</w:t>
            </w:r>
            <w:r w:rsidRPr="004C466A">
              <w:rPr>
                <w:rFonts w:asciiTheme="majorEastAsia" w:eastAsiaTheme="majorEastAsia" w:hAnsiTheme="majorEastAsia"/>
                <w:color w:val="000000"/>
                <w:kern w:val="0"/>
                <w:sz w:val="22"/>
              </w:rPr>
              <w:t>0</w:t>
            </w:r>
            <w:r w:rsidRPr="004C466A">
              <w:rPr>
                <w:rFonts w:asciiTheme="majorEastAsia" w:eastAsiaTheme="majorEastAsia" w:hAnsiTheme="majorEastAsia" w:cs="宋体" w:hint="eastAsia"/>
                <w:color w:val="000000"/>
                <w:kern w:val="0"/>
                <w:sz w:val="22"/>
              </w:rPr>
              <w:t>万，每次</w:t>
            </w:r>
            <w:r w:rsidRPr="004C466A">
              <w:rPr>
                <w:rFonts w:asciiTheme="majorEastAsia" w:eastAsiaTheme="majorEastAsia" w:hAnsiTheme="majorEastAsia" w:cs="宋体"/>
                <w:color w:val="000000"/>
                <w:kern w:val="0"/>
                <w:sz w:val="22"/>
              </w:rPr>
              <w:t>6</w:t>
            </w:r>
            <w:r w:rsidRPr="004C466A">
              <w:rPr>
                <w:rFonts w:asciiTheme="majorEastAsia" w:eastAsiaTheme="majorEastAsia" w:hAnsiTheme="majorEastAsia" w:cs="宋体" w:hint="eastAsia"/>
                <w:color w:val="000000"/>
                <w:kern w:val="0"/>
                <w:sz w:val="22"/>
              </w:rPr>
              <w:t>万</w:t>
            </w:r>
          </w:p>
        </w:tc>
      </w:tr>
      <w:tr w:rsidR="00F330E2" w:rsidRPr="004C466A" w:rsidTr="00F330E2">
        <w:trPr>
          <w:trHeight w:val="744"/>
        </w:trPr>
        <w:tc>
          <w:tcPr>
            <w:tcW w:w="1045"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b/>
                <w:bCs/>
                <w:color w:val="000000"/>
                <w:kern w:val="0"/>
                <w:sz w:val="22"/>
              </w:rPr>
            </w:pPr>
            <w:r w:rsidRPr="004C466A">
              <w:rPr>
                <w:rFonts w:asciiTheme="majorEastAsia" w:eastAsiaTheme="majorEastAsia" w:hAnsiTheme="majorEastAsia" w:cs="宋体" w:hint="eastAsia"/>
                <w:b/>
                <w:bCs/>
                <w:color w:val="000000"/>
                <w:kern w:val="0"/>
                <w:sz w:val="22"/>
              </w:rPr>
              <w:t>贴心版</w:t>
            </w:r>
          </w:p>
        </w:tc>
        <w:tc>
          <w:tcPr>
            <w:tcW w:w="1045"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color w:val="000000"/>
                <w:kern w:val="0"/>
                <w:sz w:val="22"/>
              </w:rPr>
            </w:pPr>
            <w:r w:rsidRPr="004C466A">
              <w:rPr>
                <w:rFonts w:asciiTheme="majorEastAsia" w:eastAsiaTheme="majorEastAsia" w:hAnsiTheme="majorEastAsia" w:cs="宋体"/>
                <w:color w:val="000000"/>
                <w:kern w:val="0"/>
                <w:sz w:val="22"/>
              </w:rPr>
              <w:t>4</w:t>
            </w:r>
            <w:r w:rsidRPr="004C466A">
              <w:rPr>
                <w:rFonts w:asciiTheme="majorEastAsia" w:eastAsiaTheme="majorEastAsia" w:hAnsiTheme="majorEastAsia"/>
                <w:color w:val="000000"/>
                <w:kern w:val="0"/>
                <w:sz w:val="22"/>
              </w:rPr>
              <w:t>0</w:t>
            </w:r>
            <w:r w:rsidRPr="004C466A">
              <w:rPr>
                <w:rFonts w:asciiTheme="majorEastAsia" w:eastAsiaTheme="majorEastAsia" w:hAnsiTheme="majorEastAsia" w:cs="宋体" w:hint="eastAsia"/>
                <w:color w:val="000000"/>
                <w:kern w:val="0"/>
                <w:sz w:val="22"/>
              </w:rPr>
              <w:t>万元</w:t>
            </w:r>
          </w:p>
        </w:tc>
        <w:tc>
          <w:tcPr>
            <w:tcW w:w="1309"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color w:val="000000"/>
                <w:kern w:val="0"/>
                <w:sz w:val="22"/>
              </w:rPr>
            </w:pPr>
            <w:r w:rsidRPr="004C466A">
              <w:rPr>
                <w:rFonts w:asciiTheme="majorEastAsia" w:eastAsiaTheme="majorEastAsia" w:hAnsiTheme="majorEastAsia" w:cs="宋体"/>
                <w:color w:val="000000"/>
                <w:kern w:val="0"/>
                <w:sz w:val="22"/>
              </w:rPr>
              <w:t>2</w:t>
            </w:r>
            <w:r w:rsidRPr="004C466A">
              <w:rPr>
                <w:rFonts w:asciiTheme="majorEastAsia" w:eastAsiaTheme="majorEastAsia" w:hAnsiTheme="majorEastAsia"/>
                <w:color w:val="000000"/>
                <w:kern w:val="0"/>
                <w:sz w:val="22"/>
              </w:rPr>
              <w:t>0</w:t>
            </w:r>
            <w:r w:rsidRPr="004C466A">
              <w:rPr>
                <w:rFonts w:asciiTheme="majorEastAsia" w:eastAsiaTheme="majorEastAsia" w:hAnsiTheme="majorEastAsia" w:cs="宋体" w:hint="eastAsia"/>
                <w:color w:val="000000"/>
                <w:kern w:val="0"/>
                <w:sz w:val="22"/>
              </w:rPr>
              <w:t>万元</w:t>
            </w:r>
          </w:p>
        </w:tc>
        <w:tc>
          <w:tcPr>
            <w:tcW w:w="1600" w:type="pct"/>
            <w:tcBorders>
              <w:top w:val="single" w:sz="6" w:space="0" w:color="000000"/>
              <w:left w:val="single" w:sz="6" w:space="0" w:color="000000"/>
              <w:bottom w:val="single" w:sz="6" w:space="0" w:color="000000"/>
              <w:right w:val="single" w:sz="6" w:space="0" w:color="000000"/>
            </w:tcBorders>
            <w:vAlign w:val="center"/>
          </w:tcPr>
          <w:p w:rsidR="00F330E2" w:rsidRPr="004C466A" w:rsidRDefault="00F330E2" w:rsidP="00A233D2">
            <w:pPr>
              <w:autoSpaceDE w:val="0"/>
              <w:autoSpaceDN w:val="0"/>
              <w:adjustRightInd w:val="0"/>
              <w:jc w:val="center"/>
              <w:rPr>
                <w:rFonts w:asciiTheme="majorEastAsia" w:eastAsiaTheme="majorEastAsia" w:hAnsiTheme="majorEastAsia" w:cs="宋体"/>
                <w:color w:val="000000"/>
                <w:kern w:val="0"/>
                <w:sz w:val="22"/>
              </w:rPr>
            </w:pPr>
            <w:r>
              <w:rPr>
                <w:rFonts w:asciiTheme="majorEastAsia" w:eastAsiaTheme="majorEastAsia" w:hAnsiTheme="majorEastAsia" w:cs="宋体" w:hint="eastAsia"/>
                <w:color w:val="000000"/>
                <w:kern w:val="0"/>
                <w:sz w:val="22"/>
              </w:rPr>
              <w:t>累计</w:t>
            </w:r>
            <w:r w:rsidRPr="004C466A">
              <w:rPr>
                <w:rFonts w:asciiTheme="majorEastAsia" w:eastAsiaTheme="majorEastAsia" w:hAnsiTheme="majorEastAsia" w:cs="宋体"/>
                <w:color w:val="000000"/>
                <w:kern w:val="0"/>
                <w:sz w:val="22"/>
              </w:rPr>
              <w:t>4</w:t>
            </w:r>
            <w:r w:rsidRPr="004C466A">
              <w:rPr>
                <w:rFonts w:asciiTheme="majorEastAsia" w:eastAsiaTheme="majorEastAsia" w:hAnsiTheme="majorEastAsia" w:cs="宋体" w:hint="eastAsia"/>
                <w:color w:val="000000"/>
                <w:kern w:val="0"/>
                <w:sz w:val="22"/>
              </w:rPr>
              <w:t>万，每次</w:t>
            </w:r>
            <w:r w:rsidRPr="004C466A">
              <w:rPr>
                <w:rFonts w:asciiTheme="majorEastAsia" w:eastAsiaTheme="majorEastAsia" w:hAnsiTheme="majorEastAsia" w:cs="宋体"/>
                <w:color w:val="000000"/>
                <w:kern w:val="0"/>
                <w:sz w:val="22"/>
              </w:rPr>
              <w:t>2</w:t>
            </w:r>
            <w:r w:rsidRPr="004C466A">
              <w:rPr>
                <w:rFonts w:asciiTheme="majorEastAsia" w:eastAsiaTheme="majorEastAsia" w:hAnsiTheme="majorEastAsia" w:cs="宋体" w:hint="eastAsia"/>
                <w:color w:val="000000"/>
                <w:kern w:val="0"/>
                <w:sz w:val="22"/>
              </w:rPr>
              <w:t>万</w:t>
            </w:r>
          </w:p>
        </w:tc>
      </w:tr>
    </w:tbl>
    <w:p w:rsidR="00F330E2" w:rsidRDefault="00F330E2">
      <w:pPr>
        <w:rPr>
          <w:rFonts w:hint="eastAsia"/>
        </w:rPr>
      </w:pPr>
      <w:r>
        <w:rPr>
          <w:rFonts w:hint="eastAsia"/>
        </w:rPr>
        <w:t>4</w:t>
      </w:r>
      <w:r>
        <w:rPr>
          <w:rFonts w:hint="eastAsia"/>
        </w:rPr>
        <w:t>、责任免除</w:t>
      </w:r>
    </w:p>
    <w:p w:rsidR="00F330E2" w:rsidRPr="004C466A" w:rsidRDefault="00F330E2" w:rsidP="00F330E2">
      <w:pPr>
        <w:pStyle w:val="aa"/>
        <w:ind w:firstLineChars="193" w:firstLine="425"/>
        <w:jc w:val="left"/>
        <w:rPr>
          <w:rFonts w:asciiTheme="majorEastAsia" w:eastAsiaTheme="majorEastAsia" w:hAnsiTheme="majorEastAsia"/>
          <w:sz w:val="22"/>
        </w:rPr>
      </w:pPr>
      <w:r>
        <w:rPr>
          <w:rFonts w:asciiTheme="majorEastAsia" w:eastAsiaTheme="majorEastAsia" w:hAnsiTheme="majorEastAsia" w:hint="eastAsia"/>
          <w:sz w:val="22"/>
        </w:rPr>
        <w:t>（</w:t>
      </w:r>
      <w:r w:rsidRPr="004C466A">
        <w:rPr>
          <w:rFonts w:asciiTheme="majorEastAsia" w:eastAsiaTheme="majorEastAsia" w:hAnsiTheme="majorEastAsia" w:hint="eastAsia"/>
          <w:sz w:val="22"/>
        </w:rPr>
        <w:t>1</w:t>
      </w:r>
      <w:r>
        <w:rPr>
          <w:rFonts w:asciiTheme="majorEastAsia" w:eastAsiaTheme="majorEastAsia" w:hAnsiTheme="majorEastAsia"/>
          <w:sz w:val="22"/>
        </w:rPr>
        <w:t>）</w:t>
      </w:r>
      <w:r w:rsidRPr="004C466A">
        <w:rPr>
          <w:rFonts w:asciiTheme="majorEastAsia" w:eastAsiaTheme="majorEastAsia" w:hAnsiTheme="majorEastAsia" w:hint="eastAsia"/>
          <w:sz w:val="22"/>
        </w:rPr>
        <w:t xml:space="preserve"> 存在下列情形的，保险人不负责赔偿：</w:t>
      </w:r>
    </w:p>
    <w:p w:rsidR="00F330E2" w:rsidRPr="004C466A" w:rsidRDefault="00F330E2" w:rsidP="00F330E2">
      <w:pPr>
        <w:pStyle w:val="aa"/>
        <w:numPr>
          <w:ilvl w:val="1"/>
          <w:numId w:val="2"/>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 xml:space="preserve">被保险人不具有医师执业证书或从事与其执业资格不符的诊疗活动，或执业证书被吊销，医师资格被注销或暂停执业期间仍继续进行诊疗活动的；    </w:t>
      </w:r>
    </w:p>
    <w:p w:rsidR="00F330E2" w:rsidRPr="004C466A" w:rsidRDefault="00F330E2" w:rsidP="00F330E2">
      <w:pPr>
        <w:pStyle w:val="aa"/>
        <w:numPr>
          <w:ilvl w:val="1"/>
          <w:numId w:val="2"/>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被保险人使用未经卫生行政部门批准使用的药品、消毒药剂和医疗器械的；</w:t>
      </w:r>
    </w:p>
    <w:p w:rsidR="00F330E2" w:rsidRPr="004C466A" w:rsidRDefault="00F330E2" w:rsidP="00F330E2">
      <w:pPr>
        <w:pStyle w:val="aa"/>
        <w:numPr>
          <w:ilvl w:val="1"/>
          <w:numId w:val="2"/>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被保险人进行未经医疗机构批准或未征得患者本人或其家属同意的试验性医疗活动；</w:t>
      </w:r>
    </w:p>
    <w:p w:rsidR="00F330E2" w:rsidRPr="004C466A" w:rsidRDefault="00F330E2" w:rsidP="00F330E2">
      <w:pPr>
        <w:pStyle w:val="aa"/>
        <w:numPr>
          <w:ilvl w:val="1"/>
          <w:numId w:val="2"/>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患者或者其近亲属不配合医疗机构进行符合诊疗规范的诊疗，被保险人没有过错的；</w:t>
      </w:r>
    </w:p>
    <w:p w:rsidR="00F330E2" w:rsidRPr="004C466A" w:rsidRDefault="00F330E2" w:rsidP="00F330E2">
      <w:pPr>
        <w:pStyle w:val="aa"/>
        <w:numPr>
          <w:ilvl w:val="1"/>
          <w:numId w:val="2"/>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被保险人在抢救生命垂危的患者等紧急情况下已经尽到合理诊疗义务；</w:t>
      </w:r>
    </w:p>
    <w:p w:rsidR="00F330E2" w:rsidRPr="004C466A" w:rsidRDefault="00F330E2" w:rsidP="00F330E2">
      <w:pPr>
        <w:pStyle w:val="aa"/>
        <w:numPr>
          <w:ilvl w:val="1"/>
          <w:numId w:val="2"/>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限于当时的医疗水平难以诊疗。</w:t>
      </w:r>
    </w:p>
    <w:p w:rsidR="00F330E2" w:rsidRPr="00F330E2" w:rsidRDefault="00F330E2" w:rsidP="00F330E2">
      <w:pPr>
        <w:ind w:firstLineChars="193" w:firstLine="425"/>
        <w:jc w:val="left"/>
        <w:rPr>
          <w:rFonts w:asciiTheme="majorEastAsia" w:eastAsiaTheme="majorEastAsia" w:hAnsiTheme="majorEastAsia" w:cstheme="minorBidi"/>
          <w:sz w:val="22"/>
          <w:szCs w:val="22"/>
        </w:rPr>
      </w:pPr>
      <w:r>
        <w:rPr>
          <w:rFonts w:asciiTheme="majorEastAsia" w:eastAsiaTheme="majorEastAsia" w:hAnsiTheme="majorEastAsia" w:cstheme="minorBidi" w:hint="eastAsia"/>
          <w:sz w:val="22"/>
          <w:szCs w:val="22"/>
        </w:rPr>
        <w:lastRenderedPageBreak/>
        <w:t>（2）</w:t>
      </w:r>
      <w:r w:rsidRPr="00F330E2">
        <w:rPr>
          <w:rFonts w:asciiTheme="majorEastAsia" w:eastAsiaTheme="majorEastAsia" w:hAnsiTheme="majorEastAsia" w:cstheme="minorBidi" w:hint="eastAsia"/>
          <w:sz w:val="22"/>
          <w:szCs w:val="22"/>
        </w:rPr>
        <w:t>下列原因造成的损失、费用和责任，保险人不负责赔偿：</w:t>
      </w:r>
    </w:p>
    <w:p w:rsidR="00F330E2" w:rsidRPr="004C466A" w:rsidRDefault="00F330E2" w:rsidP="00F330E2">
      <w:pPr>
        <w:pStyle w:val="aa"/>
        <w:numPr>
          <w:ilvl w:val="1"/>
          <w:numId w:val="3"/>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投保人、被保险人或医疗机构的故意行为、犯罪行为和非执业行为；</w:t>
      </w:r>
    </w:p>
    <w:p w:rsidR="00F330E2" w:rsidRPr="004C466A" w:rsidRDefault="00F330E2" w:rsidP="00F330E2">
      <w:pPr>
        <w:pStyle w:val="aa"/>
        <w:numPr>
          <w:ilvl w:val="1"/>
          <w:numId w:val="3"/>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战争、敌对行为、军事行动、武装冲突,恐怖活动、罢工、骚乱、暴动，及盗窃、抢劫；</w:t>
      </w:r>
    </w:p>
    <w:p w:rsidR="00F330E2" w:rsidRPr="004C466A" w:rsidRDefault="00F330E2" w:rsidP="00F330E2">
      <w:pPr>
        <w:pStyle w:val="aa"/>
        <w:numPr>
          <w:ilvl w:val="1"/>
          <w:numId w:val="3"/>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核反应、核子辐射和放射性污染，但使用放射器材治疗发生的赔偿责任，不在此限；</w:t>
      </w:r>
    </w:p>
    <w:p w:rsidR="00F330E2" w:rsidRPr="004C466A" w:rsidRDefault="00F330E2" w:rsidP="00F330E2">
      <w:pPr>
        <w:pStyle w:val="aa"/>
        <w:numPr>
          <w:ilvl w:val="1"/>
          <w:numId w:val="3"/>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自然灾害；</w:t>
      </w:r>
    </w:p>
    <w:p w:rsidR="00F330E2" w:rsidRPr="004C466A" w:rsidRDefault="00F330E2" w:rsidP="00F330E2">
      <w:pPr>
        <w:pStyle w:val="aa"/>
        <w:numPr>
          <w:ilvl w:val="1"/>
          <w:numId w:val="3"/>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火灾、爆炸等意外事故；</w:t>
      </w:r>
    </w:p>
    <w:p w:rsidR="00F330E2" w:rsidRPr="004C466A" w:rsidRDefault="00F330E2" w:rsidP="00F330E2">
      <w:pPr>
        <w:pStyle w:val="aa"/>
        <w:numPr>
          <w:ilvl w:val="1"/>
          <w:numId w:val="3"/>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因药品、消毒药剂、医疗器械的缺陷，或者输入不合格血液，或药品不良反应；</w:t>
      </w:r>
    </w:p>
    <w:p w:rsidR="00F330E2" w:rsidRPr="004C466A" w:rsidRDefault="00F330E2" w:rsidP="00F330E2">
      <w:pPr>
        <w:pStyle w:val="aa"/>
        <w:numPr>
          <w:ilvl w:val="1"/>
          <w:numId w:val="3"/>
        </w:numPr>
        <w:ind w:left="1276" w:firstLineChars="0" w:hanging="425"/>
        <w:jc w:val="left"/>
        <w:rPr>
          <w:rFonts w:asciiTheme="majorEastAsia" w:eastAsiaTheme="majorEastAsia" w:hAnsiTheme="majorEastAsia"/>
          <w:sz w:val="22"/>
        </w:rPr>
      </w:pPr>
      <w:r w:rsidRPr="004C466A">
        <w:rPr>
          <w:rFonts w:asciiTheme="majorEastAsia" w:eastAsiaTheme="majorEastAsia" w:hAnsiTheme="majorEastAsia" w:hint="eastAsia"/>
          <w:sz w:val="22"/>
        </w:rPr>
        <w:t>投保人、被保险人在投保之前已经知道或可以合理预见的索赔情况。</w:t>
      </w:r>
    </w:p>
    <w:p w:rsidR="00F330E2" w:rsidRPr="004C466A" w:rsidRDefault="00F330E2" w:rsidP="00F330E2">
      <w:pPr>
        <w:ind w:firstLineChars="190" w:firstLine="418"/>
        <w:jc w:val="left"/>
        <w:rPr>
          <w:rFonts w:asciiTheme="majorEastAsia" w:eastAsiaTheme="majorEastAsia" w:hAnsiTheme="majorEastAsia"/>
          <w:sz w:val="22"/>
        </w:rPr>
      </w:pPr>
      <w:r>
        <w:rPr>
          <w:rFonts w:asciiTheme="majorEastAsia" w:eastAsiaTheme="majorEastAsia" w:hAnsiTheme="majorEastAsia" w:hint="eastAsia"/>
          <w:sz w:val="22"/>
        </w:rPr>
        <w:t>（3）</w:t>
      </w:r>
      <w:r w:rsidRPr="004C466A">
        <w:rPr>
          <w:rFonts w:asciiTheme="majorEastAsia" w:eastAsiaTheme="majorEastAsia" w:hAnsiTheme="majorEastAsia" w:hint="eastAsia"/>
          <w:sz w:val="22"/>
        </w:rPr>
        <w:t>下列损失、费用和责任，保险人也不负责赔偿：</w:t>
      </w:r>
    </w:p>
    <w:p w:rsidR="00F330E2" w:rsidRPr="004C466A" w:rsidRDefault="00F330E2" w:rsidP="00F330E2">
      <w:pPr>
        <w:pStyle w:val="aa"/>
        <w:numPr>
          <w:ilvl w:val="2"/>
          <w:numId w:val="4"/>
        </w:numPr>
        <w:ind w:firstLineChars="0"/>
        <w:jc w:val="left"/>
        <w:rPr>
          <w:rFonts w:asciiTheme="majorEastAsia" w:eastAsiaTheme="majorEastAsia" w:hAnsiTheme="majorEastAsia"/>
          <w:sz w:val="22"/>
        </w:rPr>
      </w:pPr>
      <w:r w:rsidRPr="004C466A">
        <w:rPr>
          <w:rFonts w:asciiTheme="majorEastAsia" w:eastAsiaTheme="majorEastAsia" w:hAnsiTheme="majorEastAsia" w:hint="eastAsia"/>
          <w:sz w:val="22"/>
        </w:rPr>
        <w:t xml:space="preserve">被保险人的人身伤亡；    </w:t>
      </w:r>
    </w:p>
    <w:p w:rsidR="00F330E2" w:rsidRPr="004C466A" w:rsidRDefault="00F330E2" w:rsidP="00F330E2">
      <w:pPr>
        <w:pStyle w:val="aa"/>
        <w:numPr>
          <w:ilvl w:val="2"/>
          <w:numId w:val="4"/>
        </w:numPr>
        <w:ind w:firstLineChars="0"/>
        <w:jc w:val="left"/>
        <w:rPr>
          <w:rFonts w:asciiTheme="majorEastAsia" w:eastAsiaTheme="majorEastAsia" w:hAnsiTheme="majorEastAsia"/>
          <w:sz w:val="22"/>
        </w:rPr>
      </w:pPr>
      <w:r w:rsidRPr="004C466A">
        <w:rPr>
          <w:rFonts w:asciiTheme="majorEastAsia" w:eastAsiaTheme="majorEastAsia" w:hAnsiTheme="majorEastAsia" w:hint="eastAsia"/>
          <w:sz w:val="22"/>
        </w:rPr>
        <w:t>罚款、罚金或惩罚性赔偿；</w:t>
      </w:r>
    </w:p>
    <w:p w:rsidR="00F330E2" w:rsidRPr="004C466A" w:rsidRDefault="00F330E2" w:rsidP="00F330E2">
      <w:pPr>
        <w:pStyle w:val="aa"/>
        <w:numPr>
          <w:ilvl w:val="2"/>
          <w:numId w:val="4"/>
        </w:numPr>
        <w:ind w:firstLineChars="0"/>
        <w:jc w:val="left"/>
        <w:rPr>
          <w:rFonts w:asciiTheme="majorEastAsia" w:eastAsiaTheme="majorEastAsia" w:hAnsiTheme="majorEastAsia"/>
          <w:sz w:val="22"/>
        </w:rPr>
      </w:pPr>
      <w:r w:rsidRPr="004C466A">
        <w:rPr>
          <w:rFonts w:asciiTheme="majorEastAsia" w:eastAsiaTheme="majorEastAsia" w:hAnsiTheme="majorEastAsia" w:hint="eastAsia"/>
          <w:sz w:val="22"/>
        </w:rPr>
        <w:t>被保险人根据与患方签订的协议应承担的责任，但即使没有这种协议，被保险人依法仍应承担的责任不在此限；</w:t>
      </w:r>
    </w:p>
    <w:p w:rsidR="00F330E2" w:rsidRPr="004C466A" w:rsidRDefault="00F330E2" w:rsidP="00F330E2">
      <w:pPr>
        <w:pStyle w:val="aa"/>
        <w:numPr>
          <w:ilvl w:val="2"/>
          <w:numId w:val="4"/>
        </w:numPr>
        <w:ind w:firstLineChars="0"/>
        <w:jc w:val="left"/>
        <w:rPr>
          <w:rFonts w:asciiTheme="majorEastAsia" w:eastAsiaTheme="majorEastAsia" w:hAnsiTheme="majorEastAsia"/>
          <w:sz w:val="22"/>
        </w:rPr>
      </w:pPr>
      <w:r w:rsidRPr="004C466A">
        <w:rPr>
          <w:rFonts w:asciiTheme="majorEastAsia" w:eastAsiaTheme="majorEastAsia" w:hAnsiTheme="majorEastAsia" w:hint="eastAsia"/>
          <w:sz w:val="22"/>
        </w:rPr>
        <w:t>间接损失；</w:t>
      </w:r>
    </w:p>
    <w:p w:rsidR="00F330E2" w:rsidRPr="004C466A" w:rsidRDefault="00F330E2" w:rsidP="00F330E2">
      <w:pPr>
        <w:pStyle w:val="aa"/>
        <w:numPr>
          <w:ilvl w:val="2"/>
          <w:numId w:val="4"/>
        </w:numPr>
        <w:ind w:firstLineChars="0"/>
        <w:jc w:val="left"/>
        <w:rPr>
          <w:rFonts w:asciiTheme="majorEastAsia" w:eastAsiaTheme="majorEastAsia" w:hAnsiTheme="majorEastAsia"/>
          <w:sz w:val="22"/>
        </w:rPr>
      </w:pPr>
      <w:r w:rsidRPr="004C466A">
        <w:rPr>
          <w:rFonts w:asciiTheme="majorEastAsia" w:eastAsiaTheme="majorEastAsia" w:hAnsiTheme="majorEastAsia" w:hint="eastAsia"/>
          <w:sz w:val="22"/>
        </w:rPr>
        <w:t>财产损失；</w:t>
      </w:r>
    </w:p>
    <w:p w:rsidR="00F330E2" w:rsidRPr="004C466A" w:rsidRDefault="00F330E2" w:rsidP="00F330E2">
      <w:pPr>
        <w:pStyle w:val="aa"/>
        <w:numPr>
          <w:ilvl w:val="2"/>
          <w:numId w:val="4"/>
        </w:numPr>
        <w:ind w:firstLineChars="0"/>
        <w:jc w:val="left"/>
        <w:rPr>
          <w:rFonts w:asciiTheme="majorEastAsia" w:eastAsiaTheme="majorEastAsia" w:hAnsiTheme="majorEastAsia"/>
          <w:sz w:val="22"/>
        </w:rPr>
      </w:pPr>
      <w:r w:rsidRPr="004C466A">
        <w:rPr>
          <w:rFonts w:asciiTheme="majorEastAsia" w:eastAsiaTheme="majorEastAsia" w:hAnsiTheme="majorEastAsia" w:hint="eastAsia"/>
          <w:sz w:val="22"/>
        </w:rPr>
        <w:t>精神损害赔偿；</w:t>
      </w:r>
    </w:p>
    <w:p w:rsidR="00F330E2" w:rsidRDefault="00F330E2" w:rsidP="00F330E2">
      <w:pPr>
        <w:pStyle w:val="aa"/>
        <w:numPr>
          <w:ilvl w:val="2"/>
          <w:numId w:val="4"/>
        </w:numPr>
        <w:ind w:firstLineChars="0"/>
        <w:jc w:val="left"/>
        <w:rPr>
          <w:rFonts w:asciiTheme="majorEastAsia" w:eastAsiaTheme="majorEastAsia" w:hAnsiTheme="majorEastAsia"/>
          <w:sz w:val="22"/>
        </w:rPr>
      </w:pPr>
      <w:r w:rsidRPr="004C466A">
        <w:rPr>
          <w:rFonts w:asciiTheme="majorEastAsia" w:eastAsiaTheme="majorEastAsia" w:hAnsiTheme="majorEastAsia" w:hint="eastAsia"/>
          <w:sz w:val="22"/>
        </w:rPr>
        <w:t>本保险单载明的免赔额或按免赔率计算的免赔额。</w:t>
      </w:r>
    </w:p>
    <w:p w:rsidR="00F330E2" w:rsidRDefault="00F330E2">
      <w:pPr>
        <w:rPr>
          <w:rFonts w:ascii="微软雅黑" w:eastAsia="微软雅黑" w:hAnsi="微软雅黑" w:hint="eastAsia"/>
          <w:color w:val="333333"/>
          <w:sz w:val="20"/>
          <w:szCs w:val="20"/>
          <w:shd w:val="clear" w:color="auto" w:fill="FFFFFF"/>
        </w:rPr>
      </w:pPr>
      <w:r>
        <w:rPr>
          <w:rFonts w:hint="eastAsia"/>
        </w:rPr>
        <w:t>5</w:t>
      </w:r>
      <w:r>
        <w:rPr>
          <w:rFonts w:hint="eastAsia"/>
        </w:rPr>
        <w:t>、</w:t>
      </w:r>
      <w:r>
        <w:rPr>
          <w:rFonts w:ascii="微软雅黑" w:eastAsia="微软雅黑" w:hAnsi="微软雅黑" w:hint="eastAsia"/>
          <w:color w:val="333333"/>
          <w:sz w:val="20"/>
          <w:szCs w:val="20"/>
          <w:shd w:val="clear" w:color="auto" w:fill="FFFFFF"/>
        </w:rPr>
        <w:t>特别约定：</w:t>
      </w:r>
    </w:p>
    <w:p w:rsidR="00F330E2" w:rsidRPr="00F330E2" w:rsidRDefault="00F330E2" w:rsidP="00F330E2">
      <w:pPr>
        <w:rPr>
          <w:rFonts w:ascii="微软雅黑" w:eastAsia="微软雅黑" w:hAnsi="微软雅黑"/>
          <w:color w:val="000000" w:themeColor="text1"/>
          <w:szCs w:val="21"/>
        </w:rPr>
      </w:pPr>
      <w:r w:rsidRPr="00F330E2">
        <w:rPr>
          <w:rFonts w:ascii="微软雅黑" w:eastAsia="微软雅黑" w:hAnsi="微软雅黑" w:hint="eastAsia"/>
          <w:color w:val="000000" w:themeColor="text1"/>
          <w:szCs w:val="21"/>
        </w:rPr>
        <w:t>1）保险责任的认定方式有两种：法院判决或医疗调解。</w:t>
      </w:r>
    </w:p>
    <w:p w:rsidR="00F330E2" w:rsidRPr="00F330E2" w:rsidRDefault="00F330E2" w:rsidP="00F330E2">
      <w:pPr>
        <w:spacing w:line="440" w:lineRule="exact"/>
        <w:rPr>
          <w:rFonts w:ascii="微软雅黑" w:eastAsia="微软雅黑" w:hAnsi="微软雅黑"/>
          <w:color w:val="000000" w:themeColor="text1"/>
          <w:szCs w:val="21"/>
        </w:rPr>
      </w:pPr>
      <w:r w:rsidRPr="00F330E2">
        <w:rPr>
          <w:rFonts w:ascii="微软雅黑" w:eastAsia="微软雅黑" w:hAnsi="微软雅黑" w:hint="eastAsia"/>
          <w:color w:val="000000" w:themeColor="text1"/>
          <w:szCs w:val="21"/>
        </w:rPr>
        <w:lastRenderedPageBreak/>
        <w:t>2）法律费用是因法院判决而产生的相关费用，包括：尸体病理解剖费、鉴定费、查勘费、取证费、诉讼费及律师费等。</w:t>
      </w:r>
    </w:p>
    <w:p w:rsidR="00F330E2" w:rsidRPr="00F330E2" w:rsidRDefault="00F330E2" w:rsidP="00F330E2">
      <w:pPr>
        <w:rPr>
          <w:rFonts w:ascii="微软雅黑" w:eastAsia="微软雅黑" w:hAnsi="微软雅黑"/>
          <w:color w:val="000000" w:themeColor="text1"/>
          <w:szCs w:val="21"/>
        </w:rPr>
      </w:pPr>
      <w:r w:rsidRPr="00F330E2">
        <w:rPr>
          <w:rFonts w:hint="eastAsia"/>
          <w:color w:val="000000" w:themeColor="text1"/>
        </w:rPr>
        <w:t>3</w:t>
      </w:r>
      <w:r w:rsidRPr="00F330E2">
        <w:rPr>
          <w:rFonts w:hint="eastAsia"/>
          <w:color w:val="000000" w:themeColor="text1"/>
        </w:rPr>
        <w:t>）</w:t>
      </w:r>
      <w:r w:rsidRPr="00F330E2">
        <w:rPr>
          <w:rFonts w:ascii="微软雅黑" w:eastAsia="微软雅黑" w:hAnsi="微软雅黑" w:hint="eastAsia"/>
          <w:color w:val="000000" w:themeColor="text1"/>
          <w:szCs w:val="21"/>
        </w:rPr>
        <w:t>法律费用限额：尊享版每次事故限额</w:t>
      </w:r>
      <w:r w:rsidRPr="00F330E2">
        <w:rPr>
          <w:rFonts w:ascii="微软雅黑" w:eastAsia="微软雅黑" w:hAnsi="微软雅黑"/>
          <w:color w:val="000000" w:themeColor="text1"/>
          <w:szCs w:val="21"/>
        </w:rPr>
        <w:t>6万元</w:t>
      </w:r>
      <w:r w:rsidRPr="00F330E2">
        <w:rPr>
          <w:rFonts w:ascii="微软雅黑" w:eastAsia="微软雅黑" w:hAnsi="微软雅黑" w:hint="eastAsia"/>
          <w:color w:val="000000" w:themeColor="text1"/>
          <w:szCs w:val="21"/>
        </w:rPr>
        <w:t>，累计限额10万元</w:t>
      </w:r>
      <w:r w:rsidRPr="00F330E2">
        <w:rPr>
          <w:rFonts w:ascii="微软雅黑" w:eastAsia="微软雅黑" w:hAnsi="微软雅黑"/>
          <w:color w:val="000000" w:themeColor="text1"/>
          <w:szCs w:val="21"/>
        </w:rPr>
        <w:t xml:space="preserve"> ；贴心版每次</w:t>
      </w:r>
      <w:r w:rsidRPr="00F330E2">
        <w:rPr>
          <w:rFonts w:ascii="微软雅黑" w:eastAsia="微软雅黑" w:hAnsi="微软雅黑" w:hint="eastAsia"/>
          <w:color w:val="000000" w:themeColor="text1"/>
          <w:szCs w:val="21"/>
        </w:rPr>
        <w:t>事故</w:t>
      </w:r>
      <w:r w:rsidRPr="00F330E2">
        <w:rPr>
          <w:rFonts w:ascii="微软雅黑" w:eastAsia="微软雅黑" w:hAnsi="微软雅黑"/>
          <w:color w:val="000000" w:themeColor="text1"/>
          <w:szCs w:val="21"/>
        </w:rPr>
        <w:t>限额2万元</w:t>
      </w:r>
      <w:r w:rsidRPr="00F330E2">
        <w:rPr>
          <w:rFonts w:ascii="微软雅黑" w:eastAsia="微软雅黑" w:hAnsi="微软雅黑" w:hint="eastAsia"/>
          <w:color w:val="000000" w:themeColor="text1"/>
          <w:szCs w:val="21"/>
        </w:rPr>
        <w:t>，累计限额4万元。</w:t>
      </w:r>
    </w:p>
    <w:p w:rsidR="00F330E2" w:rsidRDefault="00F330E2" w:rsidP="00F330E2">
      <w:pPr>
        <w:pStyle w:val="ab"/>
        <w:shd w:val="clear" w:color="auto" w:fill="FFFFFF"/>
        <w:spacing w:before="0" w:beforeAutospacing="0" w:after="0" w:afterAutospacing="0" w:line="502" w:lineRule="atLeast"/>
        <w:rPr>
          <w:rFonts w:ascii="微软雅黑" w:eastAsia="微软雅黑" w:hAnsi="微软雅黑"/>
          <w:color w:val="333333"/>
          <w:sz w:val="20"/>
          <w:szCs w:val="20"/>
        </w:rPr>
      </w:pPr>
      <w:r>
        <w:rPr>
          <w:rFonts w:ascii="微软雅黑" w:eastAsia="微软雅黑" w:hAnsi="微软雅黑" w:hint="eastAsia"/>
          <w:color w:val="333333"/>
          <w:sz w:val="20"/>
          <w:szCs w:val="20"/>
        </w:rPr>
        <w:t>6、承保流程：投保成功后，我们将向您预留的手机/邮箱发送承保短信/电子保单，请注意查收。</w:t>
      </w:r>
    </w:p>
    <w:p w:rsidR="00F330E2" w:rsidRDefault="00F330E2" w:rsidP="00F330E2">
      <w:pPr>
        <w:pStyle w:val="ab"/>
        <w:shd w:val="clear" w:color="auto" w:fill="FFFFFF"/>
        <w:spacing w:before="0" w:beforeAutospacing="0" w:after="0" w:afterAutospacing="0" w:line="502" w:lineRule="atLeas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7、理赔流程：若不幸发生保险事故，您可通过客服热线95518报案，并按照客服人员的告知进行理赔申请。</w:t>
      </w:r>
    </w:p>
    <w:p w:rsidR="00F330E2" w:rsidRPr="00F330E2" w:rsidRDefault="00F330E2"/>
    <w:sectPr w:rsidR="00F330E2" w:rsidRPr="00F330E2" w:rsidSect="00C5176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董雪梅" w:date="2021-05-28T23:08:00Z" w:initials="董雪梅">
    <w:p w:rsidR="00A1325E" w:rsidRDefault="00A1325E">
      <w:pPr>
        <w:pStyle w:val="a5"/>
      </w:pPr>
      <w:r>
        <w:rPr>
          <w:rStyle w:val="a4"/>
        </w:rPr>
        <w:annotationRef/>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0B1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041" w:rsidRDefault="00012041" w:rsidP="00F330E2">
      <w:r>
        <w:separator/>
      </w:r>
    </w:p>
  </w:endnote>
  <w:endnote w:type="continuationSeparator" w:id="1">
    <w:p w:rsidR="00012041" w:rsidRDefault="00012041" w:rsidP="00F330E2">
      <w:r>
        <w:continuationSeparator/>
      </w:r>
    </w:p>
  </w:endnote>
</w:endnotes>
</file>

<file path=word/fontTable.xml><?xml version="1.0" encoding="utf-8"?>
<w:fonts xmlns:r="http://schemas.openxmlformats.org/officeDocument/2006/relationships" xmlns:w="http://schemas.openxmlformats.org/wordprocessingml/2006/main">
  <w:font w:name="等线 Light">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041" w:rsidRDefault="00012041" w:rsidP="00F330E2">
      <w:r>
        <w:separator/>
      </w:r>
    </w:p>
  </w:footnote>
  <w:footnote w:type="continuationSeparator" w:id="1">
    <w:p w:rsidR="00012041" w:rsidRDefault="00012041" w:rsidP="00F330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4072E"/>
    <w:multiLevelType w:val="hybridMultilevel"/>
    <w:tmpl w:val="27765E08"/>
    <w:lvl w:ilvl="0" w:tplc="04090011">
      <w:start w:val="1"/>
      <w:numFmt w:val="decimal"/>
      <w:lvlText w:val="%1)"/>
      <w:lvlJc w:val="left"/>
      <w:pPr>
        <w:ind w:left="420" w:hanging="420"/>
      </w:pPr>
    </w:lvl>
    <w:lvl w:ilvl="1" w:tplc="BFDE2060">
      <w:start w:val="6"/>
      <w:numFmt w:val="japaneseCounting"/>
      <w:lvlText w:val="（%2）"/>
      <w:lvlJc w:val="left"/>
      <w:pPr>
        <w:ind w:left="1140" w:hanging="720"/>
      </w:pPr>
      <w:rPr>
        <w:rFonts w:asciiTheme="majorEastAsia" w:eastAsiaTheme="majorEastAsia" w:hAnsiTheme="majorEastAsia" w:cstheme="minorBidi" w:hint="default"/>
        <w:b w:val="0"/>
        <w:sz w:val="22"/>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B86F74"/>
    <w:multiLevelType w:val="hybridMultilevel"/>
    <w:tmpl w:val="6F56A508"/>
    <w:lvl w:ilvl="0" w:tplc="04090011">
      <w:start w:val="1"/>
      <w:numFmt w:val="decimal"/>
      <w:lvlText w:val="%1)"/>
      <w:lvlJc w:val="left"/>
      <w:pPr>
        <w:ind w:left="1700" w:hanging="420"/>
      </w:pPr>
    </w:lvl>
    <w:lvl w:ilvl="1" w:tplc="04090011">
      <w:start w:val="1"/>
      <w:numFmt w:val="decimal"/>
      <w:lvlText w:val="%2)"/>
      <w:lvlJc w:val="left"/>
      <w:pPr>
        <w:ind w:left="2120" w:hanging="420"/>
      </w:pPr>
    </w:lvl>
    <w:lvl w:ilvl="2" w:tplc="BF500090">
      <w:start w:val="1"/>
      <w:numFmt w:val="japaneseCounting"/>
      <w:lvlText w:val="（%3）"/>
      <w:lvlJc w:val="left"/>
      <w:pPr>
        <w:ind w:left="2840" w:hanging="720"/>
      </w:pPr>
      <w:rPr>
        <w:rFonts w:hint="default"/>
      </w:r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
    <w:nsid w:val="4E6E2A16"/>
    <w:multiLevelType w:val="hybridMultilevel"/>
    <w:tmpl w:val="C9E042B6"/>
    <w:lvl w:ilvl="0" w:tplc="04090017">
      <w:start w:val="1"/>
      <w:numFmt w:val="chineseCountingThousand"/>
      <w:lvlText w:val="(%1)"/>
      <w:lvlJc w:val="left"/>
      <w:pPr>
        <w:ind w:left="840" w:hanging="420"/>
      </w:pPr>
    </w:lvl>
    <w:lvl w:ilvl="1" w:tplc="D61A2F4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C0695F"/>
    <w:multiLevelType w:val="hybridMultilevel"/>
    <w:tmpl w:val="5164BD7E"/>
    <w:lvl w:ilvl="0" w:tplc="04090011">
      <w:start w:val="1"/>
      <w:numFmt w:val="decimal"/>
      <w:lvlText w:val="%1)"/>
      <w:lvlJc w:val="left"/>
      <w:pPr>
        <w:ind w:left="1700" w:hanging="420"/>
      </w:pPr>
    </w:lvl>
    <w:lvl w:ilvl="1" w:tplc="04090011">
      <w:start w:val="1"/>
      <w:numFmt w:val="decimal"/>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董雪梅">
    <w15:presenceInfo w15:providerId="None" w15:userId="董雪梅"/>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2FF6"/>
    <w:rsid w:val="00012041"/>
    <w:rsid w:val="0006240B"/>
    <w:rsid w:val="00334B2A"/>
    <w:rsid w:val="00336C46"/>
    <w:rsid w:val="00756B06"/>
    <w:rsid w:val="00795BC0"/>
    <w:rsid w:val="009E2FF6"/>
    <w:rsid w:val="00A1325E"/>
    <w:rsid w:val="00B643B2"/>
    <w:rsid w:val="00C51768"/>
    <w:rsid w:val="00F330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C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36C46"/>
  </w:style>
  <w:style w:type="character" w:styleId="a3">
    <w:name w:val="Hyperlink"/>
    <w:basedOn w:val="a0"/>
    <w:uiPriority w:val="99"/>
    <w:semiHidden/>
    <w:unhideWhenUsed/>
    <w:rsid w:val="00336C46"/>
    <w:rPr>
      <w:color w:val="0000FF"/>
      <w:u w:val="single"/>
    </w:rPr>
  </w:style>
  <w:style w:type="character" w:styleId="a4">
    <w:name w:val="annotation reference"/>
    <w:basedOn w:val="a0"/>
    <w:uiPriority w:val="99"/>
    <w:semiHidden/>
    <w:unhideWhenUsed/>
    <w:rsid w:val="00A1325E"/>
    <w:rPr>
      <w:sz w:val="21"/>
      <w:szCs w:val="21"/>
    </w:rPr>
  </w:style>
  <w:style w:type="paragraph" w:styleId="a5">
    <w:name w:val="annotation text"/>
    <w:basedOn w:val="a"/>
    <w:link w:val="Char"/>
    <w:uiPriority w:val="99"/>
    <w:semiHidden/>
    <w:unhideWhenUsed/>
    <w:rsid w:val="00A1325E"/>
    <w:pPr>
      <w:jc w:val="left"/>
    </w:pPr>
  </w:style>
  <w:style w:type="character" w:customStyle="1" w:styleId="Char">
    <w:name w:val="批注文字 Char"/>
    <w:basedOn w:val="a0"/>
    <w:link w:val="a5"/>
    <w:uiPriority w:val="99"/>
    <w:semiHidden/>
    <w:rsid w:val="00A1325E"/>
    <w:rPr>
      <w:rFonts w:ascii="Times New Roman" w:eastAsia="宋体" w:hAnsi="Times New Roman" w:cs="Times New Roman"/>
      <w:szCs w:val="24"/>
    </w:rPr>
  </w:style>
  <w:style w:type="paragraph" w:styleId="a6">
    <w:name w:val="annotation subject"/>
    <w:basedOn w:val="a5"/>
    <w:next w:val="a5"/>
    <w:link w:val="Char0"/>
    <w:uiPriority w:val="99"/>
    <w:semiHidden/>
    <w:unhideWhenUsed/>
    <w:rsid w:val="00A1325E"/>
    <w:rPr>
      <w:b/>
      <w:bCs/>
    </w:rPr>
  </w:style>
  <w:style w:type="character" w:customStyle="1" w:styleId="Char0">
    <w:name w:val="批注主题 Char"/>
    <w:basedOn w:val="Char"/>
    <w:link w:val="a6"/>
    <w:uiPriority w:val="99"/>
    <w:semiHidden/>
    <w:rsid w:val="00A1325E"/>
    <w:rPr>
      <w:rFonts w:ascii="Times New Roman" w:eastAsia="宋体" w:hAnsi="Times New Roman" w:cs="Times New Roman"/>
      <w:b/>
      <w:bCs/>
      <w:szCs w:val="24"/>
    </w:rPr>
  </w:style>
  <w:style w:type="paragraph" w:styleId="a7">
    <w:name w:val="Balloon Text"/>
    <w:basedOn w:val="a"/>
    <w:link w:val="Char1"/>
    <w:uiPriority w:val="99"/>
    <w:semiHidden/>
    <w:unhideWhenUsed/>
    <w:rsid w:val="00A1325E"/>
    <w:rPr>
      <w:sz w:val="18"/>
      <w:szCs w:val="18"/>
    </w:rPr>
  </w:style>
  <w:style w:type="character" w:customStyle="1" w:styleId="Char1">
    <w:name w:val="批注框文本 Char"/>
    <w:basedOn w:val="a0"/>
    <w:link w:val="a7"/>
    <w:uiPriority w:val="99"/>
    <w:semiHidden/>
    <w:rsid w:val="00A1325E"/>
    <w:rPr>
      <w:rFonts w:ascii="Times New Roman" w:eastAsia="宋体" w:hAnsi="Times New Roman" w:cs="Times New Roman"/>
      <w:sz w:val="18"/>
      <w:szCs w:val="18"/>
    </w:rPr>
  </w:style>
  <w:style w:type="paragraph" w:styleId="a8">
    <w:name w:val="header"/>
    <w:basedOn w:val="a"/>
    <w:link w:val="Char2"/>
    <w:uiPriority w:val="99"/>
    <w:semiHidden/>
    <w:unhideWhenUsed/>
    <w:rsid w:val="00F330E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F330E2"/>
    <w:rPr>
      <w:rFonts w:ascii="Times New Roman" w:eastAsia="宋体" w:hAnsi="Times New Roman" w:cs="Times New Roman"/>
      <w:sz w:val="18"/>
      <w:szCs w:val="18"/>
    </w:rPr>
  </w:style>
  <w:style w:type="paragraph" w:styleId="a9">
    <w:name w:val="footer"/>
    <w:basedOn w:val="a"/>
    <w:link w:val="Char3"/>
    <w:uiPriority w:val="99"/>
    <w:semiHidden/>
    <w:unhideWhenUsed/>
    <w:rsid w:val="00F330E2"/>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F330E2"/>
    <w:rPr>
      <w:rFonts w:ascii="Times New Roman" w:eastAsia="宋体" w:hAnsi="Times New Roman" w:cs="Times New Roman"/>
      <w:sz w:val="18"/>
      <w:szCs w:val="18"/>
    </w:rPr>
  </w:style>
  <w:style w:type="paragraph" w:styleId="aa">
    <w:name w:val="List Paragraph"/>
    <w:basedOn w:val="a"/>
    <w:uiPriority w:val="34"/>
    <w:qFormat/>
    <w:rsid w:val="00F330E2"/>
    <w:pPr>
      <w:ind w:firstLineChars="200" w:firstLine="420"/>
    </w:pPr>
    <w:rPr>
      <w:rFonts w:asciiTheme="minorHAnsi" w:eastAsiaTheme="minorEastAsia" w:hAnsiTheme="minorHAnsi" w:cstheme="minorBidi"/>
      <w:szCs w:val="22"/>
    </w:rPr>
  </w:style>
  <w:style w:type="paragraph" w:styleId="ab">
    <w:name w:val="Normal (Web)"/>
    <w:basedOn w:val="a"/>
    <w:uiPriority w:val="99"/>
    <w:semiHidden/>
    <w:unhideWhenUsed/>
    <w:rsid w:val="00F330E2"/>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629672700">
      <w:bodyDiv w:val="1"/>
      <w:marLeft w:val="0"/>
      <w:marRight w:val="0"/>
      <w:marTop w:val="0"/>
      <w:marBottom w:val="0"/>
      <w:divBdr>
        <w:top w:val="none" w:sz="0" w:space="0" w:color="auto"/>
        <w:left w:val="none" w:sz="0" w:space="0" w:color="auto"/>
        <w:bottom w:val="none" w:sz="0" w:space="0" w:color="auto"/>
        <w:right w:val="none" w:sz="0" w:space="0" w:color="auto"/>
      </w:divBdr>
    </w:div>
    <w:div w:id="70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Windows 用户</cp:lastModifiedBy>
  <cp:revision>15</cp:revision>
  <dcterms:created xsi:type="dcterms:W3CDTF">2021-05-28T05:40:00Z</dcterms:created>
  <dcterms:modified xsi:type="dcterms:W3CDTF">2021-05-28T15:21:00Z</dcterms:modified>
</cp:coreProperties>
</file>