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C4C" w:rsidRPr="008F6AFA" w:rsidRDefault="001C173C" w:rsidP="00E62C4C">
      <w:pPr>
        <w:spacing w:line="440" w:lineRule="exact"/>
        <w:rPr>
          <w:rFonts w:ascii="微软雅黑" w:eastAsia="微软雅黑" w:hAnsi="微软雅黑"/>
          <w:b/>
          <w:szCs w:val="21"/>
        </w:rPr>
      </w:pPr>
      <w:r w:rsidRPr="008F6AFA">
        <w:rPr>
          <w:rFonts w:ascii="微软雅黑" w:eastAsia="微软雅黑" w:hAnsi="微软雅黑" w:hint="eastAsia"/>
          <w:b/>
          <w:szCs w:val="21"/>
        </w:rPr>
        <w:t>一</w:t>
      </w:r>
      <w:r w:rsidR="009E2B42" w:rsidRPr="008F6AFA">
        <w:rPr>
          <w:rFonts w:ascii="微软雅黑" w:eastAsia="微软雅黑" w:hAnsi="微软雅黑" w:hint="eastAsia"/>
          <w:b/>
          <w:szCs w:val="21"/>
        </w:rPr>
        <w:t>、头图文案</w:t>
      </w:r>
    </w:p>
    <w:p w:rsidR="00523848" w:rsidRPr="00523848" w:rsidRDefault="00F86446" w:rsidP="00523848">
      <w:pPr>
        <w:spacing w:line="440" w:lineRule="exact"/>
        <w:ind w:firstLineChars="200" w:firstLine="420"/>
        <w:rPr>
          <w:rFonts w:ascii="微软雅黑" w:eastAsia="微软雅黑" w:hAnsi="微软雅黑"/>
          <w:szCs w:val="21"/>
        </w:rPr>
      </w:pPr>
      <w:r>
        <w:rPr>
          <w:rFonts w:asciiTheme="minorEastAsia" w:hAnsiTheme="minorEastAsia" w:hint="eastAsia"/>
          <w:szCs w:val="32"/>
        </w:rPr>
        <w:t>团体意外伤害保险</w:t>
      </w:r>
    </w:p>
    <w:p w:rsidR="009E2B42" w:rsidRPr="00E62C4C" w:rsidRDefault="00523848" w:rsidP="00523848">
      <w:pPr>
        <w:spacing w:line="440" w:lineRule="exact"/>
        <w:ind w:firstLineChars="200" w:firstLine="420"/>
        <w:rPr>
          <w:rFonts w:ascii="微软雅黑" w:eastAsia="微软雅黑" w:hAnsi="微软雅黑"/>
          <w:szCs w:val="21"/>
        </w:rPr>
      </w:pPr>
      <w:r w:rsidRPr="00523848">
        <w:rPr>
          <w:rFonts w:ascii="微软雅黑" w:eastAsia="微软雅黑" w:hAnsi="微软雅黑" w:hint="eastAsia"/>
          <w:szCs w:val="21"/>
        </w:rPr>
        <w:t>多一份保障，多一份安心</w:t>
      </w:r>
    </w:p>
    <w:p w:rsidR="009E2B42" w:rsidRPr="00E62C4C" w:rsidRDefault="009E2B42" w:rsidP="00E62C4C">
      <w:pPr>
        <w:spacing w:line="440" w:lineRule="exact"/>
        <w:ind w:firstLineChars="150" w:firstLine="315"/>
        <w:rPr>
          <w:rFonts w:ascii="微软雅黑" w:eastAsia="微软雅黑" w:hAnsi="微软雅黑"/>
          <w:szCs w:val="21"/>
        </w:rPr>
      </w:pPr>
    </w:p>
    <w:p w:rsidR="00E62C4C" w:rsidRPr="00E62C4C" w:rsidRDefault="00E62C4C" w:rsidP="00E62C4C">
      <w:pPr>
        <w:spacing w:line="440" w:lineRule="exact"/>
        <w:rPr>
          <w:rFonts w:ascii="微软雅黑" w:eastAsia="微软雅黑" w:hAnsi="微软雅黑"/>
          <w:szCs w:val="21"/>
        </w:rPr>
      </w:pPr>
    </w:p>
    <w:p w:rsidR="00E62C4C" w:rsidRPr="008F6AFA" w:rsidRDefault="00E62C4C" w:rsidP="00E62C4C">
      <w:pPr>
        <w:spacing w:line="440" w:lineRule="exact"/>
        <w:rPr>
          <w:rFonts w:ascii="微软雅黑" w:eastAsia="微软雅黑" w:hAnsi="微软雅黑"/>
          <w:b/>
          <w:szCs w:val="21"/>
        </w:rPr>
      </w:pPr>
      <w:r w:rsidRPr="008F6AFA">
        <w:rPr>
          <w:rFonts w:ascii="微软雅黑" w:eastAsia="微软雅黑" w:hAnsi="微软雅黑" w:hint="eastAsia"/>
          <w:b/>
          <w:szCs w:val="21"/>
        </w:rPr>
        <w:t>二、保障详情</w:t>
      </w:r>
    </w:p>
    <w:p w:rsidR="00E62C4C" w:rsidRPr="00E62C4C" w:rsidRDefault="00E62C4C" w:rsidP="00E62C4C">
      <w:pPr>
        <w:spacing w:line="440" w:lineRule="exact"/>
        <w:rPr>
          <w:rFonts w:ascii="微软雅黑" w:eastAsia="微软雅黑" w:hAnsi="微软雅黑"/>
          <w:szCs w:val="21"/>
        </w:rPr>
      </w:pPr>
      <w:r w:rsidRPr="00E62C4C">
        <w:rPr>
          <w:rFonts w:ascii="微软雅黑" w:eastAsia="微软雅黑" w:hAnsi="微软雅黑" w:hint="eastAsia"/>
          <w:szCs w:val="21"/>
        </w:rPr>
        <w:t>（一）</w:t>
      </w:r>
      <w:r w:rsidR="0079619B" w:rsidRPr="0079619B">
        <w:rPr>
          <w:rFonts w:ascii="微软雅黑" w:eastAsia="微软雅黑" w:hAnsi="微软雅黑" w:hint="eastAsia"/>
          <w:szCs w:val="21"/>
        </w:rPr>
        <w:t>方案A</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hint="eastAsia"/>
          <w:b/>
          <w:szCs w:val="21"/>
        </w:rPr>
        <w:t xml:space="preserve">1、意外身故给付限额 </w:t>
      </w:r>
      <w:r w:rsidRPr="0079619B">
        <w:rPr>
          <w:rFonts w:ascii="微软雅黑" w:eastAsia="微软雅黑" w:hAnsi="微软雅黑"/>
          <w:b/>
          <w:szCs w:val="21"/>
        </w:rPr>
        <w:t xml:space="preserve"> 30</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身故的，保险人按意外伤害身故保险金额给付身故保险金，对该被保险人的保险责任终止。</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被保险人因遭受意外伤害事故且自该事故发生日起下落不明，后经人民法院宣告死亡的，保险人按意外伤害身故保险金额给付身故保险金。但若被保险人被宣告死亡后生还的，保险金受领人应于知道或应当知道被保险人生还后三十日内退还保险人给付的身故保险金。</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b/>
          <w:szCs w:val="21"/>
        </w:rPr>
        <w:t>2</w:t>
      </w:r>
      <w:r w:rsidRPr="0079619B">
        <w:rPr>
          <w:rFonts w:ascii="微软雅黑" w:eastAsia="微软雅黑" w:hAnsi="微软雅黑" w:hint="eastAsia"/>
          <w:b/>
          <w:szCs w:val="21"/>
        </w:rPr>
        <w:t xml:space="preserve">、意外残疾给付限额 </w:t>
      </w:r>
      <w:r w:rsidRPr="0079619B">
        <w:rPr>
          <w:rFonts w:ascii="微软雅黑" w:eastAsia="微软雅黑" w:hAnsi="微软雅黑"/>
          <w:b/>
          <w:szCs w:val="21"/>
        </w:rPr>
        <w:t xml:space="preserve"> 30</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造成《人身保险伤残评定标准及代码》（由中国保险监督管理委员会发布，保监发[2014]6号，标准编号为JR/T0083-2013，简称《伤残评定标准》）中列明的伤残程度之一的，保险人按《伤残评定标准》中所对应的保险金给付比例乘以意外伤害残疾保险金额给付残疾保险金。如第一百八十日治疗仍未结束的，按当日的身体情况进行伤残鉴定，并据此给付残疾保险金。</w:t>
      </w:r>
    </w:p>
    <w:p w:rsid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被保险人如在遭受本次意外伤害事故之前已有残疾的，保险人按合并后的伤残程度在《伤残评定标准》中所对应的保险金给付比例乘以意外伤害残疾保险金额给付残疾保险金，但应扣减原有伤残程度在《伤残评定标准》中所对应的残疾保险金（即所对应的保险金给付比例与意外伤害残疾保险金额的乘积）。</w:t>
      </w:r>
    </w:p>
    <w:p w:rsidR="0079619B" w:rsidRDefault="0079619B" w:rsidP="0079619B">
      <w:pPr>
        <w:spacing w:line="440" w:lineRule="exact"/>
        <w:rPr>
          <w:rFonts w:ascii="微软雅黑" w:eastAsia="微软雅黑" w:hAnsi="微软雅黑"/>
          <w:szCs w:val="21"/>
        </w:rPr>
      </w:pPr>
    </w:p>
    <w:p w:rsidR="0079619B" w:rsidRPr="00E62C4C" w:rsidRDefault="0079619B" w:rsidP="0079619B">
      <w:pPr>
        <w:spacing w:line="440" w:lineRule="exact"/>
        <w:rPr>
          <w:rFonts w:ascii="微软雅黑" w:eastAsia="微软雅黑" w:hAnsi="微软雅黑"/>
          <w:szCs w:val="21"/>
        </w:rPr>
      </w:pPr>
      <w:r w:rsidRPr="00E62C4C">
        <w:rPr>
          <w:rFonts w:ascii="微软雅黑" w:eastAsia="微软雅黑" w:hAnsi="微软雅黑" w:hint="eastAsia"/>
          <w:szCs w:val="21"/>
        </w:rPr>
        <w:t>（</w:t>
      </w:r>
      <w:r>
        <w:rPr>
          <w:rFonts w:ascii="微软雅黑" w:eastAsia="微软雅黑" w:hAnsi="微软雅黑" w:hint="eastAsia"/>
          <w:szCs w:val="21"/>
        </w:rPr>
        <w:t>二</w:t>
      </w:r>
      <w:r w:rsidRPr="00E62C4C">
        <w:rPr>
          <w:rFonts w:ascii="微软雅黑" w:eastAsia="微软雅黑" w:hAnsi="微软雅黑" w:hint="eastAsia"/>
          <w:szCs w:val="21"/>
        </w:rPr>
        <w:t>）</w:t>
      </w:r>
      <w:r w:rsidRPr="0079619B">
        <w:rPr>
          <w:rFonts w:ascii="微软雅黑" w:eastAsia="微软雅黑" w:hAnsi="微软雅黑" w:hint="eastAsia"/>
          <w:szCs w:val="21"/>
        </w:rPr>
        <w:t>方案</w:t>
      </w:r>
      <w:r>
        <w:rPr>
          <w:rFonts w:ascii="微软雅黑" w:eastAsia="微软雅黑" w:hAnsi="微软雅黑" w:hint="eastAsia"/>
          <w:szCs w:val="21"/>
        </w:rPr>
        <w:t>B</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hint="eastAsia"/>
          <w:b/>
          <w:szCs w:val="21"/>
        </w:rPr>
        <w:t xml:space="preserve">1、意外身故给付限额 </w:t>
      </w:r>
      <w:r>
        <w:rPr>
          <w:rFonts w:ascii="微软雅黑" w:eastAsia="微软雅黑" w:hAnsi="微软雅黑"/>
          <w:b/>
          <w:szCs w:val="21"/>
        </w:rPr>
        <w:t>15</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身故的，保险人按意外伤害身故保险金额给付身故保险金，对该被保险人的保险责任终止。</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lastRenderedPageBreak/>
        <w:t>被保险人因遭受意外伤害事故且自该事故发生日起下落不明，后经人民法院宣告死亡的，保险人按意外伤害身故保险金额给付身故保险金。但若被保险人被宣告死亡后生还的，保险金受领人应于知道或应当知道被保险人生还后三十日内退还保险人给付的身故保险金。</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b/>
          <w:szCs w:val="21"/>
        </w:rPr>
        <w:t>2</w:t>
      </w:r>
      <w:r w:rsidRPr="0079619B">
        <w:rPr>
          <w:rFonts w:ascii="微软雅黑" w:eastAsia="微软雅黑" w:hAnsi="微软雅黑" w:hint="eastAsia"/>
          <w:b/>
          <w:szCs w:val="21"/>
        </w:rPr>
        <w:t xml:space="preserve">、意外残疾给付限额 </w:t>
      </w:r>
      <w:r>
        <w:rPr>
          <w:rFonts w:ascii="微软雅黑" w:eastAsia="微软雅黑" w:hAnsi="微软雅黑"/>
          <w:b/>
          <w:szCs w:val="21"/>
        </w:rPr>
        <w:t>15</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造成《人身保险伤残评定标准及代码》（由中国保险监督管理委员会发布，保监发[2014]6号，标准编号为JR/T0083-2013，简称《伤残评定标准》）中列明的伤残程度之一的，保险人按《伤残评定标准》中所对应的保险金给付比例乘以意外伤害残疾保险金额给付残疾保险金。如第一百八十日治疗仍未结束的，按当日的身体情况进行伤残鉴定，并据此给付残疾保险金。</w:t>
      </w:r>
    </w:p>
    <w:p w:rsid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被保险人如在遭受本次意外伤害事故之前已有残疾的，保险人按合并后的伤残程度在《伤残评定标准》中所对应的保险金给付比例乘以意外伤害残疾保险金额给付残疾保险金，但应扣减原有伤残程度在《伤残评定标准》中所对应的残疾保险金（即所对应的保险金给付比例与意外伤害残疾保险金额的乘积）。</w:t>
      </w:r>
    </w:p>
    <w:p w:rsidR="0079619B" w:rsidRDefault="0079619B" w:rsidP="0079619B">
      <w:pPr>
        <w:spacing w:line="440" w:lineRule="exact"/>
        <w:rPr>
          <w:rFonts w:ascii="微软雅黑" w:eastAsia="微软雅黑" w:hAnsi="微软雅黑"/>
          <w:szCs w:val="21"/>
        </w:rPr>
      </w:pPr>
    </w:p>
    <w:p w:rsidR="0079619B" w:rsidRDefault="0079619B" w:rsidP="0079619B">
      <w:pPr>
        <w:spacing w:line="440" w:lineRule="exact"/>
        <w:rPr>
          <w:rFonts w:ascii="微软雅黑" w:eastAsia="微软雅黑" w:hAnsi="微软雅黑"/>
          <w:szCs w:val="21"/>
        </w:rPr>
      </w:pPr>
      <w:r w:rsidRPr="00E62C4C">
        <w:rPr>
          <w:rFonts w:ascii="微软雅黑" w:eastAsia="微软雅黑" w:hAnsi="微软雅黑" w:hint="eastAsia"/>
          <w:szCs w:val="21"/>
        </w:rPr>
        <w:t>（</w:t>
      </w:r>
      <w:r>
        <w:rPr>
          <w:rFonts w:ascii="微软雅黑" w:eastAsia="微软雅黑" w:hAnsi="微软雅黑" w:hint="eastAsia"/>
          <w:szCs w:val="21"/>
        </w:rPr>
        <w:t>三</w:t>
      </w:r>
      <w:r w:rsidRPr="00E62C4C">
        <w:rPr>
          <w:rFonts w:ascii="微软雅黑" w:eastAsia="微软雅黑" w:hAnsi="微软雅黑" w:hint="eastAsia"/>
          <w:szCs w:val="21"/>
        </w:rPr>
        <w:t>）</w:t>
      </w:r>
      <w:r w:rsidRPr="0079619B">
        <w:rPr>
          <w:rFonts w:ascii="微软雅黑" w:eastAsia="微软雅黑" w:hAnsi="微软雅黑" w:hint="eastAsia"/>
          <w:szCs w:val="21"/>
        </w:rPr>
        <w:t>方案</w:t>
      </w:r>
      <w:r>
        <w:rPr>
          <w:rFonts w:ascii="微软雅黑" w:eastAsia="微软雅黑" w:hAnsi="微软雅黑"/>
          <w:szCs w:val="21"/>
        </w:rPr>
        <w:t>C</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hint="eastAsia"/>
          <w:b/>
          <w:szCs w:val="21"/>
        </w:rPr>
        <w:t xml:space="preserve">1、意外身故给付限额 </w:t>
      </w:r>
      <w:r>
        <w:rPr>
          <w:rFonts w:ascii="微软雅黑" w:eastAsia="微软雅黑" w:hAnsi="微软雅黑"/>
          <w:b/>
          <w:szCs w:val="21"/>
        </w:rPr>
        <w:t>10</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身故的，保险人按意外伤害身故保险金额给付身故保险金，对该被保险人的保险责任终止。</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被保险人因遭受意外伤害事故且自该事故发生日起下落不明，后经人民法院宣告死亡的，保险人按意外伤害身故保险金额给付身故保险金。但若被保险人被宣告死亡后生还的，保险金受领人应于知道或应当知道被保险人生还后三十日内退还保险人给付的身故保险金。</w:t>
      </w:r>
    </w:p>
    <w:p w:rsidR="0079619B" w:rsidRPr="0079619B" w:rsidRDefault="0079619B" w:rsidP="0079619B">
      <w:pPr>
        <w:spacing w:line="440" w:lineRule="exact"/>
        <w:rPr>
          <w:rFonts w:ascii="微软雅黑" w:eastAsia="微软雅黑" w:hAnsi="微软雅黑"/>
          <w:b/>
          <w:szCs w:val="21"/>
        </w:rPr>
      </w:pPr>
      <w:r w:rsidRPr="0079619B">
        <w:rPr>
          <w:rFonts w:ascii="微软雅黑" w:eastAsia="微软雅黑" w:hAnsi="微软雅黑"/>
          <w:b/>
          <w:szCs w:val="21"/>
        </w:rPr>
        <w:t>2</w:t>
      </w:r>
      <w:r w:rsidRPr="0079619B">
        <w:rPr>
          <w:rFonts w:ascii="微软雅黑" w:eastAsia="微软雅黑" w:hAnsi="微软雅黑" w:hint="eastAsia"/>
          <w:b/>
          <w:szCs w:val="21"/>
        </w:rPr>
        <w:t xml:space="preserve">、意外残疾给付限额 </w:t>
      </w:r>
      <w:r>
        <w:rPr>
          <w:rFonts w:ascii="微软雅黑" w:eastAsia="微软雅黑" w:hAnsi="微软雅黑"/>
          <w:b/>
          <w:szCs w:val="21"/>
        </w:rPr>
        <w:t>10</w:t>
      </w:r>
      <w:r w:rsidRPr="0079619B">
        <w:rPr>
          <w:rFonts w:ascii="微软雅黑" w:eastAsia="微软雅黑" w:hAnsi="微软雅黑" w:hint="eastAsia"/>
          <w:b/>
          <w:szCs w:val="21"/>
        </w:rPr>
        <w:t>万</w:t>
      </w:r>
    </w:p>
    <w:p w:rsidR="0079619B" w:rsidRP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在保险期间内，且在约定的保险责任期间内，被保险人遭受意外伤害事故，并自该事故发生之日起一百八十日内因该意外伤害为直接原因造成《人身保险伤残评定标准及代码》（由中国保险监督管理委员会发布，保监发[2014]6号，标准编号为JR/T0083-2013，简称《伤残评定标准》）中列明的伤残程度之一的，保险人按《伤残评定标准》中所对应的保险金给付比例乘以意外伤害残疾保险金额给付残疾保险金。如第一百八十日治疗仍未结束的，按当日的身体情况进行伤残鉴定，并据此给付残疾保险金。</w:t>
      </w:r>
    </w:p>
    <w:p w:rsidR="0079619B" w:rsidRDefault="0079619B" w:rsidP="0079619B">
      <w:pPr>
        <w:spacing w:line="440" w:lineRule="exact"/>
        <w:rPr>
          <w:rFonts w:ascii="微软雅黑" w:eastAsia="微软雅黑" w:hAnsi="微软雅黑"/>
          <w:szCs w:val="21"/>
        </w:rPr>
      </w:pPr>
      <w:r w:rsidRPr="0079619B">
        <w:rPr>
          <w:rFonts w:ascii="微软雅黑" w:eastAsia="微软雅黑" w:hAnsi="微软雅黑" w:hint="eastAsia"/>
          <w:szCs w:val="21"/>
        </w:rPr>
        <w:t>被保险人如在遭受本次意外伤害事故之前已有残疾的，保险人按合并后的伤残程度在《伤残</w:t>
      </w:r>
      <w:r w:rsidRPr="0079619B">
        <w:rPr>
          <w:rFonts w:ascii="微软雅黑" w:eastAsia="微软雅黑" w:hAnsi="微软雅黑" w:hint="eastAsia"/>
          <w:szCs w:val="21"/>
        </w:rPr>
        <w:lastRenderedPageBreak/>
        <w:t>评定标准》中所对应的保险金给付比例乘以意外伤害残疾保险金额给付残疾保险金，但应扣减原有伤残程度在《伤残评定标准》中所对应的残疾保险金（即所对应的保险金给付比例与意外伤害残疾保险金额的乘积）。</w:t>
      </w:r>
    </w:p>
    <w:p w:rsidR="0079619B" w:rsidRPr="0079619B" w:rsidRDefault="0079619B" w:rsidP="0079619B">
      <w:pPr>
        <w:spacing w:line="440" w:lineRule="exact"/>
        <w:rPr>
          <w:rFonts w:ascii="微软雅黑" w:eastAsia="微软雅黑" w:hAnsi="微软雅黑"/>
          <w:szCs w:val="21"/>
        </w:rPr>
      </w:pPr>
    </w:p>
    <w:p w:rsidR="00E62C4C" w:rsidRPr="0079619B" w:rsidRDefault="00E62C4C" w:rsidP="00E62C4C">
      <w:pPr>
        <w:spacing w:line="440" w:lineRule="exact"/>
        <w:rPr>
          <w:rFonts w:ascii="微软雅黑" w:eastAsia="微软雅黑" w:hAnsi="微软雅黑"/>
          <w:szCs w:val="21"/>
        </w:rPr>
      </w:pPr>
    </w:p>
    <w:p w:rsidR="002F33AF" w:rsidRDefault="002F33AF" w:rsidP="002F33AF">
      <w:pPr>
        <w:spacing w:line="440" w:lineRule="exact"/>
        <w:rPr>
          <w:rFonts w:ascii="微软雅黑" w:eastAsia="微软雅黑" w:hAnsi="微软雅黑"/>
          <w:b/>
          <w:szCs w:val="21"/>
        </w:rPr>
      </w:pPr>
      <w:r w:rsidRPr="008F6AFA">
        <w:rPr>
          <w:rFonts w:ascii="微软雅黑" w:eastAsia="微软雅黑" w:hAnsi="微软雅黑" w:hint="eastAsia"/>
          <w:b/>
          <w:szCs w:val="21"/>
        </w:rPr>
        <w:t>三、产品特色</w:t>
      </w:r>
    </w:p>
    <w:p w:rsidR="00F5301B" w:rsidRPr="00F5301B" w:rsidRDefault="00F5301B" w:rsidP="002F33AF">
      <w:pPr>
        <w:spacing w:line="440" w:lineRule="exact"/>
        <w:rPr>
          <w:rFonts w:ascii="微软雅黑" w:eastAsia="微软雅黑" w:hAnsi="微软雅黑"/>
          <w:szCs w:val="21"/>
        </w:rPr>
      </w:pPr>
      <w:r w:rsidRPr="00F5301B">
        <w:rPr>
          <w:rFonts w:ascii="微软雅黑" w:eastAsia="微软雅黑" w:hAnsi="微软雅黑"/>
          <w:szCs w:val="21"/>
        </w:rPr>
        <w:t>1</w:t>
      </w:r>
      <w:r w:rsidRPr="00F5301B">
        <w:rPr>
          <w:rFonts w:ascii="微软雅黑" w:eastAsia="微软雅黑" w:hAnsi="微软雅黑" w:hint="eastAsia"/>
          <w:szCs w:val="21"/>
        </w:rPr>
        <w:t>、意外风险 全时段保障：工作期间、非工作期间、上下班途中</w:t>
      </w:r>
    </w:p>
    <w:p w:rsidR="002F33AF" w:rsidRPr="002F33AF" w:rsidRDefault="00F5301B" w:rsidP="002F33AF">
      <w:pPr>
        <w:spacing w:line="440" w:lineRule="exact"/>
        <w:rPr>
          <w:rFonts w:ascii="微软雅黑" w:eastAsia="微软雅黑" w:hAnsi="微软雅黑"/>
          <w:szCs w:val="21"/>
        </w:rPr>
      </w:pPr>
      <w:r>
        <w:rPr>
          <w:rFonts w:ascii="微软雅黑" w:eastAsia="微软雅黑" w:hAnsi="微软雅黑"/>
          <w:szCs w:val="21"/>
        </w:rPr>
        <w:t>2</w:t>
      </w:r>
      <w:r w:rsidR="001F701F">
        <w:rPr>
          <w:rFonts w:ascii="微软雅黑" w:eastAsia="微软雅黑" w:hAnsi="微软雅黑" w:hint="eastAsia"/>
          <w:szCs w:val="21"/>
        </w:rPr>
        <w:t>、</w:t>
      </w:r>
      <w:r w:rsidR="001F701F" w:rsidRPr="001F701F">
        <w:rPr>
          <w:rFonts w:ascii="微软雅黑" w:eastAsia="微软雅黑" w:hAnsi="微软雅黑" w:hint="eastAsia"/>
          <w:szCs w:val="21"/>
        </w:rPr>
        <w:t>保险金额最高可达60万元</w:t>
      </w:r>
      <w:r w:rsidR="001F701F">
        <w:rPr>
          <w:rFonts w:ascii="微软雅黑" w:eastAsia="微软雅黑" w:hAnsi="微软雅黑" w:hint="eastAsia"/>
          <w:szCs w:val="21"/>
        </w:rPr>
        <w:t>：</w:t>
      </w:r>
      <w:r w:rsidRPr="00F5301B">
        <w:rPr>
          <w:rFonts w:ascii="微软雅黑" w:eastAsia="微软雅黑" w:hAnsi="微软雅黑" w:hint="eastAsia"/>
          <w:szCs w:val="21"/>
        </w:rPr>
        <w:t>团体意外</w:t>
      </w:r>
      <w:r w:rsidR="001F701F">
        <w:rPr>
          <w:rFonts w:ascii="微软雅黑" w:eastAsia="微软雅黑" w:hAnsi="微软雅黑" w:hint="eastAsia"/>
          <w:szCs w:val="21"/>
        </w:rPr>
        <w:t>身故3</w:t>
      </w:r>
      <w:r w:rsidR="001F701F">
        <w:rPr>
          <w:rFonts w:ascii="微软雅黑" w:eastAsia="微软雅黑" w:hAnsi="微软雅黑"/>
          <w:szCs w:val="21"/>
        </w:rPr>
        <w:t>0</w:t>
      </w:r>
      <w:r w:rsidR="001F701F">
        <w:rPr>
          <w:rFonts w:ascii="微软雅黑" w:eastAsia="微软雅黑" w:hAnsi="微软雅黑" w:hint="eastAsia"/>
          <w:szCs w:val="21"/>
        </w:rPr>
        <w:t>万、</w:t>
      </w:r>
      <w:r w:rsidRPr="00F5301B">
        <w:rPr>
          <w:rFonts w:ascii="微软雅黑" w:eastAsia="微软雅黑" w:hAnsi="微软雅黑" w:hint="eastAsia"/>
          <w:szCs w:val="21"/>
        </w:rPr>
        <w:t>团体意外伤残</w:t>
      </w:r>
      <w:r w:rsidR="001F701F">
        <w:rPr>
          <w:rFonts w:ascii="微软雅黑" w:eastAsia="微软雅黑" w:hAnsi="微软雅黑" w:hint="eastAsia"/>
          <w:szCs w:val="21"/>
        </w:rPr>
        <w:t>3</w:t>
      </w:r>
      <w:r w:rsidR="001F701F">
        <w:rPr>
          <w:rFonts w:ascii="微软雅黑" w:eastAsia="微软雅黑" w:hAnsi="微软雅黑"/>
          <w:szCs w:val="21"/>
        </w:rPr>
        <w:t>0</w:t>
      </w:r>
      <w:r w:rsidR="001F701F">
        <w:rPr>
          <w:rFonts w:ascii="微软雅黑" w:eastAsia="微软雅黑" w:hAnsi="微软雅黑" w:hint="eastAsia"/>
          <w:szCs w:val="21"/>
        </w:rPr>
        <w:t>万</w:t>
      </w:r>
    </w:p>
    <w:p w:rsidR="003F43CA" w:rsidRDefault="00F5301B" w:rsidP="003F43CA">
      <w:pPr>
        <w:spacing w:line="440" w:lineRule="exact"/>
        <w:rPr>
          <w:rFonts w:ascii="微软雅黑" w:eastAsia="微软雅黑" w:hAnsi="微软雅黑"/>
          <w:szCs w:val="21"/>
        </w:rPr>
      </w:pPr>
      <w:r>
        <w:rPr>
          <w:rFonts w:ascii="微软雅黑" w:eastAsia="微软雅黑" w:hAnsi="微软雅黑"/>
          <w:szCs w:val="21"/>
        </w:rPr>
        <w:t>3</w:t>
      </w:r>
      <w:r w:rsidR="002F33AF" w:rsidRPr="002F33AF">
        <w:rPr>
          <w:rFonts w:ascii="微软雅黑" w:eastAsia="微软雅黑" w:hAnsi="微软雅黑" w:hint="eastAsia"/>
          <w:szCs w:val="21"/>
        </w:rPr>
        <w:t>、</w:t>
      </w:r>
      <w:r w:rsidR="001F701F">
        <w:rPr>
          <w:rFonts w:ascii="微软雅黑" w:eastAsia="微软雅黑" w:hAnsi="微软雅黑" w:hint="eastAsia"/>
          <w:szCs w:val="21"/>
        </w:rPr>
        <w:t>足额保障：缓解意外带来家庭资金失衡</w:t>
      </w:r>
    </w:p>
    <w:p w:rsidR="003F43CA" w:rsidRPr="00F72113" w:rsidRDefault="003F43CA" w:rsidP="003F43CA">
      <w:pPr>
        <w:spacing w:line="440" w:lineRule="exact"/>
        <w:rPr>
          <w:rFonts w:ascii="微软雅黑" w:eastAsia="微软雅黑" w:hAnsi="微软雅黑"/>
          <w:szCs w:val="21"/>
        </w:rPr>
      </w:pPr>
      <w:bookmarkStart w:id="0" w:name="_GoBack"/>
      <w:bookmarkEnd w:id="0"/>
    </w:p>
    <w:sectPr w:rsidR="003F43CA" w:rsidRPr="00F72113" w:rsidSect="005B3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734" w:rsidRDefault="001D3734" w:rsidP="003F43CA">
      <w:r>
        <w:separator/>
      </w:r>
    </w:p>
  </w:endnote>
  <w:endnote w:type="continuationSeparator" w:id="0">
    <w:p w:rsidR="001D3734" w:rsidRDefault="001D3734" w:rsidP="003F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734" w:rsidRDefault="001D3734" w:rsidP="003F43CA">
      <w:r>
        <w:separator/>
      </w:r>
    </w:p>
  </w:footnote>
  <w:footnote w:type="continuationSeparator" w:id="0">
    <w:p w:rsidR="001D3734" w:rsidRDefault="001D3734" w:rsidP="003F4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E2A16"/>
    <w:multiLevelType w:val="hybridMultilevel"/>
    <w:tmpl w:val="C9E042B6"/>
    <w:lvl w:ilvl="0" w:tplc="04090017">
      <w:start w:val="1"/>
      <w:numFmt w:val="chineseCountingThousand"/>
      <w:lvlText w:val="(%1)"/>
      <w:lvlJc w:val="left"/>
      <w:pPr>
        <w:ind w:left="840" w:hanging="420"/>
      </w:pPr>
    </w:lvl>
    <w:lvl w:ilvl="1" w:tplc="D61A2F4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46C4C0B"/>
    <w:multiLevelType w:val="hybridMultilevel"/>
    <w:tmpl w:val="D3C26EA6"/>
    <w:lvl w:ilvl="0" w:tplc="575CEFE4">
      <w:start w:val="2"/>
      <w:numFmt w:val="decimal"/>
      <w:lvlText w:val="%1、"/>
      <w:lvlJc w:val="left"/>
      <w:pPr>
        <w:ind w:left="1215" w:hanging="375"/>
      </w:pPr>
      <w:rPr>
        <w:rFonts w:hint="default"/>
        <w:b w:val="0"/>
        <w:bC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DCF32A0"/>
    <w:multiLevelType w:val="hybridMultilevel"/>
    <w:tmpl w:val="78249E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FAF"/>
    <w:rsid w:val="00027D33"/>
    <w:rsid w:val="00067C52"/>
    <w:rsid w:val="001C173C"/>
    <w:rsid w:val="001D3734"/>
    <w:rsid w:val="001F701F"/>
    <w:rsid w:val="00286DBA"/>
    <w:rsid w:val="002F33AF"/>
    <w:rsid w:val="00305A37"/>
    <w:rsid w:val="0034418A"/>
    <w:rsid w:val="003B05CE"/>
    <w:rsid w:val="003D765C"/>
    <w:rsid w:val="003F3FAF"/>
    <w:rsid w:val="003F43CA"/>
    <w:rsid w:val="00453B33"/>
    <w:rsid w:val="004C08B5"/>
    <w:rsid w:val="00501EC8"/>
    <w:rsid w:val="00512E3F"/>
    <w:rsid w:val="00523848"/>
    <w:rsid w:val="00583617"/>
    <w:rsid w:val="005A097D"/>
    <w:rsid w:val="005B39C4"/>
    <w:rsid w:val="00771870"/>
    <w:rsid w:val="0079619B"/>
    <w:rsid w:val="008F6AFA"/>
    <w:rsid w:val="009E2B42"/>
    <w:rsid w:val="00A87AD0"/>
    <w:rsid w:val="00AB7C4D"/>
    <w:rsid w:val="00B22224"/>
    <w:rsid w:val="00C31851"/>
    <w:rsid w:val="00DF6235"/>
    <w:rsid w:val="00E62C4C"/>
    <w:rsid w:val="00ED6767"/>
    <w:rsid w:val="00F5301B"/>
    <w:rsid w:val="00F72113"/>
    <w:rsid w:val="00F864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540A9F42-B765-41D6-838A-02C031CC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9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62C4C"/>
    <w:rPr>
      <w:sz w:val="21"/>
      <w:szCs w:val="21"/>
    </w:rPr>
  </w:style>
  <w:style w:type="paragraph" w:styleId="a4">
    <w:name w:val="annotation text"/>
    <w:basedOn w:val="a"/>
    <w:link w:val="a5"/>
    <w:uiPriority w:val="99"/>
    <w:semiHidden/>
    <w:unhideWhenUsed/>
    <w:rsid w:val="00E62C4C"/>
    <w:pPr>
      <w:jc w:val="left"/>
    </w:pPr>
  </w:style>
  <w:style w:type="character" w:customStyle="1" w:styleId="a5">
    <w:name w:val="批注文字 字符"/>
    <w:basedOn w:val="a0"/>
    <w:link w:val="a4"/>
    <w:uiPriority w:val="99"/>
    <w:semiHidden/>
    <w:rsid w:val="00E62C4C"/>
  </w:style>
  <w:style w:type="paragraph" w:styleId="a6">
    <w:name w:val="annotation subject"/>
    <w:basedOn w:val="a4"/>
    <w:next w:val="a4"/>
    <w:link w:val="a7"/>
    <w:uiPriority w:val="99"/>
    <w:semiHidden/>
    <w:unhideWhenUsed/>
    <w:rsid w:val="00E62C4C"/>
    <w:rPr>
      <w:b/>
      <w:bCs/>
    </w:rPr>
  </w:style>
  <w:style w:type="character" w:customStyle="1" w:styleId="a7">
    <w:name w:val="批注主题 字符"/>
    <w:basedOn w:val="a5"/>
    <w:link w:val="a6"/>
    <w:uiPriority w:val="99"/>
    <w:semiHidden/>
    <w:rsid w:val="00E62C4C"/>
    <w:rPr>
      <w:b/>
      <w:bCs/>
    </w:rPr>
  </w:style>
  <w:style w:type="paragraph" w:styleId="a8">
    <w:name w:val="Balloon Text"/>
    <w:basedOn w:val="a"/>
    <w:link w:val="a9"/>
    <w:uiPriority w:val="99"/>
    <w:semiHidden/>
    <w:unhideWhenUsed/>
    <w:rsid w:val="00E62C4C"/>
    <w:rPr>
      <w:sz w:val="18"/>
      <w:szCs w:val="18"/>
    </w:rPr>
  </w:style>
  <w:style w:type="character" w:customStyle="1" w:styleId="a9">
    <w:name w:val="批注框文本 字符"/>
    <w:basedOn w:val="a0"/>
    <w:link w:val="a8"/>
    <w:uiPriority w:val="99"/>
    <w:semiHidden/>
    <w:rsid w:val="00E62C4C"/>
    <w:rPr>
      <w:sz w:val="18"/>
      <w:szCs w:val="18"/>
    </w:rPr>
  </w:style>
  <w:style w:type="paragraph" w:styleId="aa">
    <w:name w:val="List Paragraph"/>
    <w:basedOn w:val="a"/>
    <w:uiPriority w:val="34"/>
    <w:qFormat/>
    <w:rsid w:val="002F33AF"/>
    <w:pPr>
      <w:ind w:firstLineChars="200" w:firstLine="420"/>
    </w:pPr>
  </w:style>
  <w:style w:type="paragraph" w:styleId="ab">
    <w:name w:val="header"/>
    <w:basedOn w:val="a"/>
    <w:link w:val="ac"/>
    <w:uiPriority w:val="99"/>
    <w:unhideWhenUsed/>
    <w:rsid w:val="003F43C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43CA"/>
    <w:rPr>
      <w:sz w:val="18"/>
      <w:szCs w:val="18"/>
    </w:rPr>
  </w:style>
  <w:style w:type="paragraph" w:styleId="ad">
    <w:name w:val="footer"/>
    <w:basedOn w:val="a"/>
    <w:link w:val="ae"/>
    <w:uiPriority w:val="99"/>
    <w:unhideWhenUsed/>
    <w:rsid w:val="003F43CA"/>
    <w:pPr>
      <w:tabs>
        <w:tab w:val="center" w:pos="4153"/>
        <w:tab w:val="right" w:pos="8306"/>
      </w:tabs>
      <w:snapToGrid w:val="0"/>
      <w:jc w:val="left"/>
    </w:pPr>
    <w:rPr>
      <w:sz w:val="18"/>
      <w:szCs w:val="18"/>
    </w:rPr>
  </w:style>
  <w:style w:type="character" w:customStyle="1" w:styleId="ae">
    <w:name w:val="页脚 字符"/>
    <w:basedOn w:val="a0"/>
    <w:link w:val="ad"/>
    <w:uiPriority w:val="99"/>
    <w:rsid w:val="003F43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45</cp:revision>
  <dcterms:created xsi:type="dcterms:W3CDTF">2021-05-28T05:48:00Z</dcterms:created>
  <dcterms:modified xsi:type="dcterms:W3CDTF">2021-05-31T06:37:00Z</dcterms:modified>
</cp:coreProperties>
</file>