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before="41"/>
      </w:pPr>
      <w:r>
        <w:rPr>
          <w:w w:val="95"/>
        </w:rPr>
        <w:t>众诚汽车保险股份有限公司</w:t>
      </w:r>
    </w:p>
    <w:p>
      <w:pPr>
        <w:pStyle w:val="Title"/>
        <w:ind w:left="1795"/>
      </w:pPr>
      <w:r>
        <w:rPr>
          <w:w w:val="95"/>
        </w:rPr>
        <w:t>团体重大疾病保险条款（2020</w:t>
      </w:r>
      <w:r>
        <w:rPr>
          <w:spacing w:val="156"/>
        </w:rPr>
        <w:t> </w:t>
      </w:r>
      <w:r>
        <w:rPr>
          <w:w w:val="95"/>
        </w:rPr>
        <w:t>版）</w:t>
      </w:r>
    </w:p>
    <w:p>
      <w:pPr>
        <w:spacing w:before="162"/>
        <w:ind w:left="1795" w:right="1971" w:firstLine="0"/>
        <w:jc w:val="center"/>
        <w:rPr>
          <w:b/>
          <w:sz w:val="24"/>
        </w:rPr>
      </w:pPr>
      <w:r>
        <w:rPr>
          <w:b/>
          <w:w w:val="95"/>
          <w:sz w:val="24"/>
        </w:rPr>
        <w:t>备案号：(众诚保险)(备-疾病保险)【2021】(主)</w:t>
      </w:r>
      <w:r>
        <w:rPr>
          <w:b/>
          <w:spacing w:val="135"/>
          <w:sz w:val="24"/>
        </w:rPr>
        <w:t> </w:t>
      </w:r>
      <w:r>
        <w:rPr>
          <w:b/>
          <w:w w:val="95"/>
          <w:sz w:val="24"/>
        </w:rPr>
        <w:t>002</w:t>
      </w:r>
      <w:r>
        <w:rPr>
          <w:b/>
          <w:spacing w:val="6"/>
          <w:w w:val="95"/>
          <w:sz w:val="24"/>
        </w:rPr>
        <w:t> 号</w:t>
      </w:r>
    </w:p>
    <w:p>
      <w:pPr>
        <w:spacing w:before="161"/>
        <w:ind w:left="1795" w:right="1774" w:firstLine="0"/>
        <w:jc w:val="center"/>
        <w:rPr>
          <w:b/>
          <w:sz w:val="28"/>
        </w:rPr>
      </w:pPr>
      <w:r>
        <w:rPr>
          <w:b/>
          <w:w w:val="95"/>
          <w:sz w:val="28"/>
        </w:rPr>
        <w:t>总则</w:t>
      </w:r>
    </w:p>
    <w:p>
      <w:pPr>
        <w:pStyle w:val="BodyText"/>
        <w:spacing w:line="364" w:lineRule="auto" w:before="157"/>
        <w:ind w:left="218" w:right="394" w:firstLine="542"/>
        <w:jc w:val="both"/>
      </w:pPr>
      <w:r>
        <w:rPr>
          <w:b/>
          <w:spacing w:val="-6"/>
        </w:rPr>
        <w:t>第一条 </w:t>
      </w:r>
      <w:r>
        <w:rPr/>
        <w:t>本保险合同由保险条款、投保单、保险单、保险凭证以及批单等组成，以确定投保人、被保险人和保险人的权利与义务。凡涉及本保险合同的约定，均应采用书面形式。</w:t>
      </w:r>
    </w:p>
    <w:p>
      <w:pPr>
        <w:spacing w:line="364" w:lineRule="auto" w:before="155"/>
        <w:ind w:left="218" w:right="390" w:firstLine="542"/>
        <w:jc w:val="both"/>
        <w:rPr>
          <w:b/>
          <w:sz w:val="28"/>
        </w:rPr>
      </w:pPr>
      <w:r>
        <w:rPr>
          <w:b/>
          <w:spacing w:val="2"/>
          <w:w w:val="99"/>
          <w:sz w:val="28"/>
        </w:rPr>
        <w:t>第二条</w:t>
      </w:r>
      <w:r>
        <w:rPr>
          <w:b/>
          <w:spacing w:val="7"/>
          <w:sz w:val="28"/>
        </w:rPr>
        <w:t> </w:t>
      </w:r>
      <w:r>
        <w:rPr>
          <w:spacing w:val="2"/>
          <w:w w:val="100"/>
          <w:sz w:val="28"/>
        </w:rPr>
        <w:t>凡在中华人民共和国境内</w:t>
      </w:r>
      <w:r>
        <w:rPr>
          <w:spacing w:val="5"/>
          <w:w w:val="100"/>
          <w:sz w:val="28"/>
        </w:rPr>
        <w:t>（</w:t>
      </w:r>
      <w:r>
        <w:rPr>
          <w:b/>
          <w:spacing w:val="3"/>
          <w:w w:val="99"/>
          <w:sz w:val="28"/>
        </w:rPr>
        <w:t>港澳台地区除外</w:t>
      </w:r>
      <w:r>
        <w:rPr>
          <w:spacing w:val="2"/>
          <w:w w:val="100"/>
          <w:sz w:val="28"/>
        </w:rPr>
        <w:t>，下同</w:t>
      </w:r>
      <w:r>
        <w:rPr>
          <w:spacing w:val="-138"/>
          <w:w w:val="100"/>
          <w:sz w:val="28"/>
        </w:rPr>
        <w:t>）</w:t>
      </w:r>
      <w:r>
        <w:rPr>
          <w:spacing w:val="2"/>
          <w:w w:val="100"/>
          <w:sz w:val="28"/>
        </w:rPr>
        <w:t>，投保时</w:t>
      </w:r>
      <w:r>
        <w:rPr>
          <w:sz w:val="28"/>
        </w:rPr>
        <w:t>身体健康、能正常工作或正常劳动的、符合本保险合同约定年龄的城镇职工和城乡居民，可作为本保险合同的被保险人。</w:t>
      </w:r>
      <w:r>
        <w:rPr>
          <w:b/>
          <w:sz w:val="28"/>
        </w:rPr>
        <w:t>被保险人在合同签发时不</w:t>
      </w:r>
      <w:r>
        <w:rPr>
          <w:b/>
          <w:spacing w:val="-18"/>
          <w:sz w:val="28"/>
        </w:rPr>
        <w:t>得少于 </w:t>
      </w:r>
      <w:r>
        <w:rPr>
          <w:b/>
          <w:sz w:val="28"/>
        </w:rPr>
        <w:t>3</w:t>
      </w:r>
      <w:r>
        <w:rPr>
          <w:b/>
          <w:spacing w:val="-25"/>
          <w:sz w:val="28"/>
        </w:rPr>
        <w:t> 人。</w:t>
      </w:r>
    </w:p>
    <w:p>
      <w:pPr>
        <w:pStyle w:val="BodyText"/>
        <w:spacing w:line="364" w:lineRule="auto" w:before="155"/>
        <w:ind w:left="218" w:right="250" w:firstLine="542"/>
      </w:pPr>
      <w:r>
        <w:rPr>
          <w:b/>
          <w:spacing w:val="23"/>
        </w:rPr>
        <w:t>第三条 </w:t>
      </w:r>
      <w:r>
        <w:rPr/>
        <w:t>凡符合中华人民共和国法律（</w:t>
      </w:r>
      <w:r>
        <w:rPr>
          <w:b/>
        </w:rPr>
        <w:t>不包括港澳台地区法律</w:t>
      </w:r>
      <w:r>
        <w:rPr/>
        <w:t>，下同）</w:t>
      </w:r>
      <w:r>
        <w:rPr>
          <w:spacing w:val="-137"/>
        </w:rPr>
        <w:t> </w:t>
      </w:r>
      <w:r>
        <w:rPr/>
        <w:t>规定，本保险合同订立时对被保险人有保险利益的机关、企业、事业单位和社会团体均可作为投保人。</w:t>
      </w:r>
    </w:p>
    <w:p>
      <w:pPr>
        <w:spacing w:line="468" w:lineRule="auto" w:before="152"/>
        <w:ind w:left="4289" w:right="938" w:hanging="3529"/>
        <w:jc w:val="left"/>
        <w:rPr>
          <w:b/>
          <w:sz w:val="28"/>
        </w:rPr>
      </w:pPr>
      <w:r>
        <w:rPr>
          <w:b/>
          <w:spacing w:val="-4"/>
          <w:sz w:val="28"/>
        </w:rPr>
        <w:t>第四条 </w:t>
      </w:r>
      <w:r>
        <w:rPr>
          <w:sz w:val="28"/>
        </w:rPr>
        <w:t>除另有约定外，重大疾病保险金受益人为被保险人本人。</w:t>
      </w:r>
      <w:r>
        <w:rPr>
          <w:b/>
          <w:sz w:val="28"/>
        </w:rPr>
        <w:t>保险责任</w:t>
      </w:r>
    </w:p>
    <w:p>
      <w:pPr>
        <w:pStyle w:val="BodyText"/>
        <w:spacing w:before="3"/>
        <w:ind w:left="780"/>
      </w:pPr>
      <w:r>
        <w:rPr>
          <w:b/>
          <w:spacing w:val="-2"/>
        </w:rPr>
        <w:t>第五条 </w:t>
      </w:r>
      <w:r>
        <w:rPr/>
        <w:t>在保险期间内，保险人按如下约定承担保险责任：</w:t>
      </w:r>
    </w:p>
    <w:p>
      <w:pPr>
        <w:pStyle w:val="BodyText"/>
        <w:spacing w:before="8"/>
        <w:rPr>
          <w:sz w:val="26"/>
        </w:rPr>
      </w:pPr>
    </w:p>
    <w:p>
      <w:pPr>
        <w:spacing w:line="364" w:lineRule="auto" w:before="0"/>
        <w:ind w:left="218" w:right="387" w:firstLine="559"/>
        <w:jc w:val="both"/>
        <w:rPr>
          <w:b/>
          <w:sz w:val="28"/>
        </w:rPr>
      </w:pPr>
      <w:r>
        <w:rPr>
          <w:spacing w:val="-1"/>
          <w:sz w:val="28"/>
        </w:rPr>
        <w:t>被保险人于</w:t>
      </w:r>
      <w:r>
        <w:rPr>
          <w:b/>
          <w:sz w:val="28"/>
        </w:rPr>
        <w:t>等待期（30</w:t>
      </w:r>
      <w:r>
        <w:rPr>
          <w:b/>
          <w:spacing w:val="-20"/>
          <w:sz w:val="28"/>
        </w:rPr>
        <w:t> 日</w:t>
      </w:r>
      <w:r>
        <w:rPr>
          <w:b/>
          <w:sz w:val="28"/>
        </w:rPr>
        <w:t>）后</w:t>
      </w:r>
      <w:r>
        <w:rPr>
          <w:sz w:val="28"/>
        </w:rPr>
        <w:t>经医院初次确诊患本保险合同约定的重</w:t>
      </w:r>
      <w:r>
        <w:rPr>
          <w:spacing w:val="-4"/>
          <w:w w:val="100"/>
          <w:sz w:val="28"/>
        </w:rPr>
        <w:t>大疾病</w:t>
      </w:r>
      <w:r>
        <w:rPr>
          <w:spacing w:val="-3"/>
          <w:w w:val="100"/>
          <w:sz w:val="28"/>
        </w:rPr>
        <w:t>（</w:t>
      </w:r>
      <w:r>
        <w:rPr>
          <w:spacing w:val="-14"/>
          <w:w w:val="100"/>
          <w:sz w:val="28"/>
        </w:rPr>
        <w:t>以下简称“重大疾病”，具体疾病种类及疾病定义以本条款释义为准</w:t>
      </w:r>
      <w:r>
        <w:rPr>
          <w:spacing w:val="-142"/>
          <w:w w:val="100"/>
          <w:sz w:val="28"/>
        </w:rPr>
        <w:t>）</w:t>
      </w:r>
      <w:r>
        <w:rPr>
          <w:spacing w:val="-5"/>
          <w:w w:val="100"/>
          <w:sz w:val="28"/>
        </w:rPr>
        <w:t>，保险人按本合同约定的保险金额及给付比例，给付保险金</w:t>
      </w:r>
      <w:r>
        <w:rPr>
          <w:b/>
          <w:spacing w:val="-9"/>
          <w:w w:val="99"/>
          <w:sz w:val="28"/>
        </w:rPr>
        <w:t>。</w:t>
      </w:r>
      <w:r>
        <w:rPr>
          <w:spacing w:val="-1"/>
          <w:w w:val="100"/>
          <w:sz w:val="28"/>
        </w:rPr>
        <w:t>本合同的</w:t>
      </w:r>
      <w:r>
        <w:rPr>
          <w:spacing w:val="1"/>
          <w:w w:val="100"/>
          <w:sz w:val="28"/>
        </w:rPr>
        <w:t>保险金包括</w:t>
      </w:r>
      <w:r>
        <w:rPr>
          <w:spacing w:val="4"/>
          <w:sz w:val="28"/>
        </w:rPr>
        <w:t> </w:t>
      </w:r>
      <w:r>
        <w:rPr>
          <w:spacing w:val="-6"/>
          <w:w w:val="100"/>
          <w:sz w:val="28"/>
        </w:rPr>
        <w:t>“重度疾病保险金”和“轻度疾病保险金”，投保时是身体健</w:t>
      </w:r>
      <w:r>
        <w:rPr>
          <w:sz w:val="28"/>
        </w:rPr>
        <w:t>康的被保险人，可以投保本保险项下的轻度疾病保险责任和重度疾病保险责任，保险人支付对应保险金；</w:t>
      </w:r>
      <w:r>
        <w:rPr>
          <w:b/>
          <w:sz w:val="28"/>
        </w:rPr>
        <w:t>被保险人已发生过轻度疾病的，续保可以投保本保险项下的重度疾病保险责任，保险人支付重度疾病保险金；已发</w:t>
      </w:r>
    </w:p>
    <w:p>
      <w:pPr>
        <w:spacing w:after="0" w:line="364" w:lineRule="auto"/>
        <w:jc w:val="both"/>
        <w:rPr>
          <w:sz w:val="28"/>
        </w:rPr>
        <w:sectPr>
          <w:footerReference w:type="default" r:id="rId5"/>
          <w:type w:val="continuous"/>
          <w:pgSz w:w="11910" w:h="16840"/>
          <w:pgMar w:footer="1195" w:header="0" w:top="1300" w:bottom="1380" w:left="1200" w:right="1020"/>
          <w:pgNumType w:start="1"/>
        </w:sectPr>
      </w:pPr>
    </w:p>
    <w:p>
      <w:pPr>
        <w:spacing w:before="40"/>
        <w:ind w:left="218" w:right="0" w:firstLine="0"/>
        <w:jc w:val="left"/>
        <w:rPr>
          <w:sz w:val="28"/>
        </w:rPr>
      </w:pPr>
      <w:r>
        <w:rPr>
          <w:b/>
          <w:w w:val="95"/>
          <w:sz w:val="28"/>
        </w:rPr>
        <w:t>生过重度疾病的被保险人，不可以投保本保险。</w:t>
      </w:r>
      <w:r>
        <w:rPr>
          <w:w w:val="95"/>
          <w:sz w:val="28"/>
        </w:rPr>
        <w:t>具体如下：</w:t>
      </w:r>
    </w:p>
    <w:p>
      <w:pPr>
        <w:pStyle w:val="BodyText"/>
        <w:spacing w:before="10"/>
        <w:rPr>
          <w:sz w:val="26"/>
        </w:rPr>
      </w:pPr>
    </w:p>
    <w:p>
      <w:pPr>
        <w:pStyle w:val="BodyText"/>
        <w:ind w:left="778"/>
      </w:pPr>
      <w:r>
        <w:rPr/>
        <w:t>（一）重度疾病保险金</w:t>
      </w:r>
    </w:p>
    <w:p>
      <w:pPr>
        <w:pStyle w:val="BodyText"/>
        <w:spacing w:before="9"/>
        <w:rPr>
          <w:sz w:val="26"/>
        </w:rPr>
      </w:pPr>
    </w:p>
    <w:p>
      <w:pPr>
        <w:spacing w:line="364" w:lineRule="auto" w:before="0"/>
        <w:ind w:left="218" w:right="387" w:firstLine="559"/>
        <w:jc w:val="both"/>
        <w:rPr>
          <w:b/>
          <w:sz w:val="28"/>
        </w:rPr>
      </w:pPr>
      <w:r>
        <w:rPr>
          <w:spacing w:val="-9"/>
          <w:sz w:val="28"/>
        </w:rPr>
        <w:t>被保险人经医院确诊初次罹患本条款释义中“重度疾病”所定义的“重</w:t>
      </w:r>
      <w:r>
        <w:rPr>
          <w:spacing w:val="-17"/>
          <w:w w:val="100"/>
          <w:sz w:val="28"/>
        </w:rPr>
        <w:t>度疾病”，且此前未发生过本条款项下的“重度疾病”，保险人按照本条款</w:t>
      </w:r>
      <w:r>
        <w:rPr>
          <w:spacing w:val="-10"/>
          <w:sz w:val="28"/>
        </w:rPr>
        <w:t>基本保险金额的 </w:t>
      </w:r>
      <w:r>
        <w:rPr>
          <w:sz w:val="28"/>
        </w:rPr>
        <w:t>100%一次性给付重度疾病保险金</w:t>
      </w:r>
      <w:r>
        <w:rPr>
          <w:spacing w:val="-196"/>
          <w:sz w:val="28"/>
        </w:rPr>
        <w:t>。</w:t>
      </w:r>
      <w:r>
        <w:rPr>
          <w:b/>
          <w:spacing w:val="-7"/>
          <w:sz w:val="28"/>
        </w:rPr>
        <w:t>“重度疾病保险金”仅给</w:t>
      </w:r>
      <w:r>
        <w:rPr>
          <w:b/>
          <w:sz w:val="28"/>
        </w:rPr>
        <w:t>付一次。赔偿后，保险人对该被保险人的本合同项下所有保险责任全部终止。</w:t>
      </w:r>
    </w:p>
    <w:p>
      <w:pPr>
        <w:pStyle w:val="BodyText"/>
        <w:spacing w:before="154"/>
        <w:ind w:left="778"/>
      </w:pPr>
      <w:r>
        <w:rPr/>
        <w:t>（二）轻度疾病保险金</w:t>
      </w:r>
    </w:p>
    <w:p>
      <w:pPr>
        <w:pStyle w:val="BodyText"/>
        <w:spacing w:before="9"/>
        <w:rPr>
          <w:sz w:val="26"/>
        </w:rPr>
      </w:pPr>
    </w:p>
    <w:p>
      <w:pPr>
        <w:spacing w:line="364" w:lineRule="auto" w:before="0"/>
        <w:ind w:left="218" w:right="390" w:firstLine="559"/>
        <w:jc w:val="both"/>
        <w:rPr>
          <w:b/>
          <w:sz w:val="28"/>
        </w:rPr>
      </w:pPr>
      <w:r>
        <w:rPr>
          <w:spacing w:val="-9"/>
          <w:sz w:val="28"/>
        </w:rPr>
        <w:t>被保险人经医院确诊初次罹患本条款释义中“轻度疾病”所定义的“轻</w:t>
      </w:r>
      <w:r>
        <w:rPr>
          <w:spacing w:val="-16"/>
          <w:w w:val="100"/>
          <w:sz w:val="28"/>
        </w:rPr>
        <w:t>度疾病”，且此前未发生过本条款项下的“重大疾病”，保险人按照约定的</w:t>
      </w:r>
      <w:r>
        <w:rPr>
          <w:spacing w:val="-1"/>
          <w:sz w:val="28"/>
        </w:rPr>
        <w:t>给付比例一次性给付轻度疾病保险金</w:t>
      </w:r>
      <w:r>
        <w:rPr>
          <w:spacing w:val="-158"/>
          <w:sz w:val="28"/>
        </w:rPr>
        <w:t>。</w:t>
      </w:r>
      <w:r>
        <w:rPr>
          <w:b/>
          <w:spacing w:val="-1"/>
          <w:sz w:val="28"/>
        </w:rPr>
        <w:t>“轻度疾病保险金”仅给付一次。赔</w:t>
      </w:r>
      <w:r>
        <w:rPr>
          <w:b/>
          <w:sz w:val="28"/>
        </w:rPr>
        <w:t>偿后，保险人对该被保险人的所有轻度疾病保险责任终止。</w:t>
      </w:r>
    </w:p>
    <w:p>
      <w:pPr>
        <w:spacing w:line="362" w:lineRule="auto" w:before="154"/>
        <w:ind w:left="218" w:right="250" w:firstLine="561"/>
        <w:jc w:val="left"/>
        <w:rPr>
          <w:b/>
          <w:sz w:val="28"/>
        </w:rPr>
      </w:pPr>
      <w:r>
        <w:rPr>
          <w:b/>
          <w:spacing w:val="-7"/>
          <w:w w:val="95"/>
          <w:sz w:val="28"/>
        </w:rPr>
        <w:t>轻度疾病保险金=重大疾病保险金×给付比例。该给付比例不超过</w:t>
      </w:r>
      <w:r>
        <w:rPr>
          <w:b/>
          <w:spacing w:val="127"/>
          <w:sz w:val="28"/>
        </w:rPr>
        <w:t> </w:t>
      </w:r>
      <w:r>
        <w:rPr>
          <w:b/>
          <w:w w:val="95"/>
          <w:sz w:val="28"/>
        </w:rPr>
        <w:t>30%，</w:t>
      </w:r>
      <w:r>
        <w:rPr>
          <w:b/>
          <w:spacing w:val="-132"/>
          <w:w w:val="95"/>
          <w:sz w:val="28"/>
        </w:rPr>
        <w:t> </w:t>
      </w:r>
      <w:r>
        <w:rPr>
          <w:b/>
          <w:sz w:val="28"/>
        </w:rPr>
        <w:t>具体由投保人、保险人双方约定，并在保险单中载明。</w:t>
      </w:r>
    </w:p>
    <w:p>
      <w:pPr>
        <w:spacing w:line="364" w:lineRule="auto" w:before="160"/>
        <w:ind w:left="218" w:right="113" w:firstLine="561"/>
        <w:jc w:val="left"/>
        <w:rPr>
          <w:b/>
          <w:sz w:val="28"/>
        </w:rPr>
      </w:pPr>
      <w:r>
        <w:rPr>
          <w:b/>
          <w:spacing w:val="4"/>
          <w:w w:val="95"/>
          <w:sz w:val="28"/>
        </w:rPr>
        <w:t>被保险人于等待期</w:t>
      </w:r>
      <w:r>
        <w:rPr>
          <w:b/>
          <w:w w:val="95"/>
          <w:sz w:val="28"/>
        </w:rPr>
        <w:t>30</w:t>
      </w:r>
      <w:r>
        <w:rPr>
          <w:b/>
          <w:spacing w:val="152"/>
          <w:sz w:val="28"/>
        </w:rPr>
        <w:t> </w:t>
      </w:r>
      <w:r>
        <w:rPr>
          <w:b/>
          <w:w w:val="95"/>
          <w:sz w:val="28"/>
        </w:rPr>
        <w:t>日内经医院确诊其初次患本合同约定的重大疾病，</w:t>
      </w:r>
      <w:r>
        <w:rPr>
          <w:b/>
          <w:spacing w:val="1"/>
          <w:w w:val="95"/>
          <w:sz w:val="28"/>
        </w:rPr>
        <w:t> </w:t>
      </w:r>
      <w:r>
        <w:rPr>
          <w:b/>
          <w:sz w:val="28"/>
        </w:rPr>
        <w:t>保险人对投保人无息返还该被保险人对应的所交保险费，对该被保险人的</w:t>
      </w:r>
      <w:r>
        <w:rPr>
          <w:b/>
          <w:spacing w:val="1"/>
          <w:sz w:val="28"/>
        </w:rPr>
        <w:t> </w:t>
      </w:r>
      <w:r>
        <w:rPr>
          <w:b/>
          <w:sz w:val="28"/>
        </w:rPr>
        <w:t>保险责任终止。</w:t>
      </w:r>
    </w:p>
    <w:p>
      <w:pPr>
        <w:spacing w:before="154"/>
        <w:ind w:left="780" w:right="0" w:firstLine="0"/>
        <w:jc w:val="left"/>
        <w:rPr>
          <w:b/>
          <w:sz w:val="28"/>
        </w:rPr>
      </w:pPr>
      <w:r>
        <w:rPr>
          <w:b/>
          <w:w w:val="95"/>
          <w:sz w:val="28"/>
        </w:rPr>
        <w:t>本保险合同的续保不适用等待期。</w:t>
      </w:r>
    </w:p>
    <w:p>
      <w:pPr>
        <w:pStyle w:val="BodyText"/>
        <w:spacing w:before="9"/>
        <w:rPr>
          <w:b/>
          <w:sz w:val="26"/>
        </w:rPr>
      </w:pPr>
    </w:p>
    <w:p>
      <w:pPr>
        <w:spacing w:before="0"/>
        <w:ind w:left="1795" w:right="1777" w:firstLine="0"/>
        <w:jc w:val="center"/>
        <w:rPr>
          <w:b/>
          <w:sz w:val="28"/>
        </w:rPr>
      </w:pPr>
      <w:r>
        <w:rPr>
          <w:b/>
          <w:w w:val="95"/>
          <w:sz w:val="28"/>
        </w:rPr>
        <w:t>责任免除</w:t>
      </w:r>
    </w:p>
    <w:p>
      <w:pPr>
        <w:pStyle w:val="BodyText"/>
        <w:spacing w:before="10"/>
        <w:rPr>
          <w:b/>
          <w:sz w:val="26"/>
        </w:rPr>
      </w:pPr>
    </w:p>
    <w:p>
      <w:pPr>
        <w:spacing w:line="364" w:lineRule="auto" w:before="0"/>
        <w:ind w:left="218" w:right="395" w:firstLine="561"/>
        <w:jc w:val="left"/>
        <w:rPr>
          <w:b/>
          <w:sz w:val="28"/>
        </w:rPr>
      </w:pPr>
      <w:r>
        <w:rPr>
          <w:b/>
          <w:spacing w:val="-9"/>
          <w:sz w:val="28"/>
        </w:rPr>
        <w:t>第六条 因下列情形之一，导致被保险人发生本保险合同约定的保险事</w:t>
      </w:r>
      <w:r>
        <w:rPr>
          <w:b/>
          <w:sz w:val="28"/>
        </w:rPr>
        <w:t>故的，保险人不承担保险责任：</w:t>
      </w:r>
    </w:p>
    <w:p>
      <w:pPr>
        <w:spacing w:before="155"/>
        <w:ind w:left="780" w:right="0" w:firstLine="0"/>
        <w:jc w:val="left"/>
        <w:rPr>
          <w:b/>
          <w:sz w:val="28"/>
        </w:rPr>
      </w:pPr>
      <w:r>
        <w:rPr>
          <w:b/>
          <w:sz w:val="28"/>
        </w:rPr>
        <w:t>（一）投保人对被保险人的故意杀害、故意伤害；</w:t>
      </w:r>
    </w:p>
    <w:p>
      <w:pPr>
        <w:spacing w:after="0"/>
        <w:jc w:val="left"/>
        <w:rPr>
          <w:sz w:val="28"/>
        </w:rPr>
        <w:sectPr>
          <w:pgSz w:w="11910" w:h="16840"/>
          <w:pgMar w:header="0" w:footer="1195" w:top="1300" w:bottom="1380" w:left="1200" w:right="1020"/>
        </w:sectPr>
      </w:pPr>
    </w:p>
    <w:p>
      <w:pPr>
        <w:spacing w:before="40"/>
        <w:ind w:left="780" w:right="0" w:firstLine="0"/>
        <w:jc w:val="left"/>
        <w:rPr>
          <w:b/>
          <w:sz w:val="28"/>
        </w:rPr>
      </w:pPr>
      <w:r>
        <w:rPr>
          <w:b/>
          <w:sz w:val="28"/>
        </w:rPr>
        <w:t>（二）被保险人故意犯罪或抗拒依法采取的刑事强制措施；</w:t>
      </w:r>
    </w:p>
    <w:p>
      <w:pPr>
        <w:pStyle w:val="BodyText"/>
        <w:spacing w:before="10"/>
        <w:rPr>
          <w:b/>
          <w:sz w:val="26"/>
        </w:rPr>
      </w:pPr>
    </w:p>
    <w:p>
      <w:pPr>
        <w:spacing w:line="364" w:lineRule="auto" w:before="0"/>
        <w:ind w:left="218" w:right="396" w:firstLine="561"/>
        <w:jc w:val="left"/>
        <w:rPr>
          <w:b/>
          <w:sz w:val="28"/>
        </w:rPr>
      </w:pPr>
      <w:r>
        <w:rPr>
          <w:b/>
          <w:sz w:val="28"/>
        </w:rPr>
        <w:t>（三）被保险人故意自伤或自杀，但被保险人自杀时为无民事行为能力人的除外；</w:t>
      </w:r>
    </w:p>
    <w:p>
      <w:pPr>
        <w:spacing w:before="155"/>
        <w:ind w:left="780" w:right="0" w:firstLine="0"/>
        <w:jc w:val="left"/>
        <w:rPr>
          <w:b/>
          <w:sz w:val="28"/>
        </w:rPr>
      </w:pPr>
      <w:r>
        <w:rPr>
          <w:b/>
          <w:sz w:val="28"/>
        </w:rPr>
        <w:t>（四）被保险人服用、吸食或注射毒品；</w:t>
      </w:r>
    </w:p>
    <w:p>
      <w:pPr>
        <w:pStyle w:val="BodyText"/>
        <w:spacing w:before="9"/>
        <w:rPr>
          <w:b/>
          <w:sz w:val="26"/>
        </w:rPr>
      </w:pPr>
    </w:p>
    <w:p>
      <w:pPr>
        <w:spacing w:line="364" w:lineRule="auto" w:before="0"/>
        <w:ind w:left="218" w:right="398" w:firstLine="561"/>
        <w:jc w:val="left"/>
        <w:rPr>
          <w:b/>
          <w:sz w:val="28"/>
        </w:rPr>
      </w:pPr>
      <w:r>
        <w:rPr>
          <w:b/>
          <w:sz w:val="28"/>
        </w:rPr>
        <w:t>（五）被保险人酒后驾驶、无合法有效驾驶证驾驶，或驾驶无有效行驶证的机动车；</w:t>
      </w:r>
    </w:p>
    <w:p>
      <w:pPr>
        <w:spacing w:line="364" w:lineRule="auto" w:before="155"/>
        <w:ind w:left="218" w:right="389" w:firstLine="561"/>
        <w:jc w:val="left"/>
        <w:rPr>
          <w:b/>
          <w:sz w:val="28"/>
        </w:rPr>
      </w:pPr>
      <w:r>
        <w:rPr>
          <w:b/>
          <w:sz w:val="28"/>
        </w:rPr>
        <w:t>（六）被保险人患艾滋病或感染艾滋病病毒，因职业关系、输血原因及器官移植原因导致的感染艾滋病病毒不在此限；</w:t>
      </w:r>
    </w:p>
    <w:p>
      <w:pPr>
        <w:spacing w:before="155"/>
        <w:ind w:left="780" w:right="0" w:firstLine="0"/>
        <w:jc w:val="left"/>
        <w:rPr>
          <w:b/>
          <w:sz w:val="28"/>
        </w:rPr>
      </w:pPr>
      <w:r>
        <w:rPr>
          <w:b/>
          <w:sz w:val="28"/>
        </w:rPr>
        <w:t>（七）战争、军事冲突、暴乱或武装叛乱；</w:t>
      </w:r>
    </w:p>
    <w:p>
      <w:pPr>
        <w:pStyle w:val="BodyText"/>
        <w:spacing w:before="9"/>
        <w:rPr>
          <w:b/>
          <w:sz w:val="26"/>
        </w:rPr>
      </w:pPr>
    </w:p>
    <w:p>
      <w:pPr>
        <w:spacing w:before="0"/>
        <w:ind w:left="780" w:right="0" w:firstLine="0"/>
        <w:jc w:val="left"/>
        <w:rPr>
          <w:b/>
          <w:sz w:val="28"/>
        </w:rPr>
      </w:pPr>
      <w:r>
        <w:rPr>
          <w:b/>
          <w:sz w:val="28"/>
        </w:rPr>
        <w:t>（八）核爆炸、核辐射或核污染；</w:t>
      </w:r>
    </w:p>
    <w:p>
      <w:pPr>
        <w:pStyle w:val="BodyText"/>
        <w:spacing w:before="9"/>
        <w:rPr>
          <w:b/>
          <w:sz w:val="26"/>
        </w:rPr>
      </w:pPr>
    </w:p>
    <w:p>
      <w:pPr>
        <w:spacing w:before="0"/>
        <w:ind w:left="780" w:right="0" w:firstLine="0"/>
        <w:jc w:val="left"/>
        <w:rPr>
          <w:b/>
          <w:sz w:val="28"/>
        </w:rPr>
      </w:pPr>
      <w:r>
        <w:rPr>
          <w:b/>
          <w:sz w:val="28"/>
        </w:rPr>
        <w:t>（九）遗传性疾病，先天性畸形、变形或染色体异常；</w:t>
      </w:r>
    </w:p>
    <w:p>
      <w:pPr>
        <w:pStyle w:val="BodyText"/>
        <w:spacing w:before="9"/>
        <w:rPr>
          <w:b/>
          <w:sz w:val="26"/>
        </w:rPr>
      </w:pPr>
    </w:p>
    <w:p>
      <w:pPr>
        <w:spacing w:before="0"/>
        <w:ind w:left="780" w:right="0" w:firstLine="0"/>
        <w:jc w:val="left"/>
        <w:rPr>
          <w:b/>
          <w:sz w:val="28"/>
        </w:rPr>
      </w:pPr>
      <w:r>
        <w:rPr>
          <w:b/>
          <w:sz w:val="28"/>
        </w:rPr>
        <w:t>（十）其他免除情形见释义重大疾病中加粗加黑字体的内容。</w:t>
      </w:r>
    </w:p>
    <w:p>
      <w:pPr>
        <w:pStyle w:val="BodyText"/>
        <w:spacing w:before="9"/>
        <w:rPr>
          <w:b/>
          <w:sz w:val="26"/>
        </w:rPr>
      </w:pPr>
    </w:p>
    <w:p>
      <w:pPr>
        <w:spacing w:line="364" w:lineRule="auto" w:before="0"/>
        <w:ind w:left="218" w:right="395" w:firstLine="561"/>
        <w:jc w:val="both"/>
        <w:rPr>
          <w:b/>
          <w:sz w:val="28"/>
        </w:rPr>
      </w:pPr>
      <w:r>
        <w:rPr>
          <w:b/>
          <w:spacing w:val="-4"/>
          <w:w w:val="99"/>
          <w:sz w:val="28"/>
        </w:rPr>
        <w:t>发生上述情形</w:t>
      </w:r>
      <w:r>
        <w:rPr>
          <w:b/>
          <w:w w:val="99"/>
          <w:sz w:val="28"/>
        </w:rPr>
        <w:t>（</w:t>
      </w:r>
      <w:r>
        <w:rPr>
          <w:b/>
          <w:spacing w:val="-4"/>
          <w:w w:val="99"/>
          <w:sz w:val="28"/>
        </w:rPr>
        <w:t>除投保人、被保险人故意制造保险事故的</w:t>
      </w:r>
      <w:r>
        <w:rPr>
          <w:b/>
          <w:spacing w:val="-141"/>
          <w:w w:val="99"/>
          <w:sz w:val="28"/>
        </w:rPr>
        <w:t>）</w:t>
      </w:r>
      <w:r>
        <w:rPr>
          <w:b/>
          <w:spacing w:val="-8"/>
          <w:w w:val="99"/>
          <w:sz w:val="28"/>
        </w:rPr>
        <w:t>，被保险人</w:t>
      </w:r>
      <w:r>
        <w:rPr>
          <w:b/>
          <w:sz w:val="28"/>
        </w:rPr>
        <w:t>身故的，保险人对该被保险人保险责任终止，并对投保人按日计算退还该被保险人的未满期保险费。投保人、被保险人故意制造保险事故的，保险人有权解除合同，并不退还保险费。</w:t>
      </w:r>
    </w:p>
    <w:p>
      <w:pPr>
        <w:spacing w:before="152"/>
        <w:ind w:left="1795" w:right="1971" w:firstLine="0"/>
        <w:jc w:val="center"/>
        <w:rPr>
          <w:b/>
          <w:sz w:val="28"/>
        </w:rPr>
      </w:pPr>
      <w:r>
        <w:rPr>
          <w:b/>
          <w:w w:val="95"/>
          <w:sz w:val="28"/>
        </w:rPr>
        <w:t>保险金额和保险费</w:t>
      </w:r>
    </w:p>
    <w:p>
      <w:pPr>
        <w:pStyle w:val="BodyText"/>
        <w:spacing w:before="9"/>
        <w:rPr>
          <w:b/>
          <w:sz w:val="26"/>
        </w:rPr>
      </w:pPr>
    </w:p>
    <w:p>
      <w:pPr>
        <w:spacing w:before="0"/>
        <w:ind w:left="780" w:right="0" w:firstLine="0"/>
        <w:jc w:val="left"/>
        <w:rPr>
          <w:b/>
          <w:sz w:val="28"/>
        </w:rPr>
      </w:pPr>
      <w:r>
        <w:rPr>
          <w:b/>
          <w:spacing w:val="-1"/>
          <w:sz w:val="28"/>
        </w:rPr>
        <w:t>第七条 保险金额是保险人承担给付保险金的最高限额。</w:t>
      </w:r>
    </w:p>
    <w:p>
      <w:pPr>
        <w:pStyle w:val="BodyText"/>
        <w:spacing w:before="9"/>
        <w:rPr>
          <w:b/>
          <w:sz w:val="26"/>
        </w:rPr>
      </w:pPr>
    </w:p>
    <w:p>
      <w:pPr>
        <w:pStyle w:val="BodyText"/>
        <w:spacing w:line="364" w:lineRule="auto" w:before="1"/>
        <w:ind w:left="218" w:right="399" w:firstLine="559"/>
      </w:pPr>
      <w:r>
        <w:rPr/>
        <w:t>本保险重大疾病保险金额由投保人、保险人双方约定，并在保险单中载明。</w:t>
      </w:r>
    </w:p>
    <w:p>
      <w:pPr>
        <w:spacing w:line="364" w:lineRule="auto" w:before="155"/>
        <w:ind w:left="218" w:right="390" w:firstLine="559"/>
        <w:jc w:val="left"/>
        <w:rPr>
          <w:b/>
          <w:sz w:val="28"/>
        </w:rPr>
      </w:pPr>
      <w:r>
        <w:rPr>
          <w:sz w:val="28"/>
        </w:rPr>
        <w:t>除另有约定外，投保人应在保险合同成立时交清保险费，</w:t>
      </w:r>
      <w:r>
        <w:rPr>
          <w:b/>
          <w:sz w:val="28"/>
        </w:rPr>
        <w:t>投保人未按约定交付保险费的，保险合同不发生效力，合同生效前发生的保险事故，</w:t>
      </w:r>
    </w:p>
    <w:p>
      <w:pPr>
        <w:spacing w:after="0" w:line="364" w:lineRule="auto"/>
        <w:jc w:val="left"/>
        <w:rPr>
          <w:sz w:val="28"/>
        </w:rPr>
        <w:sectPr>
          <w:pgSz w:w="11910" w:h="16840"/>
          <w:pgMar w:header="0" w:footer="1195" w:top="1300" w:bottom="1380" w:left="1200" w:right="1020"/>
        </w:sectPr>
      </w:pPr>
    </w:p>
    <w:p>
      <w:pPr>
        <w:spacing w:before="40"/>
        <w:ind w:left="218" w:right="0" w:firstLine="0"/>
        <w:jc w:val="left"/>
        <w:rPr>
          <w:b/>
          <w:sz w:val="28"/>
        </w:rPr>
      </w:pPr>
      <w:r>
        <w:rPr>
          <w:b/>
          <w:w w:val="95"/>
          <w:sz w:val="28"/>
        </w:rPr>
        <w:t>保险人不承担给付保险金的责任。</w:t>
      </w:r>
    </w:p>
    <w:p>
      <w:pPr>
        <w:pStyle w:val="BodyText"/>
        <w:spacing w:before="10"/>
        <w:rPr>
          <w:b/>
          <w:sz w:val="26"/>
        </w:rPr>
      </w:pPr>
    </w:p>
    <w:p>
      <w:pPr>
        <w:spacing w:before="0"/>
        <w:ind w:left="1795" w:right="1971" w:firstLine="0"/>
        <w:jc w:val="center"/>
        <w:rPr>
          <w:b/>
          <w:sz w:val="28"/>
        </w:rPr>
      </w:pPr>
      <w:r>
        <w:rPr>
          <w:b/>
          <w:w w:val="95"/>
          <w:sz w:val="28"/>
        </w:rPr>
        <w:t>保险期间</w:t>
      </w:r>
    </w:p>
    <w:p>
      <w:pPr>
        <w:pStyle w:val="BodyText"/>
        <w:spacing w:before="9"/>
        <w:rPr>
          <w:b/>
          <w:sz w:val="26"/>
        </w:rPr>
      </w:pPr>
    </w:p>
    <w:p>
      <w:pPr>
        <w:spacing w:line="364" w:lineRule="auto" w:before="0"/>
        <w:ind w:left="218" w:right="257" w:firstLine="561"/>
        <w:jc w:val="left"/>
        <w:rPr>
          <w:b/>
          <w:sz w:val="28"/>
        </w:rPr>
      </w:pPr>
      <w:r>
        <w:rPr>
          <w:b/>
          <w:sz w:val="28"/>
        </w:rPr>
        <w:t>第八条 本保险合同为非保证续保合同。</w:t>
      </w:r>
      <w:r>
        <w:rPr>
          <w:sz w:val="28"/>
        </w:rPr>
        <w:t>本保险期间</w:t>
      </w:r>
      <w:r>
        <w:rPr>
          <w:b/>
          <w:sz w:val="28"/>
        </w:rPr>
        <w:t>最长不超过一年</w:t>
      </w:r>
      <w:r>
        <w:rPr>
          <w:sz w:val="28"/>
        </w:rPr>
        <w:t>，</w:t>
      </w:r>
      <w:r>
        <w:rPr>
          <w:spacing w:val="-137"/>
          <w:sz w:val="28"/>
        </w:rPr>
        <w:t> </w:t>
      </w:r>
      <w:r>
        <w:rPr>
          <w:sz w:val="28"/>
        </w:rPr>
        <w:t>以保险单载明的起讫时间为准。</w:t>
      </w:r>
      <w:r>
        <w:rPr>
          <w:b/>
          <w:sz w:val="28"/>
        </w:rPr>
        <w:t>保险期间届满，投保人需要重新向保险人申请投保本保险，交纳保险费，并获得新的保险合同。</w:t>
      </w:r>
    </w:p>
    <w:p>
      <w:pPr>
        <w:spacing w:before="154"/>
        <w:ind w:left="4049" w:right="0" w:firstLine="0"/>
        <w:jc w:val="left"/>
        <w:rPr>
          <w:b/>
          <w:sz w:val="28"/>
        </w:rPr>
      </w:pPr>
      <w:r>
        <w:rPr>
          <w:b/>
          <w:w w:val="95"/>
          <w:sz w:val="28"/>
        </w:rPr>
        <w:t>保险人义务</w:t>
      </w:r>
    </w:p>
    <w:p>
      <w:pPr>
        <w:pStyle w:val="BodyText"/>
        <w:spacing w:before="9"/>
        <w:rPr>
          <w:b/>
          <w:sz w:val="26"/>
        </w:rPr>
      </w:pPr>
    </w:p>
    <w:p>
      <w:pPr>
        <w:pStyle w:val="BodyText"/>
        <w:spacing w:line="364" w:lineRule="auto"/>
        <w:ind w:left="218" w:right="394" w:firstLine="561"/>
      </w:pPr>
      <w:r>
        <w:rPr>
          <w:b/>
          <w:spacing w:val="-10"/>
        </w:rPr>
        <w:t>第九条 </w:t>
      </w:r>
      <w:r>
        <w:rPr>
          <w:spacing w:val="-1"/>
        </w:rPr>
        <w:t>订立本保险合同时，采用保险人提供的格式条款的，保险人向</w:t>
      </w:r>
      <w:r>
        <w:rPr/>
        <w:t>投保人提供的投保单应当附格式条款，保险人应当向投保人说明本保险合同的内容。</w:t>
      </w:r>
    </w:p>
    <w:p>
      <w:pPr>
        <w:pStyle w:val="BodyText"/>
        <w:spacing w:line="364" w:lineRule="auto" w:before="155"/>
        <w:ind w:left="218" w:right="505" w:firstLine="559"/>
        <w:jc w:val="both"/>
      </w:pPr>
      <w:r>
        <w:rPr/>
        <w:t>对本保险合同中免除保险人责任的条款，保险人在订立合同时应当在投保单、保险单或者其他保险凭证上作出足以引起投保人注意的提示，并</w:t>
      </w:r>
      <w:r>
        <w:rPr>
          <w:spacing w:val="-1"/>
        </w:rPr>
        <w:t>对该条款的内容以书面或口头形式向投保人作出明确说明；未作提示或明</w:t>
      </w:r>
      <w:r>
        <w:rPr/>
        <w:t>确说明的，该条款不产生效力。</w:t>
      </w:r>
    </w:p>
    <w:p>
      <w:pPr>
        <w:pStyle w:val="BodyText"/>
        <w:spacing w:line="364" w:lineRule="auto" w:before="152"/>
        <w:ind w:left="218" w:right="397" w:firstLine="561"/>
        <w:jc w:val="both"/>
      </w:pPr>
      <w:r>
        <w:rPr>
          <w:b/>
          <w:spacing w:val="-10"/>
        </w:rPr>
        <w:t>第十条 </w:t>
      </w:r>
      <w:r>
        <w:rPr>
          <w:spacing w:val="-1"/>
        </w:rPr>
        <w:t>本保险合同成立后，保险人应当及时向投保人签发保险单或其</w:t>
      </w:r>
      <w:r>
        <w:rPr/>
        <w:t>他保险凭证。</w:t>
      </w:r>
    </w:p>
    <w:p>
      <w:pPr>
        <w:spacing w:before="155"/>
        <w:ind w:left="780" w:right="0" w:firstLine="0"/>
        <w:jc w:val="both"/>
        <w:rPr>
          <w:sz w:val="28"/>
        </w:rPr>
      </w:pPr>
      <w:r>
        <w:rPr>
          <w:b/>
          <w:spacing w:val="27"/>
          <w:sz w:val="28"/>
        </w:rPr>
        <w:t>第十一条 </w:t>
      </w:r>
      <w:r>
        <w:rPr>
          <w:sz w:val="28"/>
        </w:rPr>
        <w:t>投保人和保险人可以协商变更合同内容。</w:t>
      </w:r>
    </w:p>
    <w:p>
      <w:pPr>
        <w:pStyle w:val="BodyText"/>
        <w:spacing w:before="9"/>
        <w:rPr>
          <w:sz w:val="26"/>
        </w:rPr>
      </w:pPr>
    </w:p>
    <w:p>
      <w:pPr>
        <w:pStyle w:val="BodyText"/>
        <w:spacing w:line="364" w:lineRule="auto"/>
        <w:ind w:left="218" w:right="507" w:firstLine="559"/>
      </w:pPr>
      <w:r>
        <w:rPr>
          <w:spacing w:val="-1"/>
        </w:rPr>
        <w:t>变更保险合同的，应当由保险人在保险单或者其他保险凭证上批注或</w:t>
      </w:r>
      <w:r>
        <w:rPr/>
        <w:t>者附贴批单，或者由投保人和保险人订立变更的书面协议。</w:t>
      </w:r>
    </w:p>
    <w:p>
      <w:pPr>
        <w:spacing w:line="364" w:lineRule="auto" w:before="155"/>
        <w:ind w:left="218" w:right="393" w:firstLine="561"/>
        <w:jc w:val="left"/>
        <w:rPr>
          <w:sz w:val="28"/>
        </w:rPr>
      </w:pPr>
      <w:r>
        <w:rPr>
          <w:b/>
          <w:spacing w:val="-8"/>
          <w:sz w:val="28"/>
        </w:rPr>
        <w:t>第十二条 </w:t>
      </w:r>
      <w:r>
        <w:rPr>
          <w:sz w:val="28"/>
        </w:rPr>
        <w:t>保险人依本条款第十六条取得的合同解除权，自保险人知道</w:t>
      </w:r>
      <w:r>
        <w:rPr>
          <w:spacing w:val="-1"/>
          <w:sz w:val="28"/>
        </w:rPr>
        <w:t>有解除事由之日起，</w:t>
      </w:r>
      <w:r>
        <w:rPr>
          <w:b/>
          <w:spacing w:val="-23"/>
          <w:sz w:val="28"/>
        </w:rPr>
        <w:t>超过 </w:t>
      </w:r>
      <w:r>
        <w:rPr>
          <w:b/>
          <w:sz w:val="28"/>
        </w:rPr>
        <w:t>30</w:t>
      </w:r>
      <w:r>
        <w:rPr>
          <w:b/>
          <w:spacing w:val="-37"/>
          <w:sz w:val="28"/>
        </w:rPr>
        <w:t> 日</w:t>
      </w:r>
      <w:r>
        <w:rPr>
          <w:sz w:val="28"/>
        </w:rPr>
        <w:t>不行使而消灭。</w:t>
      </w:r>
    </w:p>
    <w:p>
      <w:pPr>
        <w:pStyle w:val="BodyText"/>
        <w:spacing w:line="364" w:lineRule="auto" w:before="150"/>
        <w:ind w:left="218" w:right="393" w:firstLine="561"/>
      </w:pPr>
      <w:r>
        <w:rPr>
          <w:b/>
          <w:spacing w:val="-8"/>
        </w:rPr>
        <w:t>第十三条 </w:t>
      </w:r>
      <w:r>
        <w:rPr>
          <w:spacing w:val="-1"/>
        </w:rPr>
        <w:t>保险人按照本条款第十九条的约定，认为被保险人提供的有</w:t>
      </w:r>
      <w:r>
        <w:rPr/>
        <w:t>关索赔的证明和资料不完整的，应当及时一次性通知投保人、被保险人补充提供。</w:t>
      </w:r>
    </w:p>
    <w:p>
      <w:pPr>
        <w:spacing w:after="0" w:line="364" w:lineRule="auto"/>
        <w:sectPr>
          <w:pgSz w:w="11910" w:h="16840"/>
          <w:pgMar w:header="0" w:footer="1195" w:top="1300" w:bottom="1380" w:left="1200" w:right="1020"/>
        </w:sectPr>
      </w:pPr>
    </w:p>
    <w:p>
      <w:pPr>
        <w:pStyle w:val="BodyText"/>
        <w:spacing w:line="364" w:lineRule="auto" w:before="40"/>
        <w:ind w:left="218" w:right="390" w:firstLine="561"/>
        <w:jc w:val="both"/>
      </w:pPr>
      <w:r>
        <w:rPr>
          <w:b/>
          <w:spacing w:val="-8"/>
        </w:rPr>
        <w:t>第十四条 </w:t>
      </w:r>
      <w:r>
        <w:rPr/>
        <w:t>保险人收到被保险人的给付保险金的请求后，应当及时作出</w:t>
      </w:r>
      <w:r>
        <w:rPr>
          <w:spacing w:val="-6"/>
        </w:rPr>
        <w:t>是否属于保险责任的核定；情形复杂的，应当在 </w:t>
      </w:r>
      <w:r>
        <w:rPr>
          <w:b/>
          <w:spacing w:val="-1"/>
        </w:rPr>
        <w:t>30</w:t>
      </w:r>
      <w:r>
        <w:rPr>
          <w:b/>
          <w:spacing w:val="-25"/>
        </w:rPr>
        <w:t> 日内</w:t>
      </w:r>
      <w:r>
        <w:rPr>
          <w:spacing w:val="-1"/>
        </w:rPr>
        <w:t>作出核定，但合同</w:t>
      </w:r>
      <w:r>
        <w:rPr/>
        <w:t>另有约定的除外。</w:t>
      </w:r>
    </w:p>
    <w:p>
      <w:pPr>
        <w:pStyle w:val="BodyText"/>
        <w:spacing w:line="364" w:lineRule="auto" w:before="155"/>
        <w:ind w:left="218" w:right="392" w:firstLine="559"/>
      </w:pPr>
      <w:r>
        <w:rPr/>
        <w:t>保险人应当将核定结果通知被保险人；对属于保险责任的，在与被保</w:t>
      </w:r>
      <w:r>
        <w:rPr>
          <w:spacing w:val="-7"/>
        </w:rPr>
        <w:t>险人达成给付保险金的协议之次日起 </w:t>
      </w:r>
      <w:r>
        <w:rPr>
          <w:b/>
          <w:spacing w:val="-1"/>
        </w:rPr>
        <w:t>10</w:t>
      </w:r>
      <w:r>
        <w:rPr>
          <w:b/>
          <w:spacing w:val="-25"/>
        </w:rPr>
        <w:t> 日内</w:t>
      </w:r>
      <w:r>
        <w:rPr>
          <w:spacing w:val="-1"/>
        </w:rPr>
        <w:t>，履行给付保险金义务。保险</w:t>
      </w:r>
      <w:r>
        <w:rPr/>
        <w:t>合同对给付保险金期限有约定的，保险人应当按照约定履行给付保险金的义务。保险人未及时履行前款规定义务的，除支付保险金外，应当赔偿被保险人因此受到的损失。任何单位和个人不得非法干预保险人履行给付保险金的义务，也不得限制被保险人取得保险金的权利。</w:t>
      </w:r>
    </w:p>
    <w:p>
      <w:pPr>
        <w:spacing w:line="364" w:lineRule="auto" w:before="154"/>
        <w:ind w:left="254" w:right="433" w:firstLine="561"/>
        <w:jc w:val="left"/>
        <w:rPr>
          <w:b/>
          <w:sz w:val="28"/>
        </w:rPr>
      </w:pPr>
      <w:r>
        <w:rPr>
          <w:b/>
          <w:sz w:val="28"/>
        </w:rPr>
        <w:t>保险人依照前款约定作出核定后，对不属于保险责任的，应当自作出</w:t>
      </w:r>
      <w:r>
        <w:rPr>
          <w:b/>
          <w:spacing w:val="20"/>
          <w:w w:val="95"/>
          <w:sz w:val="28"/>
        </w:rPr>
        <w:t>核定之日起 </w:t>
      </w:r>
      <w:r>
        <w:rPr>
          <w:b/>
          <w:w w:val="95"/>
          <w:sz w:val="28"/>
        </w:rPr>
        <w:t>3 日内向被保险人发出拒绝给付保险金通知书，并说明理由。</w:t>
      </w:r>
    </w:p>
    <w:p>
      <w:pPr>
        <w:pStyle w:val="BodyText"/>
        <w:spacing w:line="364" w:lineRule="auto" w:before="155"/>
        <w:ind w:left="218" w:right="394" w:firstLine="561"/>
      </w:pPr>
      <w:r>
        <w:rPr>
          <w:b/>
          <w:spacing w:val="-1"/>
        </w:rPr>
        <w:t>第十五条 </w:t>
      </w:r>
      <w:r>
        <w:rPr>
          <w:spacing w:val="-10"/>
        </w:rPr>
        <w:t>保险人自收到给付保险金的请求和有关证明、资料之日起 </w:t>
      </w:r>
      <w:r>
        <w:rPr>
          <w:b/>
        </w:rPr>
        <w:t>60</w:t>
      </w:r>
      <w:r>
        <w:rPr>
          <w:b/>
          <w:spacing w:val="-138"/>
        </w:rPr>
        <w:t> </w:t>
      </w:r>
      <w:r>
        <w:rPr>
          <w:b/>
        </w:rPr>
        <w:t>日内</w:t>
      </w:r>
      <w:r>
        <w:rPr/>
        <w:t>，对其给付保险金的数额不能确定的，应当根据已有证明和资料可以确定的数额先予支付；保险人最终确定给付的数额后，应当支付相应的差额。</w:t>
      </w:r>
    </w:p>
    <w:p>
      <w:pPr>
        <w:spacing w:before="152"/>
        <w:ind w:left="3349" w:right="0" w:firstLine="0"/>
        <w:jc w:val="left"/>
        <w:rPr>
          <w:b/>
          <w:sz w:val="28"/>
        </w:rPr>
      </w:pPr>
      <w:r>
        <w:rPr>
          <w:b/>
          <w:w w:val="95"/>
          <w:sz w:val="28"/>
        </w:rPr>
        <w:t>投保人、被保险人义务</w:t>
      </w:r>
    </w:p>
    <w:p>
      <w:pPr>
        <w:pStyle w:val="BodyText"/>
        <w:spacing w:before="9"/>
        <w:rPr>
          <w:b/>
          <w:sz w:val="26"/>
        </w:rPr>
      </w:pPr>
    </w:p>
    <w:p>
      <w:pPr>
        <w:spacing w:line="364" w:lineRule="auto" w:before="0"/>
        <w:ind w:left="218" w:right="393" w:firstLine="561"/>
        <w:jc w:val="both"/>
        <w:rPr>
          <w:b/>
          <w:sz w:val="28"/>
        </w:rPr>
      </w:pPr>
      <w:r>
        <w:rPr>
          <w:b/>
          <w:spacing w:val="-6"/>
          <w:sz w:val="28"/>
        </w:rPr>
        <w:t>第十六条 投保人应当如实填写投保单并回答保险人提出的询问，履行</w:t>
      </w:r>
      <w:r>
        <w:rPr>
          <w:b/>
          <w:sz w:val="28"/>
        </w:rPr>
        <w:t>如实告知义务。</w:t>
      </w:r>
    </w:p>
    <w:p>
      <w:pPr>
        <w:spacing w:line="364" w:lineRule="auto" w:before="155"/>
        <w:ind w:left="218" w:right="468" w:firstLine="561"/>
        <w:jc w:val="both"/>
        <w:rPr>
          <w:b/>
          <w:sz w:val="28"/>
        </w:rPr>
      </w:pPr>
      <w:r>
        <w:rPr>
          <w:b/>
          <w:sz w:val="28"/>
        </w:rPr>
        <w:t>投保人故意或者因重大过失未履行前款规定的如实告知义务，足以影响保险人决定是否同意承保或者提高保险费率的，保险人有权解除本保险合同。保险合同自保险人的解约通知书到达投保人时解除。</w:t>
      </w:r>
    </w:p>
    <w:p>
      <w:pPr>
        <w:spacing w:line="364" w:lineRule="auto" w:before="155"/>
        <w:ind w:left="218" w:right="399" w:firstLine="552"/>
        <w:jc w:val="left"/>
        <w:rPr>
          <w:b/>
          <w:sz w:val="28"/>
        </w:rPr>
      </w:pPr>
      <w:r>
        <w:rPr>
          <w:b/>
          <w:sz w:val="28"/>
        </w:rPr>
        <w:t>投保人故意不履行如实告知义务的，保险人对于合同解除前发生的保险事故，不承担给付保险金责任，并不退还保险费。</w:t>
      </w:r>
    </w:p>
    <w:p>
      <w:pPr>
        <w:spacing w:after="0" w:line="364" w:lineRule="auto"/>
        <w:jc w:val="left"/>
        <w:rPr>
          <w:sz w:val="28"/>
        </w:rPr>
        <w:sectPr>
          <w:pgSz w:w="11910" w:h="16840"/>
          <w:pgMar w:header="0" w:footer="1195" w:top="1300" w:bottom="1380" w:left="1200" w:right="1020"/>
        </w:sectPr>
      </w:pPr>
    </w:p>
    <w:p>
      <w:pPr>
        <w:spacing w:line="364" w:lineRule="auto" w:before="40"/>
        <w:ind w:left="218" w:right="399" w:firstLine="552"/>
        <w:jc w:val="both"/>
        <w:rPr>
          <w:b/>
          <w:sz w:val="28"/>
        </w:rPr>
      </w:pPr>
      <w:r>
        <w:rPr>
          <w:b/>
          <w:sz w:val="28"/>
        </w:rPr>
        <w:t>投保人因重大过失未履行如实告知义务，对保险事故的发生有严重影响的，保险人对于合同解除前发生的保险事故，不承担给付保险金责任，</w:t>
      </w:r>
      <w:r>
        <w:rPr>
          <w:b/>
          <w:spacing w:val="-139"/>
          <w:sz w:val="28"/>
        </w:rPr>
        <w:t> </w:t>
      </w:r>
      <w:r>
        <w:rPr>
          <w:b/>
          <w:sz w:val="28"/>
        </w:rPr>
        <w:t>但应当退还保险费。</w:t>
      </w:r>
    </w:p>
    <w:p>
      <w:pPr>
        <w:pStyle w:val="BodyText"/>
        <w:spacing w:line="364" w:lineRule="auto" w:before="155"/>
        <w:ind w:left="218" w:right="399" w:firstLine="549"/>
      </w:pPr>
      <w:r>
        <w:rPr/>
        <w:t>保险人在合同订立时已经知道投保人未如实告知的情况的，保险人不得解除合同；发生保险事故的，保险人应当承担给付保险金责任。</w:t>
      </w:r>
    </w:p>
    <w:p>
      <w:pPr>
        <w:spacing w:line="364" w:lineRule="auto" w:before="155"/>
        <w:ind w:left="218" w:right="396" w:firstLine="561"/>
        <w:jc w:val="both"/>
        <w:rPr>
          <w:b/>
          <w:sz w:val="28"/>
        </w:rPr>
      </w:pPr>
      <w:r>
        <w:rPr>
          <w:b/>
          <w:spacing w:val="-8"/>
          <w:sz w:val="28"/>
        </w:rPr>
        <w:t>第十七条 投保人住所或通讯地址变更时，应及时书面通知保险人。投</w:t>
      </w:r>
      <w:r>
        <w:rPr>
          <w:b/>
          <w:sz w:val="28"/>
        </w:rPr>
        <w:t>保人未通知的，保险人按本保险合同所载的住所或通讯地址发送的有关通知，均视为已送达投保人。</w:t>
      </w:r>
    </w:p>
    <w:p>
      <w:pPr>
        <w:spacing w:line="364" w:lineRule="auto" w:before="155"/>
        <w:ind w:left="218" w:right="394" w:firstLine="561"/>
        <w:jc w:val="both"/>
        <w:rPr>
          <w:sz w:val="28"/>
        </w:rPr>
      </w:pPr>
      <w:r>
        <w:rPr>
          <w:b/>
          <w:spacing w:val="-8"/>
          <w:sz w:val="28"/>
        </w:rPr>
        <w:t>第十八条 投保人、被保险人知道保险事故发生后，应当及时通知保险</w:t>
      </w:r>
      <w:r>
        <w:rPr>
          <w:b/>
          <w:sz w:val="28"/>
        </w:rPr>
        <w:t>人。其故意或者因重大过失未及时通知，致使保险事故的性质、原因、损</w:t>
      </w:r>
      <w:r>
        <w:rPr>
          <w:b/>
          <w:spacing w:val="-15"/>
          <w:sz w:val="28"/>
        </w:rPr>
        <w:t>失程度等难以确定的，保险人对无法确定的部分，不承担给付保险金责任，</w:t>
      </w:r>
      <w:r>
        <w:rPr>
          <w:b/>
          <w:spacing w:val="-139"/>
          <w:sz w:val="28"/>
        </w:rPr>
        <w:t> </w:t>
      </w:r>
      <w:r>
        <w:rPr>
          <w:sz w:val="28"/>
        </w:rPr>
        <w:t>但保险人通过其他途径已经及时知道或者应当及时知道保险事故发生的除外。</w:t>
      </w:r>
    </w:p>
    <w:p>
      <w:pPr>
        <w:spacing w:before="152"/>
        <w:ind w:left="780" w:right="0" w:firstLine="0"/>
        <w:jc w:val="left"/>
        <w:rPr>
          <w:b/>
          <w:sz w:val="28"/>
        </w:rPr>
      </w:pPr>
      <w:r>
        <w:rPr>
          <w:b/>
          <w:w w:val="95"/>
          <w:sz w:val="28"/>
        </w:rPr>
        <w:t>上述约定，不包括因不可抗力而导致的迟延。</w:t>
      </w:r>
    </w:p>
    <w:p>
      <w:pPr>
        <w:pStyle w:val="BodyText"/>
        <w:spacing w:before="9"/>
        <w:rPr>
          <w:b/>
          <w:sz w:val="26"/>
        </w:rPr>
      </w:pPr>
    </w:p>
    <w:p>
      <w:pPr>
        <w:spacing w:before="0"/>
        <w:ind w:left="1795" w:right="1971" w:firstLine="0"/>
        <w:jc w:val="center"/>
        <w:rPr>
          <w:b/>
          <w:sz w:val="28"/>
        </w:rPr>
      </w:pPr>
      <w:r>
        <w:rPr>
          <w:b/>
          <w:w w:val="95"/>
          <w:sz w:val="28"/>
        </w:rPr>
        <w:t>赔偿处理</w:t>
      </w:r>
    </w:p>
    <w:p>
      <w:pPr>
        <w:pStyle w:val="BodyText"/>
        <w:spacing w:before="9"/>
        <w:rPr>
          <w:b/>
          <w:sz w:val="26"/>
        </w:rPr>
      </w:pPr>
    </w:p>
    <w:p>
      <w:pPr>
        <w:spacing w:line="364" w:lineRule="auto" w:before="0"/>
        <w:ind w:left="218" w:right="392" w:firstLine="554"/>
        <w:jc w:val="both"/>
        <w:rPr>
          <w:b/>
          <w:sz w:val="28"/>
        </w:rPr>
      </w:pPr>
      <w:r>
        <w:rPr>
          <w:b/>
          <w:spacing w:val="-8"/>
          <w:sz w:val="28"/>
        </w:rPr>
        <w:t>第十九条 </w:t>
      </w:r>
      <w:r>
        <w:rPr>
          <w:sz w:val="28"/>
        </w:rPr>
        <w:t>保险金申请人向保险人申请给付保险金时，应提交以下与确认保险事故的性质、原因、损失程度等有关的证明和资料。</w:t>
      </w:r>
      <w:r>
        <w:rPr>
          <w:b/>
          <w:sz w:val="28"/>
        </w:rPr>
        <w:t>保险金申请人因特殊原因不能提供以下材料的，应提供其他具有同等证明效力的合法有效的材料。</w:t>
      </w:r>
    </w:p>
    <w:p>
      <w:pPr>
        <w:spacing w:before="154"/>
        <w:ind w:left="773" w:right="0" w:firstLine="0"/>
        <w:jc w:val="left"/>
        <w:rPr>
          <w:b/>
          <w:sz w:val="28"/>
        </w:rPr>
      </w:pPr>
      <w:r>
        <w:rPr>
          <w:b/>
          <w:sz w:val="28"/>
        </w:rPr>
        <w:t>（一）保险金给付申请书；</w:t>
      </w:r>
    </w:p>
    <w:p>
      <w:pPr>
        <w:pStyle w:val="BodyText"/>
        <w:spacing w:before="9"/>
        <w:rPr>
          <w:b/>
          <w:sz w:val="26"/>
        </w:rPr>
      </w:pPr>
    </w:p>
    <w:p>
      <w:pPr>
        <w:spacing w:before="0"/>
        <w:ind w:left="773" w:right="0" w:firstLine="0"/>
        <w:jc w:val="left"/>
        <w:rPr>
          <w:b/>
          <w:sz w:val="28"/>
        </w:rPr>
      </w:pPr>
      <w:r>
        <w:rPr>
          <w:b/>
          <w:sz w:val="28"/>
        </w:rPr>
        <w:t>（二）保险单原件；</w:t>
      </w:r>
    </w:p>
    <w:p>
      <w:pPr>
        <w:pStyle w:val="BodyText"/>
        <w:spacing w:before="9"/>
        <w:rPr>
          <w:b/>
          <w:sz w:val="26"/>
        </w:rPr>
      </w:pPr>
    </w:p>
    <w:p>
      <w:pPr>
        <w:spacing w:before="0"/>
        <w:ind w:left="773" w:right="0" w:firstLine="0"/>
        <w:jc w:val="left"/>
        <w:rPr>
          <w:b/>
          <w:sz w:val="28"/>
        </w:rPr>
      </w:pPr>
      <w:r>
        <w:rPr>
          <w:b/>
          <w:sz w:val="28"/>
        </w:rPr>
        <w:t>（三）被保险人身份证明；</w:t>
      </w:r>
    </w:p>
    <w:p>
      <w:pPr>
        <w:pStyle w:val="BodyText"/>
        <w:spacing w:before="9"/>
        <w:rPr>
          <w:b/>
          <w:sz w:val="26"/>
        </w:rPr>
      </w:pPr>
    </w:p>
    <w:p>
      <w:pPr>
        <w:spacing w:before="0"/>
        <w:ind w:left="773" w:right="0" w:firstLine="0"/>
        <w:jc w:val="left"/>
        <w:rPr>
          <w:b/>
          <w:sz w:val="28"/>
        </w:rPr>
      </w:pPr>
      <w:r>
        <w:rPr>
          <w:b/>
          <w:sz w:val="28"/>
        </w:rPr>
        <w:t>（四）符合本条款释义的医院出具的附有病理显微镜检查、血液检验</w:t>
      </w:r>
    </w:p>
    <w:p>
      <w:pPr>
        <w:spacing w:after="0"/>
        <w:jc w:val="left"/>
        <w:rPr>
          <w:sz w:val="28"/>
        </w:rPr>
        <w:sectPr>
          <w:pgSz w:w="11910" w:h="16840"/>
          <w:pgMar w:header="0" w:footer="1195" w:top="1300" w:bottom="1380" w:left="1200" w:right="1020"/>
        </w:sectPr>
      </w:pPr>
    </w:p>
    <w:p>
      <w:pPr>
        <w:spacing w:before="40"/>
        <w:ind w:left="218" w:right="0" w:firstLine="0"/>
        <w:jc w:val="left"/>
        <w:rPr>
          <w:b/>
          <w:sz w:val="28"/>
        </w:rPr>
      </w:pPr>
      <w:r>
        <w:rPr>
          <w:b/>
          <w:w w:val="95"/>
          <w:sz w:val="28"/>
        </w:rPr>
        <w:t>及其他科学方法检验报告的疾病诊断证明书；</w:t>
      </w:r>
    </w:p>
    <w:p>
      <w:pPr>
        <w:pStyle w:val="BodyText"/>
        <w:spacing w:before="10"/>
        <w:rPr>
          <w:b/>
          <w:sz w:val="26"/>
        </w:rPr>
      </w:pPr>
    </w:p>
    <w:p>
      <w:pPr>
        <w:spacing w:line="364" w:lineRule="auto" w:before="0"/>
        <w:ind w:left="218" w:right="397" w:firstLine="554"/>
        <w:jc w:val="left"/>
        <w:rPr>
          <w:b/>
          <w:sz w:val="28"/>
        </w:rPr>
      </w:pPr>
      <w:r>
        <w:rPr>
          <w:b/>
          <w:sz w:val="28"/>
        </w:rPr>
        <w:t>（五）保险金申请人所能提供的与确认保险事故的性质、原因、损失程度等有关的其他证明和资料；</w:t>
      </w:r>
    </w:p>
    <w:p>
      <w:pPr>
        <w:spacing w:line="364" w:lineRule="auto" w:before="155"/>
        <w:ind w:left="218" w:right="397" w:firstLine="554"/>
        <w:jc w:val="left"/>
        <w:rPr>
          <w:b/>
          <w:sz w:val="28"/>
        </w:rPr>
      </w:pPr>
      <w:r>
        <w:rPr>
          <w:b/>
          <w:sz w:val="28"/>
        </w:rPr>
        <w:t>（六）若保险金申请人委托他人申请的，还应提供经公证的授权委托书原件、委托人和受托人的身份证明等相关证明文件。</w:t>
      </w:r>
    </w:p>
    <w:p>
      <w:pPr>
        <w:spacing w:line="364" w:lineRule="auto" w:before="155"/>
        <w:ind w:left="218" w:right="391" w:firstLine="554"/>
        <w:jc w:val="left"/>
        <w:rPr>
          <w:b/>
          <w:sz w:val="28"/>
        </w:rPr>
      </w:pPr>
      <w:r>
        <w:rPr>
          <w:b/>
          <w:sz w:val="28"/>
        </w:rPr>
        <w:t>保险金申请人未履行前款约定的索赔材料提供义务，导致保险人无法核实损失情况的，保险人对无法核实的部分不承担赔偿责任。</w:t>
      </w:r>
    </w:p>
    <w:p>
      <w:pPr>
        <w:spacing w:line="364" w:lineRule="auto" w:before="155"/>
        <w:ind w:left="218" w:right="399" w:firstLine="554"/>
        <w:jc w:val="left"/>
        <w:rPr>
          <w:b/>
          <w:sz w:val="28"/>
        </w:rPr>
      </w:pPr>
      <w:r>
        <w:rPr>
          <w:b/>
          <w:sz w:val="28"/>
        </w:rPr>
        <w:t>第二十条 保险金申请人向保险人请求给付保险金的诉讼时效期间为二年，自其知道或者应当知道保险事故发生之日起计算。</w:t>
      </w:r>
    </w:p>
    <w:p>
      <w:pPr>
        <w:spacing w:before="155"/>
        <w:ind w:left="3488" w:right="0" w:firstLine="0"/>
        <w:jc w:val="left"/>
        <w:rPr>
          <w:b/>
          <w:sz w:val="28"/>
        </w:rPr>
      </w:pPr>
      <w:r>
        <w:rPr>
          <w:b/>
          <w:w w:val="95"/>
          <w:sz w:val="28"/>
        </w:rPr>
        <w:t>争议处理和法律适用</w:t>
      </w:r>
    </w:p>
    <w:p>
      <w:pPr>
        <w:pStyle w:val="BodyText"/>
        <w:spacing w:before="9"/>
        <w:rPr>
          <w:b/>
          <w:sz w:val="26"/>
        </w:rPr>
      </w:pPr>
    </w:p>
    <w:p>
      <w:pPr>
        <w:pStyle w:val="BodyText"/>
        <w:spacing w:line="364" w:lineRule="auto"/>
        <w:ind w:left="218" w:right="391" w:firstLine="552"/>
        <w:jc w:val="both"/>
      </w:pPr>
      <w:r>
        <w:rPr>
          <w:b/>
          <w:spacing w:val="-7"/>
        </w:rPr>
        <w:t>第二十一条 </w:t>
      </w:r>
      <w:r>
        <w:rPr/>
        <w:t>因履行本保险合同发生的争议，由当事人协商解决。协商不成的，提交保险单载明的仲裁机构仲裁；保险合同未载明仲裁机构或者争议发生后未达成仲裁协议的，依法向有管辖权的人民法院起诉。</w:t>
      </w:r>
    </w:p>
    <w:p>
      <w:pPr>
        <w:spacing w:line="364" w:lineRule="auto" w:before="153"/>
        <w:ind w:left="218" w:right="396" w:firstLine="552"/>
        <w:jc w:val="both"/>
        <w:rPr>
          <w:sz w:val="28"/>
        </w:rPr>
      </w:pPr>
      <w:r>
        <w:rPr>
          <w:b/>
          <w:spacing w:val="10"/>
          <w:sz w:val="28"/>
        </w:rPr>
        <w:t>第二十二条 </w:t>
      </w:r>
      <w:r>
        <w:rPr>
          <w:sz w:val="28"/>
        </w:rPr>
        <w:t>与本保险合同有关的以及履行本保险合同产生的一切争议处理适用中华人民共和国法律（</w:t>
      </w:r>
      <w:r>
        <w:rPr>
          <w:b/>
          <w:sz w:val="28"/>
        </w:rPr>
        <w:t>不包括港澳台地区法律</w:t>
      </w:r>
      <w:r>
        <w:rPr>
          <w:spacing w:val="-140"/>
          <w:sz w:val="28"/>
        </w:rPr>
        <w:t>）。</w:t>
      </w:r>
    </w:p>
    <w:p>
      <w:pPr>
        <w:spacing w:before="155"/>
        <w:ind w:left="1795" w:right="1777" w:firstLine="0"/>
        <w:jc w:val="center"/>
        <w:rPr>
          <w:b/>
          <w:sz w:val="28"/>
        </w:rPr>
      </w:pPr>
      <w:r>
        <w:rPr>
          <w:b/>
          <w:w w:val="95"/>
          <w:sz w:val="28"/>
        </w:rPr>
        <w:t>其他事项</w:t>
      </w:r>
    </w:p>
    <w:p>
      <w:pPr>
        <w:pStyle w:val="BodyText"/>
        <w:spacing w:before="9"/>
        <w:rPr>
          <w:b/>
          <w:sz w:val="26"/>
        </w:rPr>
      </w:pPr>
    </w:p>
    <w:p>
      <w:pPr>
        <w:pStyle w:val="BodyText"/>
        <w:spacing w:line="364" w:lineRule="auto"/>
        <w:ind w:left="218" w:right="437" w:firstLine="621"/>
        <w:jc w:val="both"/>
      </w:pPr>
      <w:r>
        <w:rPr>
          <w:b/>
          <w:spacing w:val="20"/>
        </w:rPr>
        <w:t>第二十三条 </w:t>
      </w:r>
      <w:r>
        <w:rPr/>
        <w:t>被保险人的投保年龄按周岁计算。投保人应在投保时将被保险人的真实年龄在投保单上写明，如果发生错误，保险人按照下列规定办理：</w:t>
      </w:r>
    </w:p>
    <w:p>
      <w:pPr>
        <w:spacing w:line="364" w:lineRule="auto" w:before="155"/>
        <w:ind w:left="218" w:right="468" w:firstLine="561"/>
        <w:jc w:val="both"/>
        <w:rPr>
          <w:b/>
          <w:sz w:val="28"/>
        </w:rPr>
      </w:pPr>
      <w:r>
        <w:rPr>
          <w:b/>
          <w:sz w:val="28"/>
        </w:rPr>
        <w:t>（一）投保人申报的被保险人年龄不真实，并且其真实年龄超出本保险合同约定年龄限制的，保险人可以有权解除本保险合同或取消该被保险人资格，并向投保人退还该被保险人的未满期保险费；</w:t>
      </w:r>
    </w:p>
    <w:p>
      <w:pPr>
        <w:spacing w:after="0" w:line="364" w:lineRule="auto"/>
        <w:jc w:val="both"/>
        <w:rPr>
          <w:sz w:val="28"/>
        </w:rPr>
        <w:sectPr>
          <w:pgSz w:w="11910" w:h="16840"/>
          <w:pgMar w:header="0" w:footer="1195" w:top="1300" w:bottom="1380" w:left="1200" w:right="1020"/>
        </w:sectPr>
      </w:pPr>
    </w:p>
    <w:p>
      <w:pPr>
        <w:spacing w:line="364" w:lineRule="auto" w:before="40"/>
        <w:ind w:left="218" w:right="398" w:firstLine="561"/>
        <w:jc w:val="both"/>
        <w:rPr>
          <w:b/>
          <w:sz w:val="28"/>
        </w:rPr>
      </w:pPr>
      <w:r>
        <w:rPr>
          <w:b/>
          <w:sz w:val="28"/>
        </w:rPr>
        <w:t>（二）投保人申报的被保险人年龄不真实，致使投保人支付的保险费少于应付保险费的，保险人有权更正并要求投保人补交保险费，或者在给付保险金时按照实付保险费与应付保险费的比例支付；</w:t>
      </w:r>
    </w:p>
    <w:p>
      <w:pPr>
        <w:spacing w:line="364" w:lineRule="auto" w:before="155"/>
        <w:ind w:left="218" w:right="398" w:firstLine="561"/>
        <w:jc w:val="left"/>
        <w:rPr>
          <w:b/>
          <w:sz w:val="28"/>
        </w:rPr>
      </w:pPr>
      <w:r>
        <w:rPr>
          <w:b/>
          <w:sz w:val="28"/>
        </w:rPr>
        <w:t>（三）投保人申报的被保险人年龄不真实，致使投保人支付的保险费多于应付保险费的，保险人应当将多收的保险费无息退还投保人。</w:t>
      </w:r>
    </w:p>
    <w:p>
      <w:pPr>
        <w:spacing w:before="155"/>
        <w:ind w:left="780" w:right="0" w:firstLine="0"/>
        <w:jc w:val="left"/>
        <w:rPr>
          <w:b/>
          <w:sz w:val="28"/>
        </w:rPr>
      </w:pPr>
      <w:r>
        <w:rPr>
          <w:b/>
          <w:sz w:val="28"/>
        </w:rPr>
        <w:t>第二十四条 被保险人发生变动时，按下列约定执行：</w:t>
      </w:r>
    </w:p>
    <w:p>
      <w:pPr>
        <w:pStyle w:val="BodyText"/>
        <w:spacing w:before="9"/>
        <w:rPr>
          <w:b/>
          <w:sz w:val="26"/>
        </w:rPr>
      </w:pPr>
    </w:p>
    <w:p>
      <w:pPr>
        <w:spacing w:line="364" w:lineRule="auto" w:before="0"/>
        <w:ind w:left="218" w:right="395" w:firstLine="561"/>
        <w:jc w:val="both"/>
        <w:rPr>
          <w:b/>
          <w:sz w:val="28"/>
        </w:rPr>
      </w:pPr>
      <w:r>
        <w:rPr>
          <w:b/>
          <w:sz w:val="28"/>
        </w:rPr>
        <w:t>（一）投保人因在职人员变动等原因需要增加被保险人的，应书面通知保险人，保险人审核同意，于收取相应保险费的次日零时起开始承担保险责任；</w:t>
      </w:r>
    </w:p>
    <w:p>
      <w:pPr>
        <w:spacing w:line="364" w:lineRule="auto" w:before="155"/>
        <w:ind w:left="218" w:right="396" w:firstLine="561"/>
        <w:jc w:val="both"/>
        <w:rPr>
          <w:b/>
          <w:sz w:val="28"/>
        </w:rPr>
      </w:pPr>
      <w:r>
        <w:rPr>
          <w:b/>
          <w:spacing w:val="-1"/>
          <w:sz w:val="28"/>
        </w:rPr>
        <w:t>（二</w:t>
      </w:r>
      <w:r>
        <w:rPr>
          <w:b/>
          <w:spacing w:val="-101"/>
          <w:sz w:val="28"/>
        </w:rPr>
        <w:t>）</w:t>
      </w:r>
      <w:r>
        <w:rPr>
          <w:b/>
          <w:spacing w:val="-6"/>
          <w:sz w:val="28"/>
        </w:rPr>
        <w:t>投保人因被保险人离职或其他原因退保时，应书面通知保险人，</w:t>
      </w:r>
      <w:r>
        <w:rPr>
          <w:b/>
          <w:spacing w:val="-139"/>
          <w:sz w:val="28"/>
        </w:rPr>
        <w:t> </w:t>
      </w:r>
      <w:r>
        <w:rPr>
          <w:b/>
          <w:sz w:val="28"/>
        </w:rPr>
        <w:t>该被保险人资格自通知到达保险人之次日零时起丧失。如投保人要求的退保日期在通知到达日之后，则该被保险人资格自投保人要求的退保日零时起丧失。保险人对投保人退还该被保险人的未满期保险费。</w:t>
      </w:r>
    </w:p>
    <w:p>
      <w:pPr>
        <w:spacing w:line="364" w:lineRule="auto" w:before="152"/>
        <w:ind w:left="218" w:right="397" w:firstLine="561"/>
        <w:jc w:val="both"/>
        <w:rPr>
          <w:b/>
          <w:sz w:val="28"/>
        </w:rPr>
      </w:pPr>
      <w:r>
        <w:rPr>
          <w:b/>
          <w:sz w:val="28"/>
        </w:rPr>
        <w:t>第二十五条 在本保险合同成立后，投保人可以书面形式通知保险人解除合同，但保险人已根据本保险合同约定给付保险金的除外。</w:t>
      </w:r>
    </w:p>
    <w:p>
      <w:pPr>
        <w:spacing w:before="155"/>
        <w:ind w:left="780" w:right="0" w:firstLine="0"/>
        <w:jc w:val="left"/>
        <w:rPr>
          <w:b/>
          <w:sz w:val="28"/>
        </w:rPr>
      </w:pPr>
      <w:r>
        <w:rPr>
          <w:b/>
          <w:w w:val="95"/>
          <w:sz w:val="28"/>
        </w:rPr>
        <w:t>投保人解除本保险合同时，应提供下列证明文件和资料：</w:t>
      </w:r>
    </w:p>
    <w:p>
      <w:pPr>
        <w:pStyle w:val="BodyText"/>
        <w:spacing w:before="9"/>
        <w:rPr>
          <w:b/>
          <w:sz w:val="26"/>
        </w:rPr>
      </w:pPr>
    </w:p>
    <w:p>
      <w:pPr>
        <w:spacing w:before="0"/>
        <w:ind w:left="780" w:right="0" w:firstLine="0"/>
        <w:jc w:val="left"/>
        <w:rPr>
          <w:b/>
          <w:sz w:val="28"/>
        </w:rPr>
      </w:pPr>
      <w:r>
        <w:rPr>
          <w:b/>
          <w:sz w:val="28"/>
        </w:rPr>
        <w:t>（一）保险合同解除申请书；</w:t>
      </w:r>
    </w:p>
    <w:p>
      <w:pPr>
        <w:pStyle w:val="BodyText"/>
        <w:spacing w:before="9"/>
        <w:rPr>
          <w:b/>
          <w:sz w:val="26"/>
        </w:rPr>
      </w:pPr>
    </w:p>
    <w:p>
      <w:pPr>
        <w:spacing w:before="0"/>
        <w:ind w:left="780" w:right="0" w:firstLine="0"/>
        <w:jc w:val="left"/>
        <w:rPr>
          <w:b/>
          <w:sz w:val="28"/>
        </w:rPr>
      </w:pPr>
      <w:r>
        <w:rPr>
          <w:b/>
          <w:sz w:val="28"/>
        </w:rPr>
        <w:t>（二）保险单原件；</w:t>
      </w:r>
    </w:p>
    <w:p>
      <w:pPr>
        <w:pStyle w:val="BodyText"/>
        <w:spacing w:before="9"/>
        <w:rPr>
          <w:b/>
          <w:sz w:val="26"/>
        </w:rPr>
      </w:pPr>
    </w:p>
    <w:p>
      <w:pPr>
        <w:spacing w:before="0"/>
        <w:ind w:left="780" w:right="0" w:firstLine="0"/>
        <w:jc w:val="left"/>
        <w:rPr>
          <w:b/>
          <w:sz w:val="28"/>
        </w:rPr>
      </w:pPr>
      <w:r>
        <w:rPr>
          <w:b/>
          <w:sz w:val="28"/>
        </w:rPr>
        <w:t>（三）保险费交付凭证；</w:t>
      </w:r>
    </w:p>
    <w:p>
      <w:pPr>
        <w:pStyle w:val="BodyText"/>
        <w:spacing w:before="10"/>
        <w:rPr>
          <w:b/>
          <w:sz w:val="26"/>
        </w:rPr>
      </w:pPr>
    </w:p>
    <w:p>
      <w:pPr>
        <w:spacing w:before="0"/>
        <w:ind w:left="780" w:right="0" w:firstLine="0"/>
        <w:jc w:val="left"/>
        <w:rPr>
          <w:b/>
          <w:sz w:val="28"/>
        </w:rPr>
      </w:pPr>
      <w:r>
        <w:rPr>
          <w:b/>
          <w:w w:val="95"/>
          <w:sz w:val="28"/>
        </w:rPr>
        <w:t>（四）投保人身份证明或身份资格证明；</w:t>
      </w:r>
    </w:p>
    <w:p>
      <w:pPr>
        <w:pStyle w:val="BodyText"/>
        <w:spacing w:before="8"/>
        <w:rPr>
          <w:b/>
          <w:sz w:val="26"/>
        </w:rPr>
      </w:pPr>
    </w:p>
    <w:p>
      <w:pPr>
        <w:spacing w:before="1"/>
        <w:ind w:left="780" w:right="0" w:firstLine="0"/>
        <w:jc w:val="left"/>
        <w:rPr>
          <w:b/>
          <w:sz w:val="28"/>
        </w:rPr>
      </w:pPr>
      <w:r>
        <w:rPr>
          <w:b/>
          <w:w w:val="95"/>
          <w:sz w:val="28"/>
        </w:rPr>
        <w:t>（五）已通知被保险人退保的有效证明。</w:t>
      </w:r>
    </w:p>
    <w:p>
      <w:pPr>
        <w:pStyle w:val="BodyText"/>
        <w:spacing w:before="8"/>
        <w:rPr>
          <w:b/>
          <w:sz w:val="26"/>
        </w:rPr>
      </w:pPr>
    </w:p>
    <w:p>
      <w:pPr>
        <w:pStyle w:val="BodyText"/>
        <w:ind w:left="778"/>
      </w:pPr>
      <w:r>
        <w:rPr/>
        <w:t>投保人要求解除本保险合同，保险人应当自收到解除合同通知之日起</w:t>
      </w:r>
    </w:p>
    <w:p>
      <w:pPr>
        <w:spacing w:after="0"/>
        <w:sectPr>
          <w:pgSz w:w="11910" w:h="16840"/>
          <w:pgMar w:header="0" w:footer="1195" w:top="1300" w:bottom="1380" w:left="1200" w:right="1020"/>
        </w:sectPr>
      </w:pPr>
    </w:p>
    <w:p>
      <w:pPr>
        <w:spacing w:before="40"/>
        <w:ind w:left="218" w:right="0" w:firstLine="0"/>
        <w:jc w:val="left"/>
        <w:rPr>
          <w:sz w:val="28"/>
        </w:rPr>
      </w:pPr>
      <w:r>
        <w:rPr>
          <w:b/>
          <w:w w:val="95"/>
          <w:sz w:val="28"/>
        </w:rPr>
        <w:t>30</w:t>
      </w:r>
      <w:r>
        <w:rPr>
          <w:b/>
          <w:spacing w:val="173"/>
          <w:sz w:val="28"/>
        </w:rPr>
        <w:t> </w:t>
      </w:r>
      <w:r>
        <w:rPr>
          <w:b/>
          <w:spacing w:val="-7"/>
          <w:w w:val="95"/>
          <w:sz w:val="28"/>
        </w:rPr>
        <w:t>日内，按照合同约定退还保险单的未满期保险费。</w:t>
      </w:r>
      <w:r>
        <w:rPr>
          <w:w w:val="95"/>
          <w:sz w:val="28"/>
        </w:rPr>
        <w:t>，</w:t>
      </w:r>
    </w:p>
    <w:p>
      <w:pPr>
        <w:pStyle w:val="BodyText"/>
        <w:spacing w:before="10"/>
        <w:rPr>
          <w:sz w:val="26"/>
        </w:rPr>
      </w:pPr>
    </w:p>
    <w:p>
      <w:pPr>
        <w:pStyle w:val="BodyText"/>
        <w:spacing w:line="364" w:lineRule="auto"/>
        <w:ind w:left="218" w:right="395" w:firstLine="559"/>
        <w:jc w:val="both"/>
      </w:pPr>
      <w:r>
        <w:rPr/>
        <w:t>投保人解除本保险合同的，保险人应当按照中国银行保险监督管理委员会有关团体保险退保的规定将退保金通过银行转账或者原投保资金汇入路径退至投保人缴费账户，若出现下列情况，则退至其他指定账户：</w:t>
      </w:r>
    </w:p>
    <w:p>
      <w:pPr>
        <w:pStyle w:val="BodyText"/>
        <w:spacing w:line="364" w:lineRule="auto" w:before="154"/>
        <w:ind w:left="218" w:right="399" w:firstLine="559"/>
        <w:jc w:val="both"/>
      </w:pPr>
      <w:r>
        <w:rPr/>
        <w:t>（一）投保人原交款账户销户或原交款账户存在异常状态导致无法转账成功的，经投保人或者承继投保人权利的人提供有效证明文件，退保金可以通过银行转账至其指定账户，该指定账户应属于投保人或者承继投保人权利的人；</w:t>
      </w:r>
    </w:p>
    <w:p>
      <w:pPr>
        <w:pStyle w:val="BodyText"/>
        <w:spacing w:line="364" w:lineRule="auto" w:before="155"/>
        <w:ind w:left="218" w:right="394" w:firstLine="559"/>
      </w:pPr>
      <w:r>
        <w:rPr/>
        <w:t>（二</w:t>
      </w:r>
      <w:r>
        <w:rPr>
          <w:spacing w:val="-87"/>
        </w:rPr>
        <w:t>）</w:t>
      </w:r>
      <w:r>
        <w:rPr>
          <w:spacing w:val="-6"/>
        </w:rPr>
        <w:t>投保人收入和支出账户不一致的，经投保人提供有效证明文件，</w:t>
      </w:r>
      <w:r>
        <w:rPr>
          <w:spacing w:val="-137"/>
        </w:rPr>
        <w:t> </w:t>
      </w:r>
      <w:r>
        <w:rPr/>
        <w:t>退保金可以通过银行转账至投保人指定账户，该指定账户应属于投保人；</w:t>
      </w:r>
    </w:p>
    <w:p>
      <w:pPr>
        <w:pStyle w:val="BodyText"/>
        <w:spacing w:line="364" w:lineRule="auto" w:before="155"/>
        <w:ind w:left="218" w:right="399" w:firstLine="559"/>
        <w:jc w:val="both"/>
      </w:pPr>
      <w:r>
        <w:rPr/>
        <w:t>（三）投保人为党政机关、事业单位且根据有关规定应将退保金转账至财政或国库账户的，或者按照仲裁结果或法院判决应将退保金转账至仲裁机构或法院指定账户的；</w:t>
      </w:r>
    </w:p>
    <w:p>
      <w:pPr>
        <w:pStyle w:val="BodyText"/>
        <w:spacing w:line="364" w:lineRule="auto" w:before="152"/>
        <w:ind w:left="218" w:right="399" w:firstLine="559"/>
      </w:pPr>
      <w:r>
        <w:rPr/>
        <w:t>（四）经投保人提供有效证明文件，被保险人个人缴纳的保费可以退还给被保险人。</w:t>
      </w:r>
    </w:p>
    <w:p>
      <w:pPr>
        <w:spacing w:before="155"/>
        <w:ind w:left="4572" w:right="0" w:firstLine="0"/>
        <w:jc w:val="left"/>
        <w:rPr>
          <w:b/>
          <w:sz w:val="28"/>
        </w:rPr>
      </w:pPr>
      <w:r>
        <w:rPr>
          <w:b/>
          <w:w w:val="95"/>
          <w:sz w:val="28"/>
        </w:rPr>
        <w:t>释义</w:t>
      </w:r>
    </w:p>
    <w:p>
      <w:pPr>
        <w:pStyle w:val="BodyText"/>
        <w:spacing w:before="9"/>
        <w:rPr>
          <w:b/>
          <w:sz w:val="26"/>
        </w:rPr>
      </w:pPr>
    </w:p>
    <w:p>
      <w:pPr>
        <w:pStyle w:val="BodyText"/>
        <w:ind w:left="218"/>
      </w:pPr>
      <w:r>
        <w:rPr>
          <w:b/>
          <w:spacing w:val="-1"/>
        </w:rPr>
        <w:t>【保险人】</w:t>
      </w:r>
      <w:r>
        <w:rPr/>
        <w:t>指与投保人签订本保险合同的众诚汽车保险股份有限公司。</w:t>
      </w:r>
    </w:p>
    <w:p>
      <w:pPr>
        <w:pStyle w:val="BodyText"/>
        <w:spacing w:before="9"/>
        <w:rPr>
          <w:sz w:val="26"/>
        </w:rPr>
      </w:pPr>
    </w:p>
    <w:p>
      <w:pPr>
        <w:pStyle w:val="BodyText"/>
        <w:spacing w:line="364" w:lineRule="auto"/>
        <w:ind w:left="218" w:right="392"/>
        <w:jc w:val="both"/>
      </w:pPr>
      <w:r>
        <w:rPr>
          <w:b/>
        </w:rPr>
        <w:t>【等待期】</w:t>
      </w:r>
      <w:r>
        <w:rPr/>
        <w:t>从保险合同生效日起，至保险人开始承担给付保险金责任之日</w:t>
      </w:r>
      <w:r>
        <w:rPr>
          <w:spacing w:val="-3"/>
        </w:rPr>
        <w:t>的一段期间。除另有约定外，本合同生效日起 </w:t>
      </w:r>
      <w:r>
        <w:rPr/>
        <w:t>30</w:t>
      </w:r>
      <w:r>
        <w:rPr>
          <w:spacing w:val="-15"/>
        </w:rPr>
        <w:t> 日内</w:t>
      </w:r>
      <w:r>
        <w:rPr/>
        <w:t>（</w:t>
      </w:r>
      <w:r>
        <w:rPr>
          <w:spacing w:val="-14"/>
        </w:rPr>
        <w:t>含第 </w:t>
      </w:r>
      <w:r>
        <w:rPr/>
        <w:t>30</w:t>
      </w:r>
      <w:r>
        <w:rPr>
          <w:spacing w:val="-22"/>
        </w:rPr>
        <w:t> 日</w:t>
      </w:r>
      <w:r>
        <w:rPr/>
        <w:t>）为等待期，具体天数在保险单中载明。保险人可根据被保险人风险状况对等待</w:t>
      </w:r>
      <w:r>
        <w:rPr>
          <w:spacing w:val="-7"/>
        </w:rPr>
        <w:t>期进行调整，最长不超过 </w:t>
      </w:r>
      <w:r>
        <w:rPr/>
        <w:t>30</w:t>
      </w:r>
      <w:r>
        <w:rPr>
          <w:spacing w:val="-9"/>
        </w:rPr>
        <w:t> 日，具体天数在保险单中载明。</w:t>
      </w:r>
    </w:p>
    <w:p>
      <w:pPr>
        <w:pStyle w:val="BodyText"/>
        <w:spacing w:line="364" w:lineRule="auto" w:before="155"/>
        <w:ind w:left="218" w:right="393"/>
        <w:rPr>
          <w:b/>
        </w:rPr>
      </w:pPr>
      <w:r>
        <w:rPr>
          <w:b/>
        </w:rPr>
        <w:t>【医院】</w:t>
      </w:r>
      <w:r>
        <w:rPr/>
        <w:t>指保险人与投保人约定的定点医院，未约定定点医院的，则指经中华人民共和国卫生部门评审确定的二级或二级以上的公立医院</w:t>
      </w:r>
      <w:r>
        <w:rPr>
          <w:b/>
        </w:rPr>
        <w:t>（不包含</w:t>
      </w:r>
    </w:p>
    <w:p>
      <w:pPr>
        <w:spacing w:after="0" w:line="364" w:lineRule="auto"/>
        <w:sectPr>
          <w:pgSz w:w="11910" w:h="16840"/>
          <w:pgMar w:header="0" w:footer="1195" w:top="1300" w:bottom="1380" w:left="1200" w:right="1020"/>
        </w:sectPr>
      </w:pPr>
    </w:p>
    <w:p>
      <w:pPr>
        <w:spacing w:line="364" w:lineRule="auto" w:before="40"/>
        <w:ind w:left="218" w:right="389" w:firstLine="0"/>
        <w:jc w:val="both"/>
        <w:rPr>
          <w:sz w:val="28"/>
        </w:rPr>
      </w:pPr>
      <w:r>
        <w:rPr>
          <w:b/>
          <w:sz w:val="28"/>
        </w:rPr>
        <w:t>公立医院的特需医疗、外宾医疗、干部病房、联合病房、国际医疗中心、</w:t>
      </w:r>
      <w:r>
        <w:rPr>
          <w:b/>
          <w:spacing w:val="1"/>
          <w:w w:val="99"/>
          <w:sz w:val="28"/>
        </w:rPr>
        <w:t>VI</w:t>
      </w:r>
      <w:r>
        <w:rPr>
          <w:b/>
          <w:w w:val="99"/>
          <w:sz w:val="28"/>
        </w:rPr>
        <w:t>P</w:t>
      </w:r>
      <w:r>
        <w:rPr>
          <w:b/>
          <w:spacing w:val="-35"/>
          <w:sz w:val="28"/>
        </w:rPr>
        <w:t> </w:t>
      </w:r>
      <w:r>
        <w:rPr>
          <w:b/>
          <w:w w:val="99"/>
          <w:sz w:val="28"/>
        </w:rPr>
        <w:t>部、联合医院、</w:t>
      </w:r>
      <w:r>
        <w:rPr>
          <w:b/>
          <w:w w:val="99"/>
          <w:sz w:val="28"/>
        </w:rPr>
        <w:t>A</w:t>
      </w:r>
      <w:r>
        <w:rPr>
          <w:b/>
          <w:spacing w:val="-34"/>
          <w:sz w:val="28"/>
        </w:rPr>
        <w:t> </w:t>
      </w:r>
      <w:r>
        <w:rPr>
          <w:b/>
          <w:w w:val="99"/>
          <w:sz w:val="28"/>
        </w:rPr>
        <w:t>级病房</w:t>
      </w:r>
      <w:r>
        <w:rPr>
          <w:b/>
          <w:spacing w:val="-142"/>
          <w:w w:val="99"/>
          <w:sz w:val="28"/>
        </w:rPr>
        <w:t>）</w:t>
      </w:r>
      <w:r>
        <w:rPr>
          <w:b/>
          <w:w w:val="99"/>
          <w:sz w:val="28"/>
        </w:rPr>
        <w:t>，但不包括主要作为诊所、康复、护理、休</w:t>
      </w:r>
      <w:r>
        <w:rPr>
          <w:b/>
          <w:sz w:val="28"/>
        </w:rPr>
        <w:t>养、静养、戒酒、戒毒等或类似的医疗机构。</w:t>
      </w:r>
      <w:r>
        <w:rPr>
          <w:sz w:val="28"/>
        </w:rPr>
        <w:t>该医院必须具有符合国家有关医院管理规则设置标准的医疗设备，且全天二十四小时有合格医师及护士驻院提供医疗及护理服务。</w:t>
      </w:r>
    </w:p>
    <w:p>
      <w:pPr>
        <w:spacing w:line="364" w:lineRule="auto" w:before="154"/>
        <w:ind w:left="218" w:right="393" w:firstLine="0"/>
        <w:jc w:val="both"/>
        <w:rPr>
          <w:b/>
          <w:sz w:val="28"/>
        </w:rPr>
      </w:pPr>
      <w:r>
        <w:rPr>
          <w:b/>
          <w:sz w:val="28"/>
        </w:rPr>
        <w:t>【确诊初次】</w:t>
      </w:r>
      <w:r>
        <w:rPr>
          <w:sz w:val="28"/>
        </w:rPr>
        <w:t>指自被保险人出生之日起第一次经医院确诊患有某种疾病，</w:t>
      </w:r>
      <w:r>
        <w:rPr>
          <w:spacing w:val="-138"/>
          <w:sz w:val="28"/>
        </w:rPr>
        <w:t> </w:t>
      </w:r>
      <w:r>
        <w:rPr>
          <w:sz w:val="28"/>
        </w:rPr>
        <w:t>而不是指自本保险生效之日起第一次经医院确诊患有某种疾病。</w:t>
      </w:r>
      <w:r>
        <w:rPr>
          <w:b/>
          <w:sz w:val="28"/>
        </w:rPr>
        <w:t>其中恶性肿瘤确诊之日为手术病理取材或病理活检取材日期。</w:t>
      </w:r>
    </w:p>
    <w:p>
      <w:pPr>
        <w:spacing w:before="155"/>
        <w:ind w:left="218" w:right="0" w:firstLine="0"/>
        <w:jc w:val="left"/>
        <w:rPr>
          <w:sz w:val="28"/>
        </w:rPr>
      </w:pPr>
      <w:r>
        <w:rPr>
          <w:b/>
          <w:spacing w:val="-1"/>
          <w:sz w:val="28"/>
        </w:rPr>
        <w:t>【重大疾病】</w:t>
      </w:r>
      <w:r>
        <w:rPr>
          <w:sz w:val="28"/>
        </w:rPr>
        <w:t>指由专科医生明确诊断的下列疾病：</w:t>
      </w:r>
    </w:p>
    <w:p>
      <w:pPr>
        <w:pStyle w:val="BodyText"/>
        <w:spacing w:before="9"/>
        <w:rPr>
          <w:sz w:val="26"/>
        </w:rPr>
      </w:pPr>
    </w:p>
    <w:p>
      <w:pPr>
        <w:spacing w:before="0"/>
        <w:ind w:left="780" w:right="0" w:firstLine="0"/>
        <w:jc w:val="left"/>
        <w:rPr>
          <w:b/>
          <w:sz w:val="28"/>
        </w:rPr>
      </w:pPr>
      <w:r>
        <w:rPr>
          <w:b/>
          <w:w w:val="95"/>
          <w:sz w:val="28"/>
        </w:rPr>
        <w:t>重度疾病：指以下第（一）至（二十八）项的疾病</w:t>
      </w:r>
    </w:p>
    <w:p>
      <w:pPr>
        <w:pStyle w:val="BodyText"/>
        <w:spacing w:before="9"/>
        <w:rPr>
          <w:b/>
          <w:sz w:val="26"/>
        </w:rPr>
      </w:pPr>
    </w:p>
    <w:p>
      <w:pPr>
        <w:pStyle w:val="BodyText"/>
        <w:ind w:left="778"/>
      </w:pPr>
      <w:r>
        <w:rPr/>
        <w:t>（一）恶性肿瘤——重度</w:t>
      </w:r>
    </w:p>
    <w:p>
      <w:pPr>
        <w:pStyle w:val="BodyText"/>
        <w:spacing w:before="9"/>
        <w:rPr>
          <w:sz w:val="26"/>
        </w:rPr>
      </w:pPr>
    </w:p>
    <w:p>
      <w:pPr>
        <w:pStyle w:val="BodyText"/>
        <w:spacing w:line="364" w:lineRule="auto"/>
        <w:ind w:left="218" w:right="257" w:firstLine="559"/>
      </w:pPr>
      <w:r>
        <w:rPr>
          <w:spacing w:val="-2"/>
        </w:rPr>
        <w:t>指恶性细胞不受控制的进行性增长和扩散、浸润和破坏周围正常组织，</w:t>
      </w:r>
      <w:r>
        <w:rPr>
          <w:spacing w:val="-137"/>
        </w:rPr>
        <w:t> </w:t>
      </w:r>
      <w:r>
        <w:rPr/>
        <w:t>可以经血管、淋巴管和体腔扩散转移到身体其他部位，病灶经组织病理学检查（涵盖骨髓病理学检查）结果明确诊断，临床诊断属于世界卫生组织</w:t>
      </w:r>
    </w:p>
    <w:p>
      <w:pPr>
        <w:pStyle w:val="BodyText"/>
        <w:spacing w:line="364" w:lineRule="auto"/>
        <w:ind w:left="218" w:right="392"/>
        <w:jc w:val="both"/>
      </w:pPr>
      <w:r>
        <w:rPr>
          <w:w w:val="100"/>
        </w:rPr>
        <w:t>（</w:t>
      </w:r>
      <w:r>
        <w:rPr>
          <w:spacing w:val="-2"/>
          <w:w w:val="100"/>
        </w:rPr>
        <w:t>W</w:t>
      </w:r>
      <w:r>
        <w:rPr>
          <w:w w:val="100"/>
        </w:rPr>
        <w:t>H</w:t>
      </w:r>
      <w:r>
        <w:rPr>
          <w:spacing w:val="-1"/>
          <w:w w:val="100"/>
        </w:rPr>
        <w:t>O</w:t>
      </w:r>
      <w:r>
        <w:rPr>
          <w:w w:val="100"/>
        </w:rPr>
        <w:t>，</w:t>
      </w:r>
      <w:r>
        <w:rPr>
          <w:spacing w:val="-2"/>
          <w:w w:val="100"/>
        </w:rPr>
        <w:t>Wo</w:t>
      </w:r>
      <w:r>
        <w:rPr>
          <w:w w:val="100"/>
        </w:rPr>
        <w:t>r</w:t>
      </w:r>
      <w:r>
        <w:rPr>
          <w:spacing w:val="-2"/>
          <w:w w:val="100"/>
        </w:rPr>
        <w:t>l</w:t>
      </w:r>
      <w:r>
        <w:rPr>
          <w:w w:val="100"/>
        </w:rPr>
        <w:t>d</w:t>
      </w:r>
      <w:r>
        <w:rPr>
          <w:spacing w:val="-17"/>
        </w:rPr>
        <w:t> </w:t>
      </w:r>
      <w:r>
        <w:rPr>
          <w:w w:val="100"/>
        </w:rPr>
        <w:t>H</w:t>
      </w:r>
      <w:r>
        <w:rPr>
          <w:spacing w:val="-2"/>
          <w:w w:val="100"/>
        </w:rPr>
        <w:t>eal</w:t>
      </w:r>
      <w:r>
        <w:rPr>
          <w:w w:val="100"/>
        </w:rPr>
        <w:t>th</w:t>
      </w:r>
      <w:r>
        <w:rPr>
          <w:spacing w:val="-16"/>
        </w:rPr>
        <w:t> </w:t>
      </w:r>
      <w:r>
        <w:rPr>
          <w:spacing w:val="-2"/>
          <w:w w:val="100"/>
        </w:rPr>
        <w:t>O</w:t>
      </w:r>
      <w:r>
        <w:rPr>
          <w:w w:val="100"/>
        </w:rPr>
        <w:t>r</w:t>
      </w:r>
      <w:r>
        <w:rPr>
          <w:spacing w:val="-2"/>
          <w:w w:val="100"/>
        </w:rPr>
        <w:t>ga</w:t>
      </w:r>
      <w:r>
        <w:rPr>
          <w:w w:val="100"/>
        </w:rPr>
        <w:t>n</w:t>
      </w:r>
      <w:r>
        <w:rPr>
          <w:spacing w:val="-2"/>
          <w:w w:val="100"/>
        </w:rPr>
        <w:t>iz</w:t>
      </w:r>
      <w:r>
        <w:rPr>
          <w:w w:val="100"/>
        </w:rPr>
        <w:t>a</w:t>
      </w:r>
      <w:r>
        <w:rPr>
          <w:spacing w:val="-2"/>
          <w:w w:val="100"/>
        </w:rPr>
        <w:t>ti</w:t>
      </w:r>
      <w:r>
        <w:rPr>
          <w:w w:val="100"/>
        </w:rPr>
        <w:t>o</w:t>
      </w:r>
      <w:r>
        <w:rPr>
          <w:spacing w:val="-1"/>
          <w:w w:val="100"/>
        </w:rPr>
        <w:t>n</w:t>
      </w:r>
      <w:r>
        <w:rPr>
          <w:spacing w:val="-142"/>
          <w:w w:val="100"/>
        </w:rPr>
        <w:t>）</w:t>
      </w:r>
      <w:r>
        <w:rPr>
          <w:spacing w:val="-3"/>
          <w:w w:val="100"/>
        </w:rPr>
        <w:t>《疾病和有关健康问题的国际统计分</w:t>
      </w:r>
      <w:r>
        <w:rPr>
          <w:spacing w:val="-1"/>
        </w:rPr>
        <w:t>类》第十次修订版（ICD－10）的恶性肿瘤类别及《国际疾病分类肿瘤学专辑》第三版</w:t>
      </w:r>
      <w:r>
        <w:rPr/>
        <w:t>（ICD-O-3）</w:t>
      </w:r>
      <w:r>
        <w:rPr>
          <w:spacing w:val="-4"/>
        </w:rPr>
        <w:t>的肿瘤形态学编码属于 </w:t>
      </w:r>
      <w:r>
        <w:rPr/>
        <w:t>3、6、9（恶性肿瘤）范畴的疾病。</w:t>
      </w:r>
    </w:p>
    <w:p>
      <w:pPr>
        <w:spacing w:before="151"/>
        <w:ind w:left="780" w:right="0" w:firstLine="0"/>
        <w:jc w:val="left"/>
        <w:rPr>
          <w:b/>
          <w:sz w:val="28"/>
        </w:rPr>
      </w:pPr>
      <w:r>
        <w:rPr>
          <w:b/>
          <w:spacing w:val="-9"/>
          <w:w w:val="99"/>
          <w:sz w:val="28"/>
        </w:rPr>
        <w:t>下列疾病不属于“恶性肿瘤——重度”，不在保障范围内：</w:t>
      </w:r>
    </w:p>
    <w:p>
      <w:pPr>
        <w:pStyle w:val="BodyText"/>
        <w:spacing w:before="3"/>
        <w:rPr>
          <w:b/>
          <w:sz w:val="37"/>
        </w:rPr>
      </w:pPr>
    </w:p>
    <w:p>
      <w:pPr>
        <w:pStyle w:val="ListParagraph"/>
        <w:numPr>
          <w:ilvl w:val="0"/>
          <w:numId w:val="1"/>
        </w:numPr>
        <w:tabs>
          <w:tab w:pos="1346" w:val="left" w:leader="none"/>
        </w:tabs>
        <w:spacing w:line="417" w:lineRule="auto" w:before="0" w:after="0"/>
        <w:ind w:left="218" w:right="392" w:firstLine="422"/>
        <w:jc w:val="left"/>
        <w:rPr>
          <w:b/>
          <w:sz w:val="28"/>
        </w:rPr>
      </w:pPr>
      <w:r>
        <w:rPr>
          <w:b/>
          <w:sz w:val="28"/>
        </w:rPr>
        <w:t>ICD-O-3肿瘤形态学编码属于</w:t>
      </w:r>
      <w:r>
        <w:rPr>
          <w:b/>
          <w:spacing w:val="-54"/>
          <w:sz w:val="28"/>
        </w:rPr>
        <w:t>0（</w:t>
      </w:r>
      <w:r>
        <w:rPr>
          <w:b/>
          <w:sz w:val="28"/>
        </w:rPr>
        <w:t>良性肿瘤</w:t>
      </w:r>
      <w:r>
        <w:rPr>
          <w:b/>
          <w:spacing w:val="-106"/>
          <w:sz w:val="28"/>
        </w:rPr>
        <w:t>）、</w:t>
      </w:r>
      <w:r>
        <w:rPr>
          <w:b/>
          <w:spacing w:val="-53"/>
          <w:sz w:val="28"/>
        </w:rPr>
        <w:t>1（</w:t>
      </w:r>
      <w:r>
        <w:rPr>
          <w:b/>
          <w:sz w:val="28"/>
        </w:rPr>
        <w:t>动态未定性肿瘤</w:t>
      </w:r>
      <w:r>
        <w:rPr>
          <w:b/>
          <w:spacing w:val="-106"/>
          <w:sz w:val="28"/>
        </w:rPr>
        <w:t>）</w:t>
      </w:r>
      <w:r>
        <w:rPr>
          <w:b/>
          <w:spacing w:val="-105"/>
          <w:sz w:val="28"/>
        </w:rPr>
        <w:t> </w:t>
      </w:r>
      <w:r>
        <w:rPr>
          <w:b/>
          <w:spacing w:val="-1"/>
          <w:sz w:val="28"/>
        </w:rPr>
        <w:t>、 </w:t>
      </w:r>
      <w:r>
        <w:rPr>
          <w:b/>
          <w:sz w:val="28"/>
        </w:rPr>
        <w:t>2（原位癌和非侵袭性癌）范畴的疾病，如：</w:t>
      </w:r>
    </w:p>
    <w:p>
      <w:pPr>
        <w:pStyle w:val="ListParagraph"/>
        <w:numPr>
          <w:ilvl w:val="0"/>
          <w:numId w:val="2"/>
        </w:numPr>
        <w:tabs>
          <w:tab w:pos="925" w:val="left" w:leader="none"/>
        </w:tabs>
        <w:spacing w:line="417" w:lineRule="auto" w:before="0" w:after="0"/>
        <w:ind w:left="218" w:right="394" w:firstLine="422"/>
        <w:jc w:val="left"/>
        <w:rPr>
          <w:b/>
          <w:sz w:val="28"/>
        </w:rPr>
      </w:pPr>
      <w:r>
        <w:rPr>
          <w:b/>
          <w:spacing w:val="-3"/>
          <w:sz w:val="28"/>
        </w:rPr>
        <w:t>原位癌，癌前病变，非浸润性癌，非侵袭性癌，肿瘤细胞未侵犯基底</w:t>
      </w:r>
      <w:r>
        <w:rPr>
          <w:b/>
          <w:sz w:val="28"/>
        </w:rPr>
        <w:t>层，上皮内瘤变，细胞不典型性增生等；</w:t>
      </w:r>
    </w:p>
    <w:p>
      <w:pPr>
        <w:spacing w:after="0" w:line="417" w:lineRule="auto"/>
        <w:jc w:val="left"/>
        <w:rPr>
          <w:sz w:val="28"/>
        </w:rPr>
        <w:sectPr>
          <w:pgSz w:w="11910" w:h="16840"/>
          <w:pgMar w:header="0" w:footer="1195" w:top="1300" w:bottom="1380" w:left="1200" w:right="1020"/>
        </w:sectPr>
      </w:pPr>
    </w:p>
    <w:p>
      <w:pPr>
        <w:pStyle w:val="ListParagraph"/>
        <w:numPr>
          <w:ilvl w:val="0"/>
          <w:numId w:val="2"/>
        </w:numPr>
        <w:tabs>
          <w:tab w:pos="925" w:val="left" w:leader="none"/>
        </w:tabs>
        <w:spacing w:line="417" w:lineRule="auto" w:before="35" w:after="0"/>
        <w:ind w:left="218" w:right="394" w:firstLine="422"/>
        <w:jc w:val="left"/>
        <w:rPr>
          <w:b/>
          <w:sz w:val="28"/>
        </w:rPr>
      </w:pPr>
      <w:r>
        <w:rPr>
          <w:b/>
          <w:spacing w:val="-3"/>
          <w:sz w:val="28"/>
        </w:rPr>
        <w:t>交界性肿瘤，交界恶性肿瘤，肿瘤低度恶性潜能，潜在低度恶性肿瘤</w:t>
      </w:r>
      <w:r>
        <w:rPr>
          <w:b/>
          <w:sz w:val="28"/>
        </w:rPr>
        <w:t>等；</w:t>
      </w:r>
    </w:p>
    <w:p>
      <w:pPr>
        <w:pStyle w:val="ListParagraph"/>
        <w:numPr>
          <w:ilvl w:val="0"/>
          <w:numId w:val="1"/>
        </w:numPr>
        <w:tabs>
          <w:tab w:pos="1347" w:val="left" w:leader="none"/>
        </w:tabs>
        <w:spacing w:line="240" w:lineRule="auto" w:before="0" w:after="0"/>
        <w:ind w:left="1346" w:right="0" w:hanging="706"/>
        <w:jc w:val="left"/>
        <w:rPr>
          <w:b/>
          <w:sz w:val="28"/>
        </w:rPr>
      </w:pPr>
      <w:r>
        <w:rPr>
          <w:b/>
          <w:sz w:val="28"/>
        </w:rPr>
        <w:t>TNM分期为Ⅰ期或更轻分期的甲状腺癌；</w:t>
      </w:r>
    </w:p>
    <w:p>
      <w:pPr>
        <w:pStyle w:val="BodyText"/>
        <w:spacing w:before="8"/>
        <w:rPr>
          <w:b/>
          <w:sz w:val="20"/>
        </w:rPr>
      </w:pPr>
    </w:p>
    <w:p>
      <w:pPr>
        <w:pStyle w:val="ListParagraph"/>
        <w:numPr>
          <w:ilvl w:val="0"/>
          <w:numId w:val="1"/>
        </w:numPr>
        <w:tabs>
          <w:tab w:pos="1347" w:val="left" w:leader="none"/>
        </w:tabs>
        <w:spacing w:line="240" w:lineRule="auto" w:before="0" w:after="0"/>
        <w:ind w:left="1346" w:right="0" w:hanging="706"/>
        <w:jc w:val="left"/>
        <w:rPr>
          <w:b/>
          <w:sz w:val="28"/>
        </w:rPr>
      </w:pPr>
      <w:r>
        <w:rPr>
          <w:b/>
          <w:position w:val="2"/>
          <w:sz w:val="28"/>
        </w:rPr>
        <w:t>TNM分期为T</w:t>
      </w:r>
      <w:r>
        <w:rPr>
          <w:b/>
          <w:sz w:val="14"/>
        </w:rPr>
        <w:t>1</w:t>
      </w:r>
      <w:r>
        <w:rPr>
          <w:b/>
          <w:position w:val="2"/>
          <w:sz w:val="28"/>
        </w:rPr>
        <w:t>N</w:t>
      </w:r>
      <w:r>
        <w:rPr>
          <w:b/>
          <w:sz w:val="14"/>
        </w:rPr>
        <w:t>0</w:t>
      </w:r>
      <w:r>
        <w:rPr>
          <w:b/>
          <w:position w:val="2"/>
          <w:sz w:val="28"/>
        </w:rPr>
        <w:t>M</w:t>
      </w:r>
      <w:r>
        <w:rPr>
          <w:b/>
          <w:sz w:val="14"/>
        </w:rPr>
        <w:t>0</w:t>
      </w:r>
      <w:r>
        <w:rPr>
          <w:b/>
          <w:position w:val="2"/>
          <w:sz w:val="28"/>
        </w:rPr>
        <w:t>期或更轻分期的前列腺癌；</w:t>
      </w:r>
    </w:p>
    <w:p>
      <w:pPr>
        <w:pStyle w:val="BodyText"/>
        <w:spacing w:before="10"/>
        <w:rPr>
          <w:b/>
          <w:sz w:val="20"/>
        </w:rPr>
      </w:pPr>
    </w:p>
    <w:p>
      <w:pPr>
        <w:pStyle w:val="ListParagraph"/>
        <w:numPr>
          <w:ilvl w:val="0"/>
          <w:numId w:val="1"/>
        </w:numPr>
        <w:tabs>
          <w:tab w:pos="1346" w:val="left" w:leader="none"/>
        </w:tabs>
        <w:spacing w:line="240" w:lineRule="auto" w:before="0" w:after="0"/>
        <w:ind w:left="1345" w:right="0" w:hanging="705"/>
        <w:jc w:val="left"/>
        <w:rPr>
          <w:b/>
          <w:sz w:val="28"/>
        </w:rPr>
      </w:pPr>
      <w:r>
        <w:rPr>
          <w:b/>
          <w:w w:val="95"/>
          <w:sz w:val="28"/>
        </w:rPr>
        <w:t>黑色素瘤以外的未发生淋巴结和远处转移的皮肤恶性肿瘤；</w:t>
      </w:r>
    </w:p>
    <w:p>
      <w:pPr>
        <w:pStyle w:val="BodyText"/>
        <w:spacing w:before="9"/>
        <w:rPr>
          <w:b/>
          <w:sz w:val="20"/>
        </w:rPr>
      </w:pPr>
    </w:p>
    <w:p>
      <w:pPr>
        <w:pStyle w:val="ListParagraph"/>
        <w:numPr>
          <w:ilvl w:val="0"/>
          <w:numId w:val="1"/>
        </w:numPr>
        <w:tabs>
          <w:tab w:pos="1346" w:val="left" w:leader="none"/>
        </w:tabs>
        <w:spacing w:line="240" w:lineRule="auto" w:before="0" w:after="0"/>
        <w:ind w:left="1345" w:right="0" w:hanging="705"/>
        <w:jc w:val="left"/>
        <w:rPr>
          <w:b/>
          <w:sz w:val="28"/>
        </w:rPr>
      </w:pPr>
      <w:r>
        <w:rPr>
          <w:b/>
          <w:w w:val="95"/>
          <w:sz w:val="28"/>
        </w:rPr>
        <w:t>相当于Binet分期方案A期程度的慢性淋巴细胞白血病；</w:t>
      </w:r>
    </w:p>
    <w:p>
      <w:pPr>
        <w:pStyle w:val="BodyText"/>
        <w:spacing w:before="9"/>
        <w:rPr>
          <w:b/>
          <w:sz w:val="20"/>
        </w:rPr>
      </w:pPr>
    </w:p>
    <w:p>
      <w:pPr>
        <w:pStyle w:val="ListParagraph"/>
        <w:numPr>
          <w:ilvl w:val="0"/>
          <w:numId w:val="1"/>
        </w:numPr>
        <w:tabs>
          <w:tab w:pos="1346" w:val="left" w:leader="none"/>
        </w:tabs>
        <w:spacing w:line="240" w:lineRule="auto" w:before="0" w:after="0"/>
        <w:ind w:left="1345" w:right="0" w:hanging="705"/>
        <w:jc w:val="left"/>
        <w:rPr>
          <w:b/>
          <w:sz w:val="28"/>
        </w:rPr>
      </w:pPr>
      <w:r>
        <w:rPr>
          <w:b/>
          <w:sz w:val="28"/>
        </w:rPr>
        <w:t>相当于Ann</w:t>
      </w:r>
      <w:r>
        <w:rPr>
          <w:b/>
          <w:spacing w:val="-8"/>
          <w:sz w:val="28"/>
        </w:rPr>
        <w:t> </w:t>
      </w:r>
      <w:r>
        <w:rPr>
          <w:b/>
          <w:sz w:val="28"/>
        </w:rPr>
        <w:t>Arbor分期方案I期程度的何杰金氏病；</w:t>
      </w:r>
    </w:p>
    <w:p>
      <w:pPr>
        <w:pStyle w:val="BodyText"/>
        <w:spacing w:before="9"/>
        <w:rPr>
          <w:b/>
          <w:sz w:val="20"/>
        </w:rPr>
      </w:pPr>
    </w:p>
    <w:p>
      <w:pPr>
        <w:pStyle w:val="ListParagraph"/>
        <w:numPr>
          <w:ilvl w:val="0"/>
          <w:numId w:val="1"/>
        </w:numPr>
        <w:tabs>
          <w:tab w:pos="1346" w:val="left" w:leader="none"/>
        </w:tabs>
        <w:spacing w:line="417" w:lineRule="auto" w:before="0" w:after="0"/>
        <w:ind w:left="218" w:right="600" w:firstLine="422"/>
        <w:jc w:val="left"/>
        <w:rPr>
          <w:b/>
          <w:sz w:val="28"/>
        </w:rPr>
      </w:pPr>
      <w:r>
        <w:rPr>
          <w:b/>
          <w:sz w:val="28"/>
        </w:rPr>
        <w:t>未发生淋巴结和远处转移且WHO分级为G1级别（核分裂像&lt;10/50</w:t>
      </w:r>
      <w:r>
        <w:rPr>
          <w:b/>
          <w:spacing w:val="-139"/>
          <w:sz w:val="28"/>
        </w:rPr>
        <w:t> </w:t>
      </w:r>
      <w:r>
        <w:rPr>
          <w:b/>
          <w:sz w:val="28"/>
        </w:rPr>
        <w:t>HPF和ki-67≤2%）或更轻分级的神经内分泌肿瘤。</w:t>
      </w:r>
    </w:p>
    <w:p>
      <w:pPr>
        <w:pStyle w:val="BodyText"/>
        <w:spacing w:line="358" w:lineRule="exact"/>
        <w:ind w:left="638"/>
      </w:pPr>
      <w:r>
        <w:rPr/>
        <w:t>（二）较重急性心肌梗塞</w:t>
      </w:r>
    </w:p>
    <w:p>
      <w:pPr>
        <w:pStyle w:val="BodyText"/>
        <w:spacing w:before="9"/>
        <w:rPr>
          <w:sz w:val="20"/>
        </w:rPr>
      </w:pPr>
    </w:p>
    <w:p>
      <w:pPr>
        <w:pStyle w:val="BodyText"/>
        <w:spacing w:line="417" w:lineRule="auto"/>
        <w:ind w:left="218" w:right="254" w:firstLine="559"/>
      </w:pPr>
      <w:r>
        <w:rPr/>
        <w:t>急性心肌梗死指由于冠状动脉阻塞或梗阻引起部分心肌严重的持久性</w:t>
      </w:r>
      <w:r>
        <w:rPr>
          <w:spacing w:val="-1"/>
        </w:rPr>
        <w:t>缺血造成急性心肌坏死。急性心肌梗死的诊断必须依据国际国内诊断标准，</w:t>
      </w:r>
      <w:r>
        <w:rPr>
          <w:spacing w:val="-137"/>
        </w:rPr>
        <w:t> </w:t>
      </w:r>
      <w:r>
        <w:rPr/>
        <w:t>符合（1）检测到肌酸激酶同工酶（CK-MB）或肌钙蛋白（cTn）升高和/或降低的动态变化，至少一次达到或超过心肌梗死的临床诊断标准；（2）同时存在下列之一的证据，包括：缺血性胸痛症状、新发生的缺血性心电图改变、新生成的病理性Q波、影像学证据显示有新出现的心肌活性丧失或新出现局部室壁运动异常、冠脉造影证实存在冠状动脉血栓。</w:t>
      </w:r>
    </w:p>
    <w:p>
      <w:pPr>
        <w:pStyle w:val="BodyText"/>
        <w:spacing w:line="417" w:lineRule="auto"/>
        <w:ind w:left="218" w:right="507" w:firstLine="559"/>
      </w:pPr>
      <w:r>
        <w:rPr>
          <w:spacing w:val="-1"/>
        </w:rPr>
        <w:t>较重急性心肌梗死指依照上述标准被明确诊断为急性心肌梗死，并且</w:t>
      </w:r>
      <w:r>
        <w:rPr/>
        <w:t>必须同时满足下列至少一项条件：</w:t>
      </w:r>
    </w:p>
    <w:p>
      <w:pPr>
        <w:pStyle w:val="ListParagraph"/>
        <w:numPr>
          <w:ilvl w:val="0"/>
          <w:numId w:val="3"/>
        </w:numPr>
        <w:tabs>
          <w:tab w:pos="1341" w:val="left" w:leader="none"/>
        </w:tabs>
        <w:spacing w:line="417" w:lineRule="auto" w:before="0" w:after="0"/>
        <w:ind w:left="218" w:right="393" w:firstLine="420"/>
        <w:jc w:val="left"/>
        <w:rPr>
          <w:sz w:val="28"/>
        </w:rPr>
      </w:pPr>
      <w:r>
        <w:rPr>
          <w:spacing w:val="-1"/>
          <w:sz w:val="28"/>
        </w:rPr>
        <w:t>心肌损伤标志物肌钙蛋白（cTn）升高，至少一次检测结果达到该</w:t>
      </w:r>
      <w:r>
        <w:rPr>
          <w:sz w:val="28"/>
        </w:rPr>
        <w:t>检验正常参考值上限的15倍（含）以上；</w:t>
      </w:r>
    </w:p>
    <w:p>
      <w:pPr>
        <w:pStyle w:val="ListParagraph"/>
        <w:numPr>
          <w:ilvl w:val="0"/>
          <w:numId w:val="3"/>
        </w:numPr>
        <w:tabs>
          <w:tab w:pos="1341" w:val="left" w:leader="none"/>
        </w:tabs>
        <w:spacing w:line="358" w:lineRule="exact" w:before="0" w:after="0"/>
        <w:ind w:left="1340" w:right="0" w:hanging="703"/>
        <w:jc w:val="left"/>
        <w:rPr>
          <w:sz w:val="28"/>
        </w:rPr>
      </w:pPr>
      <w:r>
        <w:rPr>
          <w:spacing w:val="-1"/>
          <w:sz w:val="28"/>
        </w:rPr>
        <w:t>肌酸激酶同工酶（CK-MB）升高，至少一次检测结果达到该检验正</w:t>
      </w:r>
    </w:p>
    <w:p>
      <w:pPr>
        <w:spacing w:after="0" w:line="358" w:lineRule="exact"/>
        <w:jc w:val="left"/>
        <w:rPr>
          <w:sz w:val="28"/>
        </w:rPr>
        <w:sectPr>
          <w:pgSz w:w="11910" w:h="16840"/>
          <w:pgMar w:header="0" w:footer="1195" w:top="1440" w:bottom="1380" w:left="1200" w:right="1020"/>
        </w:sectPr>
      </w:pPr>
    </w:p>
    <w:p>
      <w:pPr>
        <w:pStyle w:val="BodyText"/>
        <w:spacing w:before="35"/>
        <w:ind w:left="218"/>
      </w:pPr>
      <w:r>
        <w:rPr/>
        <w:t>常参考值上限的2倍（含）以上；</w:t>
      </w:r>
    </w:p>
    <w:p>
      <w:pPr>
        <w:pStyle w:val="BodyText"/>
        <w:spacing w:before="9"/>
        <w:rPr>
          <w:sz w:val="20"/>
        </w:rPr>
      </w:pPr>
    </w:p>
    <w:p>
      <w:pPr>
        <w:pStyle w:val="ListParagraph"/>
        <w:numPr>
          <w:ilvl w:val="0"/>
          <w:numId w:val="3"/>
        </w:numPr>
        <w:tabs>
          <w:tab w:pos="1341" w:val="left" w:leader="none"/>
        </w:tabs>
        <w:spacing w:line="240" w:lineRule="auto" w:before="0" w:after="0"/>
        <w:ind w:left="1340" w:right="0" w:hanging="703"/>
        <w:jc w:val="left"/>
        <w:rPr>
          <w:sz w:val="28"/>
        </w:rPr>
      </w:pPr>
      <w:r>
        <w:rPr>
          <w:spacing w:val="-1"/>
          <w:sz w:val="28"/>
        </w:rPr>
        <w:t>出现左心室收缩功能下降，在确诊</w:t>
      </w:r>
      <w:r>
        <w:rPr>
          <w:sz w:val="28"/>
        </w:rPr>
        <w:t>6周以后，检测左室射血分数</w:t>
      </w:r>
    </w:p>
    <w:p>
      <w:pPr>
        <w:pStyle w:val="BodyText"/>
        <w:spacing w:before="9"/>
        <w:rPr>
          <w:sz w:val="20"/>
        </w:rPr>
      </w:pPr>
    </w:p>
    <w:p>
      <w:pPr>
        <w:pStyle w:val="BodyText"/>
        <w:ind w:left="218"/>
      </w:pPr>
      <w:r>
        <w:rPr/>
        <w:t>（LVEF）低于50%（不含）；</w:t>
      </w:r>
    </w:p>
    <w:p>
      <w:pPr>
        <w:pStyle w:val="BodyText"/>
        <w:spacing w:before="9"/>
        <w:rPr>
          <w:sz w:val="20"/>
        </w:rPr>
      </w:pPr>
    </w:p>
    <w:p>
      <w:pPr>
        <w:pStyle w:val="ListParagraph"/>
        <w:numPr>
          <w:ilvl w:val="0"/>
          <w:numId w:val="3"/>
        </w:numPr>
        <w:tabs>
          <w:tab w:pos="1341" w:val="left" w:leader="none"/>
        </w:tabs>
        <w:spacing w:line="417" w:lineRule="auto" w:before="0" w:after="0"/>
        <w:ind w:left="218" w:right="116" w:firstLine="420"/>
        <w:jc w:val="left"/>
        <w:rPr>
          <w:sz w:val="28"/>
        </w:rPr>
      </w:pPr>
      <w:r>
        <w:rPr>
          <w:spacing w:val="-4"/>
          <w:sz w:val="28"/>
        </w:rPr>
        <w:t>影像学检查证实存在新发的乳头肌功能失调或断裂引起的中度</w:t>
      </w:r>
      <w:r>
        <w:rPr>
          <w:sz w:val="28"/>
        </w:rPr>
        <w:t>（含）以上的二尖瓣反流；</w:t>
      </w:r>
    </w:p>
    <w:p>
      <w:pPr>
        <w:pStyle w:val="ListParagraph"/>
        <w:numPr>
          <w:ilvl w:val="0"/>
          <w:numId w:val="3"/>
        </w:numPr>
        <w:tabs>
          <w:tab w:pos="1341" w:val="left" w:leader="none"/>
        </w:tabs>
        <w:spacing w:line="358" w:lineRule="exact" w:before="0" w:after="0"/>
        <w:ind w:left="1340" w:right="0" w:hanging="703"/>
        <w:jc w:val="left"/>
        <w:rPr>
          <w:sz w:val="28"/>
        </w:rPr>
      </w:pPr>
      <w:r>
        <w:rPr>
          <w:spacing w:val="-1"/>
          <w:sz w:val="28"/>
        </w:rPr>
        <w:t>影像学检查证实存在新出现的室壁瘤；</w:t>
      </w:r>
    </w:p>
    <w:p>
      <w:pPr>
        <w:pStyle w:val="BodyText"/>
        <w:spacing w:before="9"/>
        <w:rPr>
          <w:sz w:val="20"/>
        </w:rPr>
      </w:pPr>
    </w:p>
    <w:p>
      <w:pPr>
        <w:pStyle w:val="ListParagraph"/>
        <w:numPr>
          <w:ilvl w:val="0"/>
          <w:numId w:val="3"/>
        </w:numPr>
        <w:tabs>
          <w:tab w:pos="1341" w:val="left" w:leader="none"/>
        </w:tabs>
        <w:spacing w:line="240" w:lineRule="auto" w:before="0" w:after="0"/>
        <w:ind w:left="1340" w:right="0" w:hanging="703"/>
        <w:jc w:val="left"/>
        <w:rPr>
          <w:sz w:val="28"/>
        </w:rPr>
      </w:pPr>
      <w:r>
        <w:rPr>
          <w:spacing w:val="-1"/>
          <w:sz w:val="28"/>
        </w:rPr>
        <w:t>出现室性心动过速、心室颤动或心源性休克。</w:t>
      </w:r>
    </w:p>
    <w:p>
      <w:pPr>
        <w:pStyle w:val="BodyText"/>
        <w:spacing w:before="10"/>
        <w:rPr>
          <w:sz w:val="20"/>
        </w:rPr>
      </w:pPr>
    </w:p>
    <w:p>
      <w:pPr>
        <w:spacing w:line="417" w:lineRule="auto" w:before="0"/>
        <w:ind w:left="218" w:right="395" w:firstLine="561"/>
        <w:jc w:val="left"/>
        <w:rPr>
          <w:b/>
          <w:sz w:val="28"/>
        </w:rPr>
      </w:pPr>
      <w:r>
        <w:rPr>
          <w:b/>
          <w:spacing w:val="-3"/>
          <w:sz w:val="28"/>
        </w:rPr>
        <w:t>其他非冠状动脉阻塞性疾病所引起的肌钙蛋白</w:t>
      </w:r>
      <w:r>
        <w:rPr>
          <w:b/>
          <w:spacing w:val="-2"/>
          <w:sz w:val="28"/>
        </w:rPr>
        <w:t>（cTn）升高不在保障范</w:t>
      </w:r>
      <w:r>
        <w:rPr>
          <w:b/>
          <w:sz w:val="28"/>
        </w:rPr>
        <w:t>围内。</w:t>
      </w:r>
    </w:p>
    <w:p>
      <w:pPr>
        <w:pStyle w:val="BodyText"/>
        <w:spacing w:line="358" w:lineRule="exact"/>
        <w:ind w:left="778"/>
      </w:pPr>
      <w:r>
        <w:rPr/>
        <w:t>（三）严重脑中风后遗症</w:t>
      </w:r>
    </w:p>
    <w:p>
      <w:pPr>
        <w:pStyle w:val="BodyText"/>
        <w:spacing w:before="9"/>
        <w:rPr>
          <w:sz w:val="20"/>
        </w:rPr>
      </w:pPr>
    </w:p>
    <w:p>
      <w:pPr>
        <w:pStyle w:val="BodyText"/>
        <w:spacing w:line="417" w:lineRule="auto"/>
        <w:ind w:left="218" w:right="392" w:firstLine="559"/>
      </w:pPr>
      <w:r>
        <w:rPr/>
        <w:t>指因脑血管的突发病变引起脑血管出血、栓塞或梗塞，须由头颅断层</w:t>
      </w:r>
      <w:r>
        <w:rPr>
          <w:w w:val="100"/>
        </w:rPr>
        <w:t>扫描</w:t>
      </w:r>
      <w:r>
        <w:rPr>
          <w:spacing w:val="-1"/>
          <w:w w:val="100"/>
        </w:rPr>
        <w:t>（</w:t>
      </w:r>
      <w:r>
        <w:rPr>
          <w:spacing w:val="-2"/>
          <w:w w:val="100"/>
        </w:rPr>
        <w:t>CT</w:t>
      </w:r>
      <w:r>
        <w:rPr>
          <w:spacing w:val="-140"/>
          <w:w w:val="100"/>
        </w:rPr>
        <w:t>）</w:t>
      </w:r>
      <w:r>
        <w:rPr>
          <w:spacing w:val="-3"/>
          <w:w w:val="100"/>
        </w:rPr>
        <w:t>、核磁共振检查</w:t>
      </w:r>
      <w:r>
        <w:rPr>
          <w:w w:val="100"/>
        </w:rPr>
        <w:t>（</w:t>
      </w:r>
      <w:r>
        <w:rPr>
          <w:spacing w:val="-2"/>
          <w:w w:val="100"/>
        </w:rPr>
        <w:t>MRI</w:t>
      </w:r>
      <w:r>
        <w:rPr>
          <w:w w:val="100"/>
        </w:rPr>
        <w:t>）</w:t>
      </w:r>
      <w:r>
        <w:rPr>
          <w:spacing w:val="-3"/>
          <w:w w:val="100"/>
        </w:rPr>
        <w:t>等影像学检查证实，并导致神经系统永</w:t>
      </w:r>
      <w:r>
        <w:rPr>
          <w:spacing w:val="-1"/>
        </w:rPr>
        <w:t>久性的功能障碍。神经系统永久性的功能障碍，指疾病确诊</w:t>
      </w:r>
      <w:r>
        <w:rPr/>
        <w:t>180天后，仍遗留下列至少一种障碍：</w:t>
      </w:r>
    </w:p>
    <w:p>
      <w:pPr>
        <w:pStyle w:val="ListParagraph"/>
        <w:numPr>
          <w:ilvl w:val="1"/>
          <w:numId w:val="3"/>
        </w:numPr>
        <w:tabs>
          <w:tab w:pos="1199" w:val="left" w:leader="none"/>
        </w:tabs>
        <w:spacing w:line="358" w:lineRule="exact" w:before="0" w:after="0"/>
        <w:ind w:left="1199" w:right="0" w:hanging="421"/>
        <w:jc w:val="left"/>
        <w:rPr>
          <w:sz w:val="28"/>
        </w:rPr>
      </w:pPr>
      <w:r>
        <w:rPr>
          <w:sz w:val="28"/>
        </w:rPr>
        <w:t>一肢（含）以上肢体肌力2级（含）以下；</w:t>
      </w:r>
    </w:p>
    <w:p>
      <w:pPr>
        <w:pStyle w:val="BodyText"/>
        <w:spacing w:before="9"/>
        <w:rPr>
          <w:sz w:val="20"/>
        </w:rPr>
      </w:pPr>
    </w:p>
    <w:p>
      <w:pPr>
        <w:pStyle w:val="ListParagraph"/>
        <w:numPr>
          <w:ilvl w:val="1"/>
          <w:numId w:val="3"/>
        </w:numPr>
        <w:tabs>
          <w:tab w:pos="1199" w:val="left" w:leader="none"/>
        </w:tabs>
        <w:spacing w:line="240" w:lineRule="auto" w:before="0" w:after="0"/>
        <w:ind w:left="1199" w:right="0" w:hanging="421"/>
        <w:jc w:val="left"/>
        <w:rPr>
          <w:sz w:val="28"/>
        </w:rPr>
      </w:pPr>
      <w:r>
        <w:rPr>
          <w:spacing w:val="-1"/>
          <w:sz w:val="28"/>
        </w:rPr>
        <w:t>语言能力完全丧失，或严重咀嚼吞咽功能障碍；</w:t>
      </w:r>
    </w:p>
    <w:p>
      <w:pPr>
        <w:pStyle w:val="BodyText"/>
        <w:spacing w:before="9"/>
        <w:rPr>
          <w:sz w:val="20"/>
        </w:rPr>
      </w:pPr>
    </w:p>
    <w:p>
      <w:pPr>
        <w:pStyle w:val="ListParagraph"/>
        <w:numPr>
          <w:ilvl w:val="1"/>
          <w:numId w:val="3"/>
        </w:numPr>
        <w:tabs>
          <w:tab w:pos="1199" w:val="left" w:leader="none"/>
        </w:tabs>
        <w:spacing w:line="417" w:lineRule="auto" w:before="0" w:after="0"/>
        <w:ind w:left="218" w:right="397" w:firstLine="559"/>
        <w:jc w:val="left"/>
        <w:rPr>
          <w:sz w:val="28"/>
        </w:rPr>
      </w:pPr>
      <w:r>
        <w:rPr>
          <w:spacing w:val="-1"/>
          <w:sz w:val="28"/>
        </w:rPr>
        <w:t>自主生活能力完全丧失，无法独立完成六项基本日常生活活动中的</w:t>
      </w:r>
      <w:r>
        <w:rPr>
          <w:sz w:val="28"/>
        </w:rPr>
        <w:t>三项或三项以上。</w:t>
      </w:r>
    </w:p>
    <w:p>
      <w:pPr>
        <w:pStyle w:val="BodyText"/>
        <w:spacing w:line="358" w:lineRule="exact"/>
        <w:ind w:left="778"/>
      </w:pPr>
      <w:r>
        <w:rPr/>
        <w:t>（四）重大器官移植术或造血干细胞移植术</w:t>
      </w:r>
    </w:p>
    <w:p>
      <w:pPr>
        <w:pStyle w:val="BodyText"/>
        <w:spacing w:before="9"/>
        <w:rPr>
          <w:sz w:val="20"/>
        </w:rPr>
      </w:pPr>
    </w:p>
    <w:p>
      <w:pPr>
        <w:pStyle w:val="BodyText"/>
        <w:spacing w:line="417" w:lineRule="auto" w:before="1"/>
        <w:ind w:left="218" w:right="507" w:firstLine="559"/>
      </w:pPr>
      <w:r>
        <w:rPr>
          <w:spacing w:val="-1"/>
        </w:rPr>
        <w:t>重大器官移植术，指因相应器官功能衰竭，已经实施了肾脏、肝脏、</w:t>
      </w:r>
      <w:r>
        <w:rPr/>
        <w:t>心脏、肺脏或小肠的异体移植手术。</w:t>
      </w:r>
    </w:p>
    <w:p>
      <w:pPr>
        <w:pStyle w:val="BodyText"/>
        <w:spacing w:line="358" w:lineRule="exact"/>
        <w:ind w:left="778"/>
      </w:pPr>
      <w:r>
        <w:rPr>
          <w:spacing w:val="-1"/>
        </w:rPr>
        <w:t>造血干细胞移植术，指因造血功能损害或造血系统恶性肿瘤，已经实</w:t>
      </w:r>
    </w:p>
    <w:p>
      <w:pPr>
        <w:spacing w:after="0" w:line="358" w:lineRule="exact"/>
        <w:sectPr>
          <w:pgSz w:w="11910" w:h="16840"/>
          <w:pgMar w:header="0" w:footer="1195" w:top="1440" w:bottom="1380" w:left="1200" w:right="1020"/>
        </w:sectPr>
      </w:pPr>
    </w:p>
    <w:p>
      <w:pPr>
        <w:pStyle w:val="BodyText"/>
        <w:spacing w:line="417" w:lineRule="auto" w:before="35"/>
        <w:ind w:left="218" w:right="507"/>
      </w:pPr>
      <w:r>
        <w:rPr>
          <w:spacing w:val="-1"/>
        </w:rPr>
        <w:t>施了造血干细胞</w:t>
      </w:r>
      <w:r>
        <w:rPr/>
        <w:t>（包括骨髓造血干细胞、外周血造血干细胞和脐血造血干细胞）的移植手术。</w:t>
      </w:r>
    </w:p>
    <w:p>
      <w:pPr>
        <w:pStyle w:val="BodyText"/>
        <w:ind w:left="778"/>
      </w:pPr>
      <w:r>
        <w:rPr/>
        <w:t>（五）冠状动脉搭桥术（或称冠状动脉旁路移植术）</w:t>
      </w:r>
    </w:p>
    <w:p>
      <w:pPr>
        <w:pStyle w:val="BodyText"/>
        <w:spacing w:before="9"/>
        <w:rPr>
          <w:sz w:val="20"/>
        </w:rPr>
      </w:pPr>
    </w:p>
    <w:p>
      <w:pPr>
        <w:pStyle w:val="BodyText"/>
        <w:spacing w:line="417" w:lineRule="auto"/>
        <w:ind w:left="218" w:right="505" w:firstLine="559"/>
      </w:pPr>
      <w:r>
        <w:rPr/>
        <w:t>指为治疗严重的冠心病，实际实施了切开心包进行的冠状动脉血管旁路移植的手术。</w:t>
      </w:r>
    </w:p>
    <w:p>
      <w:pPr>
        <w:spacing w:line="358" w:lineRule="exact" w:before="0"/>
        <w:ind w:left="780" w:right="0" w:firstLine="0"/>
        <w:jc w:val="left"/>
        <w:rPr>
          <w:b/>
          <w:sz w:val="28"/>
        </w:rPr>
      </w:pPr>
      <w:r>
        <w:rPr>
          <w:b/>
          <w:w w:val="95"/>
          <w:sz w:val="28"/>
        </w:rPr>
        <w:t>所有未切开心包的冠状动脉介入治疗不在保障范围内。</w:t>
      </w:r>
    </w:p>
    <w:p>
      <w:pPr>
        <w:pStyle w:val="BodyText"/>
        <w:spacing w:before="9"/>
        <w:rPr>
          <w:b/>
          <w:sz w:val="20"/>
        </w:rPr>
      </w:pPr>
    </w:p>
    <w:p>
      <w:pPr>
        <w:pStyle w:val="BodyText"/>
        <w:ind w:left="778"/>
      </w:pPr>
      <w:r>
        <w:rPr/>
        <w:t>（六）严重慢性肾衰竭</w:t>
      </w:r>
    </w:p>
    <w:p>
      <w:pPr>
        <w:pStyle w:val="BodyText"/>
        <w:spacing w:before="9"/>
        <w:rPr>
          <w:sz w:val="20"/>
        </w:rPr>
      </w:pPr>
    </w:p>
    <w:p>
      <w:pPr>
        <w:pStyle w:val="BodyText"/>
        <w:spacing w:line="417" w:lineRule="auto"/>
        <w:ind w:left="218" w:right="255" w:firstLine="559"/>
      </w:pPr>
      <w:r>
        <w:rPr/>
        <w:t>指双肾功能慢性不可逆性衰竭，依据肾脏病预后质量倡议（K/DOQI）</w:t>
      </w:r>
      <w:r>
        <w:rPr>
          <w:spacing w:val="1"/>
        </w:rPr>
        <w:t> </w:t>
      </w:r>
      <w:r>
        <w:rPr/>
        <w:t>制定的指南，分期达到慢性肾脏病5期，且经诊断后已经进行了至少90天的</w:t>
      </w:r>
      <w:r>
        <w:rPr>
          <w:spacing w:val="-1"/>
        </w:rPr>
        <w:t>规律性透析治疗。规律性透析是指每周进行血液透析或每天进行腹膜透析。</w:t>
      </w:r>
    </w:p>
    <w:p>
      <w:pPr>
        <w:pStyle w:val="BodyText"/>
        <w:spacing w:line="358" w:lineRule="exact"/>
        <w:ind w:left="638"/>
      </w:pPr>
      <w:r>
        <w:rPr/>
        <w:t>（七）多个肢体缺失</w:t>
      </w:r>
    </w:p>
    <w:p>
      <w:pPr>
        <w:pStyle w:val="BodyText"/>
        <w:spacing w:before="9"/>
        <w:rPr>
          <w:sz w:val="20"/>
        </w:rPr>
      </w:pPr>
    </w:p>
    <w:p>
      <w:pPr>
        <w:pStyle w:val="BodyText"/>
        <w:ind w:left="778"/>
      </w:pPr>
      <w:r>
        <w:rPr>
          <w:spacing w:val="-1"/>
        </w:rPr>
        <w:t>指因疾病或意外伤害导致两个或两个以上肢体自腕关节或踝关节近端</w:t>
      </w:r>
    </w:p>
    <w:p>
      <w:pPr>
        <w:pStyle w:val="BodyText"/>
        <w:spacing w:before="9"/>
        <w:rPr>
          <w:sz w:val="20"/>
        </w:rPr>
      </w:pPr>
    </w:p>
    <w:p>
      <w:pPr>
        <w:pStyle w:val="BodyText"/>
        <w:ind w:left="218"/>
      </w:pPr>
      <w:r>
        <w:rPr/>
        <w:t>（靠近躯干端）以上完全性断离。</w:t>
      </w:r>
    </w:p>
    <w:p>
      <w:pPr>
        <w:pStyle w:val="BodyText"/>
        <w:spacing w:before="10"/>
        <w:rPr>
          <w:sz w:val="20"/>
        </w:rPr>
      </w:pPr>
    </w:p>
    <w:p>
      <w:pPr>
        <w:pStyle w:val="BodyText"/>
        <w:ind w:left="778"/>
      </w:pPr>
      <w:r>
        <w:rPr/>
        <w:t>（八）急性重症肝炎或亚急性重症肝炎</w:t>
      </w:r>
    </w:p>
    <w:p>
      <w:pPr>
        <w:pStyle w:val="BodyText"/>
        <w:spacing w:before="9"/>
        <w:rPr>
          <w:sz w:val="20"/>
        </w:rPr>
      </w:pPr>
    </w:p>
    <w:p>
      <w:pPr>
        <w:pStyle w:val="BodyText"/>
        <w:spacing w:line="417" w:lineRule="auto"/>
        <w:ind w:left="218" w:right="507" w:firstLine="559"/>
      </w:pPr>
      <w:r>
        <w:rPr>
          <w:spacing w:val="-1"/>
        </w:rPr>
        <w:t>指因肝炎病毒感染引起肝脏组织弥漫性坏死，导致急性肝功能衰竭，</w:t>
      </w:r>
      <w:r>
        <w:rPr>
          <w:spacing w:val="-137"/>
        </w:rPr>
        <w:t> </w:t>
      </w:r>
      <w:r>
        <w:rPr/>
        <w:t>且经血清学或病毒学检查证实，并须满足下列全部条件：</w:t>
      </w:r>
    </w:p>
    <w:p>
      <w:pPr>
        <w:pStyle w:val="ListParagraph"/>
        <w:numPr>
          <w:ilvl w:val="0"/>
          <w:numId w:val="4"/>
        </w:numPr>
        <w:tabs>
          <w:tab w:pos="1199" w:val="left" w:leader="none"/>
        </w:tabs>
        <w:spacing w:line="358" w:lineRule="exact" w:before="0" w:after="0"/>
        <w:ind w:left="1199" w:right="0" w:hanging="421"/>
        <w:jc w:val="left"/>
        <w:rPr>
          <w:sz w:val="28"/>
        </w:rPr>
      </w:pPr>
      <w:r>
        <w:rPr>
          <w:sz w:val="28"/>
        </w:rPr>
        <w:t>重度黄疸或黄疸迅速加重；</w:t>
      </w:r>
    </w:p>
    <w:p>
      <w:pPr>
        <w:pStyle w:val="BodyText"/>
        <w:spacing w:before="9"/>
        <w:rPr>
          <w:sz w:val="20"/>
        </w:rPr>
      </w:pPr>
    </w:p>
    <w:p>
      <w:pPr>
        <w:pStyle w:val="ListParagraph"/>
        <w:numPr>
          <w:ilvl w:val="0"/>
          <w:numId w:val="4"/>
        </w:numPr>
        <w:tabs>
          <w:tab w:pos="1199" w:val="left" w:leader="none"/>
        </w:tabs>
        <w:spacing w:line="240" w:lineRule="auto" w:before="0" w:after="0"/>
        <w:ind w:left="1199" w:right="0" w:hanging="421"/>
        <w:jc w:val="left"/>
        <w:rPr>
          <w:sz w:val="28"/>
        </w:rPr>
      </w:pPr>
      <w:r>
        <w:rPr>
          <w:sz w:val="28"/>
        </w:rPr>
        <w:t>肝性脑病；</w:t>
      </w:r>
    </w:p>
    <w:p>
      <w:pPr>
        <w:pStyle w:val="BodyText"/>
        <w:spacing w:before="9"/>
        <w:rPr>
          <w:sz w:val="20"/>
        </w:rPr>
      </w:pPr>
    </w:p>
    <w:p>
      <w:pPr>
        <w:pStyle w:val="ListParagraph"/>
        <w:numPr>
          <w:ilvl w:val="0"/>
          <w:numId w:val="4"/>
        </w:numPr>
        <w:tabs>
          <w:tab w:pos="1199" w:val="left" w:leader="none"/>
        </w:tabs>
        <w:spacing w:line="240" w:lineRule="auto" w:before="0" w:after="0"/>
        <w:ind w:left="1199" w:right="0" w:hanging="421"/>
        <w:jc w:val="left"/>
        <w:rPr>
          <w:sz w:val="28"/>
        </w:rPr>
      </w:pPr>
      <w:r>
        <w:rPr>
          <w:sz w:val="28"/>
        </w:rPr>
        <w:t>B超或其他影像学检查显示肝脏体积急速萎缩；</w:t>
      </w:r>
    </w:p>
    <w:p>
      <w:pPr>
        <w:pStyle w:val="BodyText"/>
        <w:spacing w:before="9"/>
        <w:rPr>
          <w:sz w:val="20"/>
        </w:rPr>
      </w:pPr>
    </w:p>
    <w:p>
      <w:pPr>
        <w:pStyle w:val="ListParagraph"/>
        <w:numPr>
          <w:ilvl w:val="0"/>
          <w:numId w:val="4"/>
        </w:numPr>
        <w:tabs>
          <w:tab w:pos="1199" w:val="left" w:leader="none"/>
        </w:tabs>
        <w:spacing w:line="240" w:lineRule="auto" w:before="0" w:after="0"/>
        <w:ind w:left="1199" w:right="0" w:hanging="421"/>
        <w:jc w:val="left"/>
        <w:rPr>
          <w:sz w:val="28"/>
        </w:rPr>
      </w:pPr>
      <w:r>
        <w:rPr>
          <w:sz w:val="28"/>
        </w:rPr>
        <w:t>肝功能指标进行性恶化。</w:t>
      </w:r>
    </w:p>
    <w:p>
      <w:pPr>
        <w:pStyle w:val="BodyText"/>
        <w:spacing w:before="9"/>
        <w:rPr>
          <w:sz w:val="20"/>
        </w:rPr>
      </w:pPr>
    </w:p>
    <w:p>
      <w:pPr>
        <w:pStyle w:val="BodyText"/>
        <w:ind w:left="778"/>
      </w:pPr>
      <w:r>
        <w:rPr/>
        <w:t>（九）严重非恶性颅内肿瘤</w:t>
      </w:r>
    </w:p>
    <w:p>
      <w:pPr>
        <w:pStyle w:val="BodyText"/>
        <w:spacing w:before="9"/>
        <w:rPr>
          <w:sz w:val="20"/>
        </w:rPr>
      </w:pPr>
    </w:p>
    <w:p>
      <w:pPr>
        <w:pStyle w:val="BodyText"/>
        <w:ind w:left="778"/>
      </w:pPr>
      <w:r>
        <w:rPr>
          <w:spacing w:val="-2"/>
        </w:rPr>
        <w:t>指起源于脑、脑神经、脑被膜的非恶性肿瘤，</w:t>
      </w:r>
      <w:r>
        <w:rPr>
          <w:spacing w:val="-1"/>
        </w:rPr>
        <w:t>ICD-O-3肿瘤形态学编码</w:t>
      </w:r>
    </w:p>
    <w:p>
      <w:pPr>
        <w:spacing w:after="0"/>
        <w:sectPr>
          <w:pgSz w:w="11910" w:h="16840"/>
          <w:pgMar w:header="0" w:footer="1195" w:top="1440" w:bottom="1380" w:left="1200" w:right="1020"/>
        </w:sectPr>
      </w:pPr>
    </w:p>
    <w:p>
      <w:pPr>
        <w:pStyle w:val="BodyText"/>
        <w:spacing w:line="417" w:lineRule="auto" w:before="35"/>
        <w:ind w:left="218" w:right="393"/>
      </w:pPr>
      <w:r>
        <w:rPr>
          <w:spacing w:val="-1"/>
        </w:rPr>
        <w:t>属于0（良性肿瘤</w:t>
      </w:r>
      <w:r>
        <w:rPr>
          <w:spacing w:val="-142"/>
        </w:rPr>
        <w:t>）</w:t>
      </w:r>
      <w:r>
        <w:rPr>
          <w:spacing w:val="-1"/>
        </w:rPr>
        <w:t>、1（动态未定性肿瘤）范畴，并已经引起颅内压升高或</w:t>
      </w:r>
      <w:r>
        <w:rPr/>
        <w:t>神经系统功能损害，出现视乳头水肿或视觉受损、听觉受损、面部或肢体</w:t>
      </w:r>
      <w:r>
        <w:rPr>
          <w:spacing w:val="-3"/>
          <w:w w:val="100"/>
        </w:rPr>
        <w:t>瘫痪、癫痫等，须由头颅断层扫描</w:t>
      </w:r>
      <w:r>
        <w:rPr>
          <w:w w:val="100"/>
        </w:rPr>
        <w:t>（</w:t>
      </w:r>
      <w:r>
        <w:rPr>
          <w:spacing w:val="-2"/>
          <w:w w:val="100"/>
        </w:rPr>
        <w:t>CT</w:t>
      </w:r>
      <w:r>
        <w:rPr>
          <w:spacing w:val="-140"/>
          <w:w w:val="100"/>
        </w:rPr>
        <w:t>）</w:t>
      </w:r>
      <w:r>
        <w:rPr>
          <w:spacing w:val="-3"/>
          <w:w w:val="100"/>
        </w:rPr>
        <w:t>、核磁共振检查</w:t>
      </w:r>
      <w:r>
        <w:rPr>
          <w:w w:val="100"/>
        </w:rPr>
        <w:t>（</w:t>
      </w:r>
      <w:r>
        <w:rPr>
          <w:spacing w:val="-2"/>
          <w:w w:val="100"/>
        </w:rPr>
        <w:t>M</w:t>
      </w:r>
      <w:r>
        <w:rPr>
          <w:w w:val="100"/>
        </w:rPr>
        <w:t>R</w:t>
      </w:r>
      <w:r>
        <w:rPr>
          <w:spacing w:val="-1"/>
          <w:w w:val="100"/>
        </w:rPr>
        <w:t>I</w:t>
      </w:r>
      <w:r>
        <w:rPr>
          <w:w w:val="100"/>
        </w:rPr>
        <w:t>）</w:t>
      </w:r>
      <w:r>
        <w:rPr>
          <w:spacing w:val="-2"/>
          <w:w w:val="100"/>
        </w:rPr>
        <w:t>或正电子</w:t>
      </w:r>
      <w:r>
        <w:rPr/>
        <w:t>发射断层扫描（PET）等影像学检查证实，且须满足下列至少一项条件：</w:t>
      </w:r>
    </w:p>
    <w:p>
      <w:pPr>
        <w:pStyle w:val="ListParagraph"/>
        <w:numPr>
          <w:ilvl w:val="0"/>
          <w:numId w:val="5"/>
        </w:numPr>
        <w:tabs>
          <w:tab w:pos="1199" w:val="left" w:leader="none"/>
        </w:tabs>
        <w:spacing w:line="358" w:lineRule="exact" w:before="0" w:after="0"/>
        <w:ind w:left="1199" w:right="0" w:hanging="421"/>
        <w:jc w:val="left"/>
        <w:rPr>
          <w:sz w:val="28"/>
        </w:rPr>
      </w:pPr>
      <w:r>
        <w:rPr>
          <w:spacing w:val="-1"/>
          <w:sz w:val="28"/>
        </w:rPr>
        <w:t>已经实施了开颅进行的颅内肿瘤完全或部分切除手术；</w:t>
      </w:r>
    </w:p>
    <w:p>
      <w:pPr>
        <w:pStyle w:val="BodyText"/>
        <w:spacing w:before="9"/>
        <w:rPr>
          <w:sz w:val="20"/>
        </w:rPr>
      </w:pPr>
    </w:p>
    <w:p>
      <w:pPr>
        <w:pStyle w:val="ListParagraph"/>
        <w:numPr>
          <w:ilvl w:val="0"/>
          <w:numId w:val="5"/>
        </w:numPr>
        <w:tabs>
          <w:tab w:pos="1199" w:val="left" w:leader="none"/>
        </w:tabs>
        <w:spacing w:line="417" w:lineRule="auto" w:before="0" w:after="0"/>
        <w:ind w:left="780" w:right="392" w:hanging="3"/>
        <w:jc w:val="left"/>
        <w:rPr>
          <w:b/>
          <w:sz w:val="28"/>
        </w:rPr>
      </w:pPr>
      <w:r>
        <w:rPr>
          <w:spacing w:val="-7"/>
          <w:sz w:val="28"/>
        </w:rPr>
        <w:t>已经实施了针对颅内肿瘤的放射治疗，如</w:t>
      </w:r>
      <w:r>
        <w:rPr>
          <w:sz w:val="28"/>
        </w:rPr>
        <w:t>γ</w:t>
      </w:r>
      <w:r>
        <w:rPr>
          <w:spacing w:val="-13"/>
          <w:sz w:val="28"/>
        </w:rPr>
        <w:t>刀、质子重离子治疗等</w:t>
      </w:r>
      <w:r>
        <w:rPr>
          <w:sz w:val="28"/>
        </w:rPr>
        <w:t>。</w:t>
      </w:r>
      <w:r>
        <w:rPr>
          <w:b/>
          <w:sz w:val="28"/>
        </w:rPr>
        <w:t>下列疾病不在保障范围内：</w:t>
      </w:r>
    </w:p>
    <w:p>
      <w:pPr>
        <w:pStyle w:val="ListParagraph"/>
        <w:numPr>
          <w:ilvl w:val="0"/>
          <w:numId w:val="6"/>
        </w:numPr>
        <w:tabs>
          <w:tab w:pos="1485" w:val="left" w:leader="none"/>
        </w:tabs>
        <w:spacing w:line="240" w:lineRule="auto" w:before="0" w:after="0"/>
        <w:ind w:left="1484" w:right="0" w:hanging="705"/>
        <w:jc w:val="left"/>
        <w:rPr>
          <w:b/>
          <w:sz w:val="28"/>
        </w:rPr>
      </w:pPr>
      <w:r>
        <w:rPr>
          <w:b/>
          <w:w w:val="95"/>
          <w:sz w:val="28"/>
        </w:rPr>
        <w:t>脑垂体瘤；</w:t>
      </w:r>
    </w:p>
    <w:p>
      <w:pPr>
        <w:pStyle w:val="BodyText"/>
        <w:spacing w:before="9"/>
        <w:rPr>
          <w:b/>
          <w:sz w:val="20"/>
        </w:rPr>
      </w:pPr>
    </w:p>
    <w:p>
      <w:pPr>
        <w:pStyle w:val="ListParagraph"/>
        <w:numPr>
          <w:ilvl w:val="0"/>
          <w:numId w:val="6"/>
        </w:numPr>
        <w:tabs>
          <w:tab w:pos="1485" w:val="left" w:leader="none"/>
        </w:tabs>
        <w:spacing w:line="240" w:lineRule="auto" w:before="0" w:after="0"/>
        <w:ind w:left="1484" w:right="0" w:hanging="705"/>
        <w:jc w:val="left"/>
        <w:rPr>
          <w:b/>
          <w:sz w:val="28"/>
        </w:rPr>
      </w:pPr>
      <w:r>
        <w:rPr>
          <w:b/>
          <w:w w:val="95"/>
          <w:sz w:val="28"/>
        </w:rPr>
        <w:t>脑囊肿；</w:t>
      </w:r>
    </w:p>
    <w:p>
      <w:pPr>
        <w:pStyle w:val="BodyText"/>
        <w:spacing w:before="9"/>
        <w:rPr>
          <w:b/>
          <w:sz w:val="20"/>
        </w:rPr>
      </w:pPr>
    </w:p>
    <w:p>
      <w:pPr>
        <w:pStyle w:val="ListParagraph"/>
        <w:numPr>
          <w:ilvl w:val="0"/>
          <w:numId w:val="6"/>
        </w:numPr>
        <w:tabs>
          <w:tab w:pos="1485" w:val="left" w:leader="none"/>
        </w:tabs>
        <w:spacing w:line="417" w:lineRule="auto" w:before="0" w:after="0"/>
        <w:ind w:left="218" w:right="394" w:firstLine="561"/>
        <w:jc w:val="left"/>
        <w:rPr>
          <w:b/>
          <w:sz w:val="28"/>
        </w:rPr>
      </w:pPr>
      <w:r>
        <w:rPr>
          <w:b/>
          <w:spacing w:val="4"/>
          <w:sz w:val="28"/>
        </w:rPr>
        <w:t>颅内 血管性疾病</w:t>
      </w:r>
      <w:r>
        <w:rPr>
          <w:b/>
          <w:sz w:val="28"/>
        </w:rPr>
        <w:t>（</w:t>
      </w:r>
      <w:r>
        <w:rPr>
          <w:b/>
          <w:spacing w:val="-14"/>
          <w:sz w:val="28"/>
        </w:rPr>
        <w:t>如脑动脉瘤、脑动静脉畸形、海绵状血管瘤</w:t>
      </w:r>
      <w:r>
        <w:rPr>
          <w:b/>
          <w:sz w:val="28"/>
        </w:rPr>
        <w:t>、毛细血管扩张症等</w:t>
      </w:r>
      <w:r>
        <w:rPr>
          <w:b/>
          <w:spacing w:val="-142"/>
          <w:sz w:val="28"/>
        </w:rPr>
        <w:t>）</w:t>
      </w:r>
      <w:r>
        <w:rPr>
          <w:b/>
          <w:sz w:val="28"/>
        </w:rPr>
        <w:t>。</w:t>
      </w:r>
    </w:p>
    <w:p>
      <w:pPr>
        <w:pStyle w:val="BodyText"/>
        <w:spacing w:line="358" w:lineRule="exact"/>
        <w:ind w:left="778"/>
      </w:pPr>
      <w:r>
        <w:rPr/>
        <w:t>（十）严重慢性肝衰竭</w:t>
      </w:r>
    </w:p>
    <w:p>
      <w:pPr>
        <w:pStyle w:val="BodyText"/>
        <w:spacing w:before="9"/>
        <w:rPr>
          <w:sz w:val="20"/>
        </w:rPr>
      </w:pPr>
    </w:p>
    <w:p>
      <w:pPr>
        <w:pStyle w:val="BodyText"/>
        <w:spacing w:line="417" w:lineRule="auto"/>
        <w:ind w:left="778" w:right="1258"/>
      </w:pPr>
      <w:r>
        <w:rPr>
          <w:spacing w:val="-1"/>
        </w:rPr>
        <w:t>指因慢性肝脏疾病导致肝功能衰竭。须满足下列全部条件：</w:t>
      </w:r>
      <w:r>
        <w:rPr>
          <w:spacing w:val="-137"/>
        </w:rPr>
        <w:t> </w:t>
      </w:r>
      <w:r>
        <w:rPr/>
        <w:t>1．持续性黄疸；</w:t>
      </w:r>
    </w:p>
    <w:p>
      <w:pPr>
        <w:pStyle w:val="ListParagraph"/>
        <w:numPr>
          <w:ilvl w:val="0"/>
          <w:numId w:val="7"/>
        </w:numPr>
        <w:tabs>
          <w:tab w:pos="1199" w:val="left" w:leader="none"/>
        </w:tabs>
        <w:spacing w:line="240" w:lineRule="auto" w:before="0" w:after="0"/>
        <w:ind w:left="1199" w:right="0" w:hanging="421"/>
        <w:jc w:val="left"/>
        <w:rPr>
          <w:sz w:val="28"/>
        </w:rPr>
      </w:pPr>
      <w:r>
        <w:rPr>
          <w:sz w:val="28"/>
        </w:rPr>
        <w:t>腹水；</w:t>
      </w:r>
    </w:p>
    <w:p>
      <w:pPr>
        <w:pStyle w:val="BodyText"/>
        <w:spacing w:before="9"/>
        <w:rPr>
          <w:sz w:val="20"/>
        </w:rPr>
      </w:pPr>
    </w:p>
    <w:p>
      <w:pPr>
        <w:pStyle w:val="ListParagraph"/>
        <w:numPr>
          <w:ilvl w:val="0"/>
          <w:numId w:val="7"/>
        </w:numPr>
        <w:tabs>
          <w:tab w:pos="1199" w:val="left" w:leader="none"/>
        </w:tabs>
        <w:spacing w:line="240" w:lineRule="auto" w:before="0" w:after="0"/>
        <w:ind w:left="1199" w:right="0" w:hanging="421"/>
        <w:jc w:val="left"/>
        <w:rPr>
          <w:sz w:val="28"/>
        </w:rPr>
      </w:pPr>
      <w:r>
        <w:rPr>
          <w:sz w:val="28"/>
        </w:rPr>
        <w:t>肝性脑病；</w:t>
      </w:r>
    </w:p>
    <w:p>
      <w:pPr>
        <w:pStyle w:val="BodyText"/>
        <w:spacing w:before="9"/>
        <w:rPr>
          <w:sz w:val="20"/>
        </w:rPr>
      </w:pPr>
    </w:p>
    <w:p>
      <w:pPr>
        <w:pStyle w:val="ListParagraph"/>
        <w:numPr>
          <w:ilvl w:val="0"/>
          <w:numId w:val="7"/>
        </w:numPr>
        <w:tabs>
          <w:tab w:pos="1199" w:val="left" w:leader="none"/>
        </w:tabs>
        <w:spacing w:line="417" w:lineRule="auto" w:before="0" w:after="0"/>
        <w:ind w:left="780" w:right="2157" w:hanging="3"/>
        <w:jc w:val="left"/>
        <w:rPr>
          <w:b/>
          <w:sz w:val="28"/>
        </w:rPr>
      </w:pPr>
      <w:r>
        <w:rPr>
          <w:sz w:val="28"/>
        </w:rPr>
        <w:t>充血性脾肿大伴脾功能亢进或食管胃底静脉曲张。</w:t>
      </w:r>
      <w:r>
        <w:rPr>
          <w:b/>
          <w:spacing w:val="-1"/>
          <w:sz w:val="28"/>
        </w:rPr>
        <w:t>因酗酒或药物滥用导致的肝功能衰竭不在保障范围内。</w:t>
      </w:r>
    </w:p>
    <w:p>
      <w:pPr>
        <w:pStyle w:val="BodyText"/>
        <w:spacing w:line="358" w:lineRule="exact"/>
        <w:ind w:left="778"/>
      </w:pPr>
      <w:r>
        <w:rPr/>
        <w:t>（十一）严重脑炎后遗症或严重脑膜炎后遗症</w:t>
      </w:r>
    </w:p>
    <w:p>
      <w:pPr>
        <w:pStyle w:val="BodyText"/>
        <w:spacing w:before="9"/>
        <w:rPr>
          <w:sz w:val="20"/>
        </w:rPr>
      </w:pPr>
    </w:p>
    <w:p>
      <w:pPr>
        <w:pStyle w:val="BodyText"/>
        <w:spacing w:line="417" w:lineRule="auto" w:before="1"/>
        <w:ind w:left="218" w:right="394" w:firstLine="559"/>
      </w:pPr>
      <w:r>
        <w:rPr/>
        <w:t>指因患脑炎或脑膜炎导致的神经系统永久性的功能障碍。神经系统永</w:t>
      </w:r>
      <w:r>
        <w:rPr>
          <w:spacing w:val="-1"/>
        </w:rPr>
        <w:t>久性的功能障碍，指经相关专科医生确诊疾病180天后，仍遗留下列至少一</w:t>
      </w:r>
      <w:r>
        <w:rPr/>
        <w:t>种障碍：</w:t>
      </w:r>
    </w:p>
    <w:p>
      <w:pPr>
        <w:spacing w:after="0" w:line="417" w:lineRule="auto"/>
        <w:sectPr>
          <w:pgSz w:w="11910" w:h="16840"/>
          <w:pgMar w:header="0" w:footer="1195" w:top="1440" w:bottom="1380" w:left="1200" w:right="1020"/>
        </w:sectPr>
      </w:pPr>
    </w:p>
    <w:p>
      <w:pPr>
        <w:pStyle w:val="ListParagraph"/>
        <w:numPr>
          <w:ilvl w:val="0"/>
          <w:numId w:val="8"/>
        </w:numPr>
        <w:tabs>
          <w:tab w:pos="1199" w:val="left" w:leader="none"/>
        </w:tabs>
        <w:spacing w:line="240" w:lineRule="auto" w:before="35" w:after="0"/>
        <w:ind w:left="1199" w:right="0" w:hanging="421"/>
        <w:jc w:val="left"/>
        <w:rPr>
          <w:sz w:val="28"/>
        </w:rPr>
      </w:pPr>
      <w:r>
        <w:rPr>
          <w:sz w:val="28"/>
        </w:rPr>
        <w:t>一肢（含）以上肢体肌力2级（含）以下；</w:t>
      </w:r>
    </w:p>
    <w:p>
      <w:pPr>
        <w:pStyle w:val="BodyText"/>
        <w:spacing w:before="9"/>
        <w:rPr>
          <w:sz w:val="20"/>
        </w:rPr>
      </w:pPr>
    </w:p>
    <w:p>
      <w:pPr>
        <w:pStyle w:val="ListParagraph"/>
        <w:numPr>
          <w:ilvl w:val="0"/>
          <w:numId w:val="8"/>
        </w:numPr>
        <w:tabs>
          <w:tab w:pos="1199" w:val="left" w:leader="none"/>
        </w:tabs>
        <w:spacing w:line="240" w:lineRule="auto" w:before="0" w:after="0"/>
        <w:ind w:left="1199" w:right="0" w:hanging="421"/>
        <w:jc w:val="left"/>
        <w:rPr>
          <w:sz w:val="28"/>
        </w:rPr>
      </w:pPr>
      <w:r>
        <w:rPr>
          <w:spacing w:val="-1"/>
          <w:sz w:val="28"/>
        </w:rPr>
        <w:t>语言能力完全丧失，或严重咀嚼吞咽功能障碍；</w:t>
      </w:r>
    </w:p>
    <w:p>
      <w:pPr>
        <w:pStyle w:val="BodyText"/>
        <w:spacing w:before="9"/>
        <w:rPr>
          <w:sz w:val="20"/>
        </w:rPr>
      </w:pPr>
    </w:p>
    <w:p>
      <w:pPr>
        <w:pStyle w:val="ListParagraph"/>
        <w:numPr>
          <w:ilvl w:val="0"/>
          <w:numId w:val="8"/>
        </w:numPr>
        <w:tabs>
          <w:tab w:pos="1062" w:val="left" w:leader="none"/>
        </w:tabs>
        <w:spacing w:line="417" w:lineRule="auto" w:before="0" w:after="0"/>
        <w:ind w:left="218" w:right="395" w:firstLine="559"/>
        <w:jc w:val="left"/>
        <w:rPr>
          <w:sz w:val="28"/>
        </w:rPr>
      </w:pPr>
      <w:r>
        <w:rPr>
          <w:spacing w:val="-1"/>
          <w:sz w:val="28"/>
        </w:rPr>
        <w:t>由具有评估资格的专科医生根据临床痴呆评定量表（CDR，Clinical</w:t>
      </w:r>
      <w:r>
        <w:rPr>
          <w:spacing w:val="-137"/>
          <w:sz w:val="28"/>
        </w:rPr>
        <w:t> </w:t>
      </w:r>
      <w:r>
        <w:rPr>
          <w:sz w:val="28"/>
        </w:rPr>
        <w:t>Dementia</w:t>
      </w:r>
      <w:r>
        <w:rPr>
          <w:spacing w:val="-3"/>
          <w:sz w:val="28"/>
        </w:rPr>
        <w:t> </w:t>
      </w:r>
      <w:r>
        <w:rPr>
          <w:sz w:val="28"/>
        </w:rPr>
        <w:t>Rating）评估结果为3分；</w:t>
      </w:r>
    </w:p>
    <w:p>
      <w:pPr>
        <w:pStyle w:val="ListParagraph"/>
        <w:numPr>
          <w:ilvl w:val="0"/>
          <w:numId w:val="8"/>
        </w:numPr>
        <w:tabs>
          <w:tab w:pos="1199" w:val="left" w:leader="none"/>
        </w:tabs>
        <w:spacing w:line="417" w:lineRule="auto" w:before="0" w:after="0"/>
        <w:ind w:left="218" w:right="397" w:firstLine="559"/>
        <w:jc w:val="left"/>
        <w:rPr>
          <w:sz w:val="28"/>
        </w:rPr>
      </w:pPr>
      <w:r>
        <w:rPr>
          <w:spacing w:val="-1"/>
          <w:sz w:val="28"/>
        </w:rPr>
        <w:t>自主生活能力完全丧失，无法独立完成六项基本日常生活活动中的</w:t>
      </w:r>
      <w:r>
        <w:rPr>
          <w:sz w:val="28"/>
        </w:rPr>
        <w:t>三项或三项以上。</w:t>
      </w:r>
    </w:p>
    <w:p>
      <w:pPr>
        <w:pStyle w:val="BodyText"/>
        <w:spacing w:line="358" w:lineRule="exact"/>
        <w:ind w:left="778"/>
      </w:pPr>
      <w:r>
        <w:rPr/>
        <w:t>（十二）深度昏迷</w:t>
      </w:r>
    </w:p>
    <w:p>
      <w:pPr>
        <w:pStyle w:val="BodyText"/>
        <w:spacing w:before="9"/>
        <w:rPr>
          <w:sz w:val="20"/>
        </w:rPr>
      </w:pPr>
    </w:p>
    <w:p>
      <w:pPr>
        <w:pStyle w:val="BodyText"/>
        <w:spacing w:line="417" w:lineRule="auto"/>
        <w:ind w:left="218" w:right="500" w:firstLine="559"/>
        <w:jc w:val="both"/>
      </w:pPr>
      <w:r>
        <w:rPr/>
        <w:t>指因疾病或意外伤害导致意识丧失,对外界刺激和体内需求均无反应,</w:t>
      </w:r>
      <w:r>
        <w:rPr>
          <w:spacing w:val="-138"/>
        </w:rPr>
        <w:t> </w:t>
      </w:r>
      <w:r>
        <w:rPr/>
        <w:t>昏迷程度按照格拉斯哥昏迷分级（GCS，Glasgow</w:t>
      </w:r>
      <w:r>
        <w:rPr>
          <w:spacing w:val="-4"/>
        </w:rPr>
        <w:t> </w:t>
      </w:r>
      <w:r>
        <w:rPr/>
        <w:t>Coma</w:t>
      </w:r>
      <w:r>
        <w:rPr>
          <w:spacing w:val="-7"/>
        </w:rPr>
        <w:t> </w:t>
      </w:r>
      <w:r>
        <w:rPr/>
        <w:t>Scale）结果为5分或5分以下，且已经持续使用呼吸机及其他生命维持系统96小时以上。</w:t>
      </w:r>
    </w:p>
    <w:p>
      <w:pPr>
        <w:spacing w:line="358" w:lineRule="exact" w:before="0"/>
        <w:ind w:left="780" w:right="0" w:firstLine="0"/>
        <w:jc w:val="left"/>
        <w:rPr>
          <w:b/>
          <w:sz w:val="28"/>
        </w:rPr>
      </w:pPr>
      <w:r>
        <w:rPr>
          <w:b/>
          <w:w w:val="95"/>
          <w:sz w:val="28"/>
        </w:rPr>
        <w:t>因酗酒或药物滥用导致的深度昏迷不在保障范围内。</w:t>
      </w:r>
    </w:p>
    <w:p>
      <w:pPr>
        <w:pStyle w:val="BodyText"/>
        <w:spacing w:before="9"/>
        <w:rPr>
          <w:b/>
          <w:sz w:val="20"/>
        </w:rPr>
      </w:pPr>
    </w:p>
    <w:p>
      <w:pPr>
        <w:spacing w:before="0"/>
        <w:ind w:left="778" w:right="0" w:firstLine="0"/>
        <w:jc w:val="left"/>
        <w:rPr>
          <w:b/>
          <w:sz w:val="28"/>
        </w:rPr>
      </w:pPr>
      <w:r>
        <w:rPr>
          <w:sz w:val="28"/>
        </w:rPr>
        <w:t>（十三）双耳失聪</w:t>
      </w:r>
      <w:r>
        <w:rPr>
          <w:b/>
          <w:sz w:val="28"/>
        </w:rPr>
        <w:t>（保障自12周岁届满之日始）</w:t>
      </w:r>
    </w:p>
    <w:p>
      <w:pPr>
        <w:pStyle w:val="BodyText"/>
        <w:spacing w:before="9"/>
        <w:rPr>
          <w:b/>
          <w:sz w:val="20"/>
        </w:rPr>
      </w:pPr>
    </w:p>
    <w:p>
      <w:pPr>
        <w:pStyle w:val="BodyText"/>
        <w:spacing w:line="417" w:lineRule="auto"/>
        <w:ind w:left="218" w:right="505" w:firstLine="559"/>
      </w:pPr>
      <w:r>
        <w:rPr/>
        <w:t>指因疾病或意外伤害导致双耳听力永久不可逆性丧失，在500赫兹、1000赫兹和2000赫兹语音频率下，平均听阈大于等于91分贝，且经纯音听力测试、声导抗检测或听觉诱发电位检测等证实。</w:t>
      </w:r>
    </w:p>
    <w:p>
      <w:pPr>
        <w:spacing w:line="358" w:lineRule="exact" w:before="0"/>
        <w:ind w:left="778" w:right="0" w:firstLine="0"/>
        <w:jc w:val="left"/>
        <w:rPr>
          <w:b/>
          <w:sz w:val="28"/>
        </w:rPr>
      </w:pPr>
      <w:r>
        <w:rPr>
          <w:sz w:val="28"/>
        </w:rPr>
        <w:t>（十四）双目失明</w:t>
      </w:r>
      <w:r>
        <w:rPr>
          <w:b/>
          <w:sz w:val="28"/>
        </w:rPr>
        <w:t>（保障自12周岁届满之日始）</w:t>
      </w:r>
    </w:p>
    <w:p>
      <w:pPr>
        <w:pStyle w:val="BodyText"/>
        <w:spacing w:before="9"/>
        <w:rPr>
          <w:b/>
          <w:sz w:val="20"/>
        </w:rPr>
      </w:pPr>
    </w:p>
    <w:p>
      <w:pPr>
        <w:pStyle w:val="BodyText"/>
        <w:spacing w:line="417" w:lineRule="auto"/>
        <w:ind w:left="218" w:right="507" w:firstLine="559"/>
      </w:pPr>
      <w:r>
        <w:rPr>
          <w:spacing w:val="-1"/>
        </w:rPr>
        <w:t>指因疾病或意外伤害导致双眼视力永久不可逆性丧失，双眼中较好眼</w:t>
      </w:r>
      <w:r>
        <w:rPr/>
        <w:t>须满足下列至少一项条件：</w:t>
      </w:r>
    </w:p>
    <w:p>
      <w:pPr>
        <w:pStyle w:val="ListParagraph"/>
        <w:numPr>
          <w:ilvl w:val="0"/>
          <w:numId w:val="9"/>
        </w:numPr>
        <w:tabs>
          <w:tab w:pos="1199" w:val="left" w:leader="none"/>
        </w:tabs>
        <w:spacing w:line="358" w:lineRule="exact" w:before="0" w:after="0"/>
        <w:ind w:left="1199" w:right="0" w:hanging="421"/>
        <w:jc w:val="left"/>
        <w:rPr>
          <w:sz w:val="28"/>
        </w:rPr>
      </w:pPr>
      <w:r>
        <w:rPr>
          <w:sz w:val="28"/>
        </w:rPr>
        <w:t>眼球缺失或摘除；</w:t>
      </w:r>
    </w:p>
    <w:p>
      <w:pPr>
        <w:pStyle w:val="BodyText"/>
        <w:spacing w:before="10"/>
        <w:rPr>
          <w:sz w:val="20"/>
        </w:rPr>
      </w:pPr>
    </w:p>
    <w:p>
      <w:pPr>
        <w:pStyle w:val="ListParagraph"/>
        <w:numPr>
          <w:ilvl w:val="0"/>
          <w:numId w:val="9"/>
        </w:numPr>
        <w:tabs>
          <w:tab w:pos="1199" w:val="left" w:leader="none"/>
        </w:tabs>
        <w:spacing w:line="417" w:lineRule="auto" w:before="0" w:after="0"/>
        <w:ind w:left="218" w:right="393" w:firstLine="559"/>
        <w:jc w:val="left"/>
        <w:rPr>
          <w:sz w:val="28"/>
        </w:rPr>
      </w:pPr>
      <w:r>
        <w:rPr>
          <w:spacing w:val="-1"/>
          <w:sz w:val="28"/>
        </w:rPr>
        <w:t>矫正视力低于0.02（采用国际标准视力表，如果使用其他视力表应</w:t>
      </w:r>
      <w:r>
        <w:rPr>
          <w:spacing w:val="-1"/>
          <w:w w:val="100"/>
          <w:sz w:val="28"/>
        </w:rPr>
        <w:t>进行换算</w:t>
      </w:r>
      <w:r>
        <w:rPr>
          <w:spacing w:val="-140"/>
          <w:w w:val="100"/>
          <w:sz w:val="28"/>
        </w:rPr>
        <w:t>）</w:t>
      </w:r>
      <w:r>
        <w:rPr>
          <w:w w:val="100"/>
          <w:sz w:val="28"/>
        </w:rPr>
        <w:t>；</w:t>
      </w:r>
    </w:p>
    <w:p>
      <w:pPr>
        <w:pStyle w:val="ListParagraph"/>
        <w:numPr>
          <w:ilvl w:val="0"/>
          <w:numId w:val="9"/>
        </w:numPr>
        <w:tabs>
          <w:tab w:pos="1199" w:val="left" w:leader="none"/>
        </w:tabs>
        <w:spacing w:line="358" w:lineRule="exact" w:before="0" w:after="0"/>
        <w:ind w:left="1199" w:right="0" w:hanging="421"/>
        <w:jc w:val="left"/>
        <w:rPr>
          <w:sz w:val="28"/>
        </w:rPr>
      </w:pPr>
      <w:r>
        <w:rPr>
          <w:spacing w:val="-1"/>
          <w:sz w:val="28"/>
        </w:rPr>
        <w:t>视野半径小于</w:t>
      </w:r>
      <w:r>
        <w:rPr>
          <w:sz w:val="28"/>
        </w:rPr>
        <w:t>5度。</w:t>
      </w:r>
    </w:p>
    <w:p>
      <w:pPr>
        <w:spacing w:after="0" w:line="358" w:lineRule="exact"/>
        <w:jc w:val="left"/>
        <w:rPr>
          <w:sz w:val="28"/>
        </w:rPr>
        <w:sectPr>
          <w:pgSz w:w="11910" w:h="16840"/>
          <w:pgMar w:header="0" w:footer="1195" w:top="1440" w:bottom="1380" w:left="1200" w:right="1020"/>
        </w:sectPr>
      </w:pPr>
    </w:p>
    <w:p>
      <w:pPr>
        <w:pStyle w:val="BodyText"/>
        <w:spacing w:before="35"/>
        <w:ind w:left="778"/>
      </w:pPr>
      <w:r>
        <w:rPr/>
        <w:t>（十五）瘫痪</w:t>
      </w:r>
    </w:p>
    <w:p>
      <w:pPr>
        <w:pStyle w:val="BodyText"/>
        <w:spacing w:before="9"/>
        <w:rPr>
          <w:sz w:val="20"/>
        </w:rPr>
      </w:pPr>
    </w:p>
    <w:p>
      <w:pPr>
        <w:pStyle w:val="BodyText"/>
        <w:spacing w:line="417" w:lineRule="auto"/>
        <w:ind w:left="218" w:right="395" w:firstLine="559"/>
      </w:pPr>
      <w:r>
        <w:rPr/>
        <w:t>指因疾病或意外伤害导致两肢或两肢以上肢体随意运动功能永久完全</w:t>
      </w:r>
      <w:r>
        <w:rPr>
          <w:spacing w:val="-1"/>
        </w:rPr>
        <w:t>丧失。肢体随意运动功能永久完全丧失，指疾病确诊180天后或意外伤害发</w:t>
      </w:r>
      <w:r>
        <w:rPr/>
        <w:t>生180天后，每肢三大关节中的两大关节仍然完全僵硬，或肢体肌力在2级</w:t>
      </w:r>
    </w:p>
    <w:p>
      <w:pPr>
        <w:pStyle w:val="BodyText"/>
        <w:spacing w:line="358" w:lineRule="exact"/>
        <w:ind w:left="218"/>
      </w:pPr>
      <w:r>
        <w:rPr/>
        <w:t>（含）以下。</w:t>
      </w:r>
    </w:p>
    <w:p>
      <w:pPr>
        <w:pStyle w:val="BodyText"/>
        <w:spacing w:before="9"/>
        <w:rPr>
          <w:sz w:val="20"/>
        </w:rPr>
      </w:pPr>
    </w:p>
    <w:p>
      <w:pPr>
        <w:pStyle w:val="BodyText"/>
        <w:ind w:left="778"/>
      </w:pPr>
      <w:r>
        <w:rPr/>
        <w:t>（十六）心脏瓣膜手术</w:t>
      </w:r>
    </w:p>
    <w:p>
      <w:pPr>
        <w:pStyle w:val="BodyText"/>
        <w:spacing w:before="9"/>
        <w:rPr>
          <w:sz w:val="20"/>
        </w:rPr>
      </w:pPr>
    </w:p>
    <w:p>
      <w:pPr>
        <w:pStyle w:val="BodyText"/>
        <w:spacing w:line="417" w:lineRule="auto"/>
        <w:ind w:left="218" w:right="505" w:firstLine="559"/>
      </w:pPr>
      <w:r>
        <w:rPr/>
        <w:t>指为治疗心脏瓣膜疾病，已经实施了切开心脏进行的心脏瓣膜置换或修复的手术。</w:t>
      </w:r>
    </w:p>
    <w:p>
      <w:pPr>
        <w:spacing w:before="0"/>
        <w:ind w:left="780" w:right="0" w:firstLine="0"/>
        <w:jc w:val="left"/>
        <w:rPr>
          <w:b/>
          <w:sz w:val="28"/>
        </w:rPr>
      </w:pPr>
      <w:r>
        <w:rPr>
          <w:b/>
          <w:w w:val="95"/>
          <w:sz w:val="28"/>
        </w:rPr>
        <w:t>所有未切开心脏的心脏瓣膜介入手术不在保障范围内。</w:t>
      </w:r>
    </w:p>
    <w:p>
      <w:pPr>
        <w:pStyle w:val="BodyText"/>
        <w:spacing w:before="9"/>
        <w:rPr>
          <w:b/>
          <w:sz w:val="20"/>
        </w:rPr>
      </w:pPr>
    </w:p>
    <w:p>
      <w:pPr>
        <w:spacing w:before="0"/>
        <w:ind w:left="778" w:right="0" w:firstLine="0"/>
        <w:jc w:val="left"/>
        <w:rPr>
          <w:b/>
          <w:sz w:val="28"/>
        </w:rPr>
      </w:pPr>
      <w:r>
        <w:rPr>
          <w:sz w:val="28"/>
        </w:rPr>
        <w:t>（十七）严重阿尔茨海默病</w:t>
      </w:r>
      <w:r>
        <w:rPr>
          <w:b/>
          <w:sz w:val="28"/>
        </w:rPr>
        <w:t>（保障至60周岁届满之日止）</w:t>
      </w:r>
    </w:p>
    <w:p>
      <w:pPr>
        <w:pStyle w:val="BodyText"/>
        <w:spacing w:before="9"/>
        <w:rPr>
          <w:b/>
          <w:sz w:val="20"/>
        </w:rPr>
      </w:pPr>
    </w:p>
    <w:p>
      <w:pPr>
        <w:pStyle w:val="BodyText"/>
        <w:spacing w:line="417" w:lineRule="auto"/>
        <w:ind w:left="218" w:right="260" w:firstLine="559"/>
      </w:pPr>
      <w:r>
        <w:rPr/>
        <w:t>指因大脑进行性、不可逆性改变导致智能严重衰退或丧失，临床表现为严重的认知能力障碍、精神行为异常和社交能力减退等，其日常生活必</w:t>
      </w:r>
      <w:r>
        <w:rPr>
          <w:spacing w:val="-3"/>
          <w:w w:val="100"/>
        </w:rPr>
        <w:t>须持续受到他人监护。须由头颅断层扫描</w:t>
      </w:r>
      <w:r>
        <w:rPr>
          <w:spacing w:val="1"/>
          <w:w w:val="100"/>
        </w:rPr>
        <w:t>（</w:t>
      </w:r>
      <w:r>
        <w:rPr>
          <w:spacing w:val="-2"/>
          <w:w w:val="100"/>
        </w:rPr>
        <w:t>CT</w:t>
      </w:r>
      <w:r>
        <w:rPr>
          <w:spacing w:val="-140"/>
          <w:w w:val="100"/>
        </w:rPr>
        <w:t>）</w:t>
      </w:r>
      <w:r>
        <w:rPr>
          <w:spacing w:val="-3"/>
          <w:w w:val="100"/>
        </w:rPr>
        <w:t>、核磁共振检查</w:t>
      </w:r>
      <w:r>
        <w:rPr>
          <w:w w:val="100"/>
        </w:rPr>
        <w:t>（</w:t>
      </w:r>
      <w:r>
        <w:rPr>
          <w:spacing w:val="-2"/>
          <w:w w:val="100"/>
        </w:rPr>
        <w:t>MRI</w:t>
      </w:r>
      <w:r>
        <w:rPr>
          <w:w w:val="100"/>
        </w:rPr>
        <w:t>）或</w:t>
      </w:r>
      <w:r>
        <w:rPr/>
        <w:t>正电子发射断层扫描（PET）等影像学检查证实，并经相关专科医生确诊，</w:t>
      </w:r>
      <w:r>
        <w:rPr>
          <w:spacing w:val="-137"/>
        </w:rPr>
        <w:t> </w:t>
      </w:r>
      <w:r>
        <w:rPr/>
        <w:t>且须满足下列至少一项条件：1.由具有评估资格的专科医生根据临床痴呆评定量表（CDR，Clinical</w:t>
      </w:r>
      <w:r>
        <w:rPr>
          <w:spacing w:val="-2"/>
        </w:rPr>
        <w:t> </w:t>
      </w:r>
      <w:r>
        <w:rPr/>
        <w:t>Dementia</w:t>
      </w:r>
      <w:r>
        <w:rPr>
          <w:spacing w:val="-2"/>
        </w:rPr>
        <w:t> </w:t>
      </w:r>
      <w:r>
        <w:rPr/>
        <w:t>Rating）评估结果为3分；</w:t>
      </w:r>
    </w:p>
    <w:p>
      <w:pPr>
        <w:pStyle w:val="BodyText"/>
        <w:spacing w:line="417" w:lineRule="auto"/>
        <w:ind w:left="218" w:right="507" w:firstLine="559"/>
      </w:pPr>
      <w:r>
        <w:rPr>
          <w:spacing w:val="-1"/>
        </w:rPr>
        <w:t>2.自主生活能力完全丧失，无法独立完成六项基本日常生活活动中的</w:t>
      </w:r>
      <w:r>
        <w:rPr/>
        <w:t>三项或三项以上。</w:t>
      </w:r>
    </w:p>
    <w:p>
      <w:pPr>
        <w:spacing w:line="358" w:lineRule="exact" w:before="0"/>
        <w:ind w:left="780" w:right="0" w:firstLine="0"/>
        <w:jc w:val="left"/>
        <w:rPr>
          <w:b/>
          <w:sz w:val="28"/>
        </w:rPr>
      </w:pPr>
      <w:r>
        <w:rPr>
          <w:b/>
          <w:w w:val="95"/>
          <w:sz w:val="28"/>
        </w:rPr>
        <w:t>阿尔茨海默病之外的其他类型痴呆不在保障范围内。</w:t>
      </w:r>
    </w:p>
    <w:p>
      <w:pPr>
        <w:pStyle w:val="BodyText"/>
        <w:spacing w:before="9"/>
        <w:rPr>
          <w:b/>
          <w:sz w:val="20"/>
        </w:rPr>
      </w:pPr>
    </w:p>
    <w:p>
      <w:pPr>
        <w:pStyle w:val="BodyText"/>
        <w:ind w:left="778"/>
      </w:pPr>
      <w:r>
        <w:rPr/>
        <w:t>（十八）严重脑损伤</w:t>
      </w:r>
    </w:p>
    <w:p>
      <w:pPr>
        <w:pStyle w:val="BodyText"/>
        <w:spacing w:before="9"/>
        <w:rPr>
          <w:sz w:val="20"/>
        </w:rPr>
      </w:pPr>
    </w:p>
    <w:p>
      <w:pPr>
        <w:pStyle w:val="BodyText"/>
        <w:spacing w:line="417" w:lineRule="auto"/>
        <w:ind w:left="218" w:right="503" w:firstLine="559"/>
      </w:pPr>
      <w:r>
        <w:rPr/>
        <w:t>指因头部遭受机械性外力，引起脑重要部位损伤，导致神经系统永久</w:t>
      </w:r>
      <w:r>
        <w:rPr>
          <w:spacing w:val="-3"/>
          <w:w w:val="100"/>
        </w:rPr>
        <w:t>性的功能障碍。须由头颅断层扫描</w:t>
      </w:r>
      <w:r>
        <w:rPr>
          <w:spacing w:val="1"/>
          <w:w w:val="100"/>
        </w:rPr>
        <w:t>（</w:t>
      </w:r>
      <w:r>
        <w:rPr>
          <w:spacing w:val="-2"/>
          <w:w w:val="100"/>
        </w:rPr>
        <w:t>CT</w:t>
      </w:r>
      <w:r>
        <w:rPr>
          <w:spacing w:val="-140"/>
          <w:w w:val="100"/>
        </w:rPr>
        <w:t>）</w:t>
      </w:r>
      <w:r>
        <w:rPr>
          <w:spacing w:val="-3"/>
          <w:w w:val="100"/>
        </w:rPr>
        <w:t>、核磁共振检查</w:t>
      </w:r>
      <w:r>
        <w:rPr>
          <w:w w:val="100"/>
        </w:rPr>
        <w:t>（</w:t>
      </w:r>
      <w:r>
        <w:rPr>
          <w:spacing w:val="-2"/>
          <w:w w:val="100"/>
        </w:rPr>
        <w:t>M</w:t>
      </w:r>
      <w:r>
        <w:rPr>
          <w:w w:val="100"/>
        </w:rPr>
        <w:t>R</w:t>
      </w:r>
      <w:r>
        <w:rPr>
          <w:spacing w:val="-1"/>
          <w:w w:val="100"/>
        </w:rPr>
        <w:t>I</w:t>
      </w:r>
      <w:r>
        <w:rPr>
          <w:w w:val="100"/>
        </w:rPr>
        <w:t>）</w:t>
      </w:r>
      <w:r>
        <w:rPr>
          <w:spacing w:val="-2"/>
          <w:w w:val="100"/>
        </w:rPr>
        <w:t>或正电子</w:t>
      </w:r>
    </w:p>
    <w:p>
      <w:pPr>
        <w:spacing w:after="0" w:line="417" w:lineRule="auto"/>
        <w:sectPr>
          <w:pgSz w:w="11910" w:h="16840"/>
          <w:pgMar w:header="0" w:footer="1195" w:top="1440" w:bottom="1380" w:left="1200" w:right="1020"/>
        </w:sectPr>
      </w:pPr>
    </w:p>
    <w:p>
      <w:pPr>
        <w:pStyle w:val="BodyText"/>
        <w:spacing w:line="417" w:lineRule="auto" w:before="35"/>
        <w:ind w:left="218" w:right="394"/>
      </w:pPr>
      <w:r>
        <w:rPr>
          <w:spacing w:val="-1"/>
        </w:rPr>
        <w:t>发射断层扫描（PET）等影像学检查证实。神经系统永久性的功能障碍，指</w:t>
      </w:r>
      <w:r>
        <w:rPr/>
        <w:t>脑损伤180天后，仍遗留下列至少一种障碍：</w:t>
      </w:r>
    </w:p>
    <w:p>
      <w:pPr>
        <w:pStyle w:val="ListParagraph"/>
        <w:numPr>
          <w:ilvl w:val="0"/>
          <w:numId w:val="10"/>
        </w:numPr>
        <w:tabs>
          <w:tab w:pos="1199" w:val="left" w:leader="none"/>
        </w:tabs>
        <w:spacing w:line="240" w:lineRule="auto" w:before="0" w:after="0"/>
        <w:ind w:left="1199" w:right="0" w:hanging="421"/>
        <w:jc w:val="left"/>
        <w:rPr>
          <w:sz w:val="28"/>
        </w:rPr>
      </w:pPr>
      <w:r>
        <w:rPr>
          <w:sz w:val="28"/>
        </w:rPr>
        <w:t>一肢（含）以上肢体肌力2级（含）以下；</w:t>
      </w:r>
    </w:p>
    <w:p>
      <w:pPr>
        <w:pStyle w:val="BodyText"/>
        <w:spacing w:before="9"/>
        <w:rPr>
          <w:sz w:val="20"/>
        </w:rPr>
      </w:pPr>
    </w:p>
    <w:p>
      <w:pPr>
        <w:pStyle w:val="ListParagraph"/>
        <w:numPr>
          <w:ilvl w:val="0"/>
          <w:numId w:val="10"/>
        </w:numPr>
        <w:tabs>
          <w:tab w:pos="1199" w:val="left" w:leader="none"/>
        </w:tabs>
        <w:spacing w:line="240" w:lineRule="auto" w:before="0" w:after="0"/>
        <w:ind w:left="1199" w:right="0" w:hanging="421"/>
        <w:jc w:val="left"/>
        <w:rPr>
          <w:sz w:val="28"/>
        </w:rPr>
      </w:pPr>
      <w:r>
        <w:rPr>
          <w:spacing w:val="-1"/>
          <w:sz w:val="28"/>
        </w:rPr>
        <w:t>语言能力完全丧失，或严重咀嚼吞咽功能障碍；</w:t>
      </w:r>
    </w:p>
    <w:p>
      <w:pPr>
        <w:pStyle w:val="BodyText"/>
        <w:spacing w:before="9"/>
        <w:rPr>
          <w:sz w:val="20"/>
        </w:rPr>
      </w:pPr>
    </w:p>
    <w:p>
      <w:pPr>
        <w:pStyle w:val="ListParagraph"/>
        <w:numPr>
          <w:ilvl w:val="0"/>
          <w:numId w:val="10"/>
        </w:numPr>
        <w:tabs>
          <w:tab w:pos="1199" w:val="left" w:leader="none"/>
        </w:tabs>
        <w:spacing w:line="417" w:lineRule="auto" w:before="0" w:after="0"/>
        <w:ind w:left="218" w:right="397" w:firstLine="559"/>
        <w:jc w:val="left"/>
        <w:rPr>
          <w:sz w:val="28"/>
        </w:rPr>
      </w:pPr>
      <w:r>
        <w:rPr>
          <w:spacing w:val="-1"/>
          <w:sz w:val="28"/>
        </w:rPr>
        <w:t>自主生活能力完全丧失，无法独立完成六项基本日常生活活动中的</w:t>
      </w:r>
      <w:r>
        <w:rPr>
          <w:sz w:val="28"/>
        </w:rPr>
        <w:t>三项或三项以上。</w:t>
      </w:r>
    </w:p>
    <w:p>
      <w:pPr>
        <w:spacing w:line="358" w:lineRule="exact" w:before="0"/>
        <w:ind w:left="778" w:right="0" w:firstLine="0"/>
        <w:jc w:val="left"/>
        <w:rPr>
          <w:b/>
          <w:sz w:val="28"/>
        </w:rPr>
      </w:pPr>
      <w:r>
        <w:rPr>
          <w:sz w:val="28"/>
        </w:rPr>
        <w:t>（十九）严重原发性帕金森病</w:t>
      </w:r>
      <w:r>
        <w:rPr>
          <w:b/>
          <w:sz w:val="28"/>
        </w:rPr>
        <w:t>（保障至60周岁届满之日止）</w:t>
      </w:r>
    </w:p>
    <w:p>
      <w:pPr>
        <w:pStyle w:val="BodyText"/>
        <w:spacing w:before="9"/>
        <w:rPr>
          <w:b/>
          <w:sz w:val="20"/>
        </w:rPr>
      </w:pPr>
    </w:p>
    <w:p>
      <w:pPr>
        <w:pStyle w:val="BodyText"/>
        <w:spacing w:line="417" w:lineRule="auto"/>
        <w:ind w:left="218" w:right="504" w:firstLine="559"/>
        <w:jc w:val="both"/>
      </w:pPr>
      <w:r>
        <w:rPr/>
        <w:t>是一种中枢神经系统的退行性疾病，临床表现为运动迟缓、静止性震颤或肌强直等，经相关专科医生确诊，且须满足自主生活能力完全丧失，</w:t>
      </w:r>
      <w:r>
        <w:rPr>
          <w:spacing w:val="-138"/>
        </w:rPr>
        <w:t> </w:t>
      </w:r>
      <w:r>
        <w:rPr/>
        <w:t>无法独立完成六项基本日常生活活动中的三项或三项以上。</w:t>
      </w:r>
    </w:p>
    <w:p>
      <w:pPr>
        <w:spacing w:line="358" w:lineRule="exact" w:before="0"/>
        <w:ind w:left="780" w:right="0" w:firstLine="0"/>
        <w:jc w:val="left"/>
        <w:rPr>
          <w:b/>
          <w:sz w:val="28"/>
        </w:rPr>
      </w:pPr>
      <w:r>
        <w:rPr>
          <w:b/>
          <w:w w:val="95"/>
          <w:sz w:val="28"/>
        </w:rPr>
        <w:t>继发性帕金森综合征、帕金森叠加综合征不在保障范围内。</w:t>
      </w:r>
    </w:p>
    <w:p>
      <w:pPr>
        <w:pStyle w:val="BodyText"/>
        <w:spacing w:before="9"/>
        <w:rPr>
          <w:b/>
          <w:sz w:val="20"/>
        </w:rPr>
      </w:pPr>
    </w:p>
    <w:p>
      <w:pPr>
        <w:pStyle w:val="BodyText"/>
        <w:ind w:left="778"/>
      </w:pPr>
      <w:r>
        <w:rPr/>
        <w:t>（二十）严重Ⅲ度烧伤</w:t>
      </w:r>
    </w:p>
    <w:p>
      <w:pPr>
        <w:pStyle w:val="BodyText"/>
        <w:spacing w:before="9"/>
        <w:rPr>
          <w:sz w:val="20"/>
        </w:rPr>
      </w:pPr>
    </w:p>
    <w:p>
      <w:pPr>
        <w:pStyle w:val="BodyText"/>
        <w:spacing w:line="417" w:lineRule="auto"/>
        <w:ind w:left="218" w:right="506" w:firstLine="559"/>
      </w:pPr>
      <w:r>
        <w:rPr/>
        <w:t>指烧伤程度为Ⅲ度。且Ⅲ度烧伤的面积达到全身体表面积的20%或20%</w:t>
      </w:r>
      <w:r>
        <w:rPr>
          <w:spacing w:val="-137"/>
        </w:rPr>
        <w:t> </w:t>
      </w:r>
      <w:r>
        <w:rPr/>
        <w:t>以上。体表面积根据《中国新九分法》计算。</w:t>
      </w:r>
    </w:p>
    <w:p>
      <w:pPr>
        <w:pStyle w:val="BodyText"/>
        <w:ind w:left="778"/>
      </w:pPr>
      <w:r>
        <w:rPr/>
        <w:t>（二十一）严重特发性肺动脉高压</w:t>
      </w:r>
    </w:p>
    <w:p>
      <w:pPr>
        <w:pStyle w:val="BodyText"/>
        <w:spacing w:before="9"/>
        <w:rPr>
          <w:sz w:val="20"/>
        </w:rPr>
      </w:pPr>
    </w:p>
    <w:p>
      <w:pPr>
        <w:pStyle w:val="BodyText"/>
        <w:spacing w:line="417" w:lineRule="auto"/>
        <w:ind w:left="218" w:right="257" w:firstLine="559"/>
      </w:pPr>
      <w:r>
        <w:rPr>
          <w:spacing w:val="-2"/>
        </w:rPr>
        <w:t>指不明原因的肺动脉压力持续性增高，进行性发展而导致的慢性疾病，</w:t>
      </w:r>
      <w:r>
        <w:rPr>
          <w:spacing w:val="-137"/>
        </w:rPr>
        <w:t> </w:t>
      </w:r>
      <w:r>
        <w:rPr/>
        <w:t>已经造成永久不可逆性的体力活动能力受限，达到美国纽约心脏病学会</w:t>
      </w:r>
    </w:p>
    <w:p>
      <w:pPr>
        <w:pStyle w:val="BodyText"/>
        <w:spacing w:line="417" w:lineRule="auto"/>
        <w:ind w:left="218" w:right="500"/>
      </w:pPr>
      <w:r>
        <w:rPr/>
        <w:t>（New</w:t>
      </w:r>
      <w:r>
        <w:rPr>
          <w:spacing w:val="-7"/>
        </w:rPr>
        <w:t> </w:t>
      </w:r>
      <w:r>
        <w:rPr/>
        <w:t>York</w:t>
      </w:r>
      <w:r>
        <w:rPr>
          <w:spacing w:val="-4"/>
        </w:rPr>
        <w:t> </w:t>
      </w:r>
      <w:r>
        <w:rPr/>
        <w:t>Heart</w:t>
      </w:r>
      <w:r>
        <w:rPr>
          <w:spacing w:val="-4"/>
        </w:rPr>
        <w:t> </w:t>
      </w:r>
      <w:r>
        <w:rPr/>
        <w:t>Association</w:t>
      </w:r>
      <w:r>
        <w:rPr>
          <w:spacing w:val="-2"/>
        </w:rPr>
        <w:t>, </w:t>
      </w:r>
      <w:r>
        <w:rPr/>
        <w:t>NYHA）心功能状态分级IV级，且静息状态下肺动脉平均压在36mmHg（含）以上。</w:t>
      </w:r>
    </w:p>
    <w:p>
      <w:pPr>
        <w:spacing w:before="0"/>
        <w:ind w:left="778" w:right="0" w:firstLine="0"/>
        <w:jc w:val="left"/>
        <w:rPr>
          <w:b/>
          <w:sz w:val="28"/>
        </w:rPr>
      </w:pPr>
      <w:r>
        <w:rPr>
          <w:sz w:val="28"/>
        </w:rPr>
        <w:t>（二十二）严重运动神经元病</w:t>
      </w:r>
      <w:r>
        <w:rPr>
          <w:b/>
          <w:sz w:val="28"/>
        </w:rPr>
        <w:t>（保障至60周岁届满之日止）</w:t>
      </w:r>
    </w:p>
    <w:p>
      <w:pPr>
        <w:pStyle w:val="BodyText"/>
        <w:spacing w:before="9"/>
        <w:rPr>
          <w:b/>
          <w:sz w:val="20"/>
        </w:rPr>
      </w:pPr>
    </w:p>
    <w:p>
      <w:pPr>
        <w:pStyle w:val="BodyText"/>
        <w:spacing w:line="417" w:lineRule="auto"/>
        <w:ind w:left="218" w:right="504" w:firstLine="559"/>
      </w:pPr>
      <w:r>
        <w:rPr/>
        <w:t>是一组中枢神经系统运动神经元的进行性变性疾病，包括进行性脊肌萎缩症、进行性延髓麻痹症、原发性侧索硬化症、肌萎缩性侧索硬化症，</w:t>
      </w:r>
    </w:p>
    <w:p>
      <w:pPr>
        <w:spacing w:after="0" w:line="417" w:lineRule="auto"/>
        <w:sectPr>
          <w:pgSz w:w="11910" w:h="16840"/>
          <w:pgMar w:header="0" w:footer="1195" w:top="1440" w:bottom="1380" w:left="1200" w:right="1020"/>
        </w:sectPr>
      </w:pPr>
    </w:p>
    <w:p>
      <w:pPr>
        <w:pStyle w:val="BodyText"/>
        <w:spacing w:line="417" w:lineRule="auto" w:before="35"/>
        <w:ind w:left="778" w:right="3012" w:hanging="560"/>
      </w:pPr>
      <w:r>
        <w:rPr/>
        <w:t>经相关专科医生确诊，且须满足下列至少一项条件：</w:t>
      </w:r>
      <w:r>
        <w:rPr>
          <w:spacing w:val="-137"/>
        </w:rPr>
        <w:t> </w:t>
      </w:r>
      <w:r>
        <w:rPr/>
        <w:t>1.严重咀嚼吞咽功能障碍；</w:t>
      </w:r>
    </w:p>
    <w:p>
      <w:pPr>
        <w:pStyle w:val="ListParagraph"/>
        <w:numPr>
          <w:ilvl w:val="0"/>
          <w:numId w:val="11"/>
        </w:numPr>
        <w:tabs>
          <w:tab w:pos="1062" w:val="left" w:leader="none"/>
        </w:tabs>
        <w:spacing w:line="417" w:lineRule="auto" w:before="0" w:after="0"/>
        <w:ind w:left="218" w:right="395" w:firstLine="559"/>
        <w:jc w:val="left"/>
        <w:rPr>
          <w:sz w:val="28"/>
        </w:rPr>
      </w:pPr>
      <w:r>
        <w:rPr>
          <w:spacing w:val="-1"/>
          <w:sz w:val="28"/>
        </w:rPr>
        <w:t>呼吸肌麻痹导致严重呼吸困难，且已经持续使用呼吸机7天（含）以</w:t>
      </w:r>
      <w:r>
        <w:rPr>
          <w:sz w:val="28"/>
        </w:rPr>
        <w:t>上；</w:t>
      </w:r>
    </w:p>
    <w:p>
      <w:pPr>
        <w:pStyle w:val="ListParagraph"/>
        <w:numPr>
          <w:ilvl w:val="0"/>
          <w:numId w:val="11"/>
        </w:numPr>
        <w:tabs>
          <w:tab w:pos="1062" w:val="left" w:leader="none"/>
        </w:tabs>
        <w:spacing w:line="417" w:lineRule="auto" w:before="0" w:after="0"/>
        <w:ind w:left="218" w:right="507" w:firstLine="559"/>
        <w:jc w:val="left"/>
        <w:rPr>
          <w:sz w:val="28"/>
        </w:rPr>
      </w:pPr>
      <w:r>
        <w:rPr>
          <w:spacing w:val="-1"/>
          <w:sz w:val="28"/>
        </w:rPr>
        <w:t>自主生活能力完全丧失，无法独立完成六项基本日常生活活动中的</w:t>
      </w:r>
      <w:r>
        <w:rPr>
          <w:sz w:val="28"/>
        </w:rPr>
        <w:t>三项或三项以上的条件。</w:t>
      </w:r>
    </w:p>
    <w:p>
      <w:pPr>
        <w:spacing w:line="358" w:lineRule="exact" w:before="0"/>
        <w:ind w:left="778" w:right="0" w:firstLine="0"/>
        <w:jc w:val="left"/>
        <w:rPr>
          <w:b/>
          <w:sz w:val="28"/>
        </w:rPr>
      </w:pPr>
      <w:r>
        <w:rPr>
          <w:sz w:val="28"/>
        </w:rPr>
        <w:t>（二十三）语言能力丧失</w:t>
      </w:r>
      <w:r>
        <w:rPr>
          <w:b/>
          <w:sz w:val="28"/>
        </w:rPr>
        <w:t>（保障自12周岁届满之日始）</w:t>
      </w:r>
    </w:p>
    <w:p>
      <w:pPr>
        <w:pStyle w:val="BodyText"/>
        <w:spacing w:before="9"/>
        <w:rPr>
          <w:b/>
          <w:sz w:val="20"/>
        </w:rPr>
      </w:pPr>
    </w:p>
    <w:p>
      <w:pPr>
        <w:pStyle w:val="BodyText"/>
        <w:spacing w:line="417" w:lineRule="auto"/>
        <w:ind w:left="218" w:right="504" w:firstLine="559"/>
      </w:pPr>
      <w:r>
        <w:rPr/>
        <w:t>指因疾病或意外伤害导致语言能力完全丧失，经过积极治疗至少12个</w:t>
      </w:r>
      <w:r>
        <w:rPr>
          <w:w w:val="100"/>
        </w:rPr>
        <w:t>月（</w:t>
      </w:r>
      <w:r>
        <w:rPr>
          <w:spacing w:val="-3"/>
          <w:w w:val="100"/>
        </w:rPr>
        <w:t>声带完全切除不受此时间限制</w:t>
      </w:r>
      <w:r>
        <w:rPr>
          <w:spacing w:val="-140"/>
          <w:w w:val="100"/>
        </w:rPr>
        <w:t>）</w:t>
      </w:r>
      <w:r>
        <w:rPr>
          <w:spacing w:val="-3"/>
          <w:w w:val="100"/>
        </w:rPr>
        <w:t>，仍无法通过现有医疗手段恢复。</w:t>
      </w:r>
    </w:p>
    <w:p>
      <w:pPr>
        <w:spacing w:line="358" w:lineRule="exact" w:before="0"/>
        <w:ind w:left="780" w:right="0" w:firstLine="0"/>
        <w:jc w:val="left"/>
        <w:rPr>
          <w:b/>
          <w:sz w:val="28"/>
        </w:rPr>
      </w:pPr>
      <w:r>
        <w:rPr>
          <w:b/>
          <w:w w:val="95"/>
          <w:sz w:val="28"/>
        </w:rPr>
        <w:t>精神心理因素所致的语言能力丧失不在保障范围内。</w:t>
      </w:r>
    </w:p>
    <w:p>
      <w:pPr>
        <w:pStyle w:val="BodyText"/>
        <w:spacing w:before="9"/>
        <w:rPr>
          <w:b/>
          <w:sz w:val="20"/>
        </w:rPr>
      </w:pPr>
    </w:p>
    <w:p>
      <w:pPr>
        <w:pStyle w:val="BodyText"/>
        <w:ind w:left="778"/>
      </w:pPr>
      <w:r>
        <w:rPr>
          <w:spacing w:val="-1"/>
        </w:rPr>
        <w:t>（二十四</w:t>
      </w:r>
      <w:r>
        <w:rPr/>
        <w:t>）重型再生障碍性贫血</w:t>
      </w:r>
    </w:p>
    <w:p>
      <w:pPr>
        <w:pStyle w:val="BodyText"/>
        <w:spacing w:before="9"/>
        <w:rPr>
          <w:sz w:val="20"/>
        </w:rPr>
      </w:pPr>
    </w:p>
    <w:p>
      <w:pPr>
        <w:pStyle w:val="BodyText"/>
        <w:spacing w:line="417" w:lineRule="auto"/>
        <w:ind w:left="218" w:right="507" w:firstLine="559"/>
      </w:pPr>
      <w:r>
        <w:rPr>
          <w:spacing w:val="-1"/>
        </w:rPr>
        <w:t>指因骨髓造血功能慢性持续性衰竭导致的贫血、中性粒细胞减少及血</w:t>
      </w:r>
      <w:r>
        <w:rPr/>
        <w:t>小板减少，且须满足下列全部条件：</w:t>
      </w:r>
    </w:p>
    <w:p>
      <w:pPr>
        <w:pStyle w:val="ListParagraph"/>
        <w:numPr>
          <w:ilvl w:val="0"/>
          <w:numId w:val="12"/>
        </w:numPr>
        <w:tabs>
          <w:tab w:pos="1199" w:val="left" w:leader="none"/>
        </w:tabs>
        <w:spacing w:line="417" w:lineRule="auto" w:before="0" w:after="0"/>
        <w:ind w:left="218" w:right="394" w:firstLine="559"/>
        <w:jc w:val="left"/>
        <w:rPr>
          <w:sz w:val="28"/>
        </w:rPr>
      </w:pPr>
      <w:r>
        <w:rPr>
          <w:sz w:val="28"/>
        </w:rPr>
        <w:t>骨髓穿刺检查或骨髓活检结果支持诊断：骨髓细胞增生程度＜正常的25%；如≥正常的25%但＜50%，则残存的造血细胞应＜30%；</w:t>
      </w:r>
    </w:p>
    <w:p>
      <w:pPr>
        <w:pStyle w:val="ListParagraph"/>
        <w:numPr>
          <w:ilvl w:val="0"/>
          <w:numId w:val="12"/>
        </w:numPr>
        <w:tabs>
          <w:tab w:pos="1199" w:val="left" w:leader="none"/>
        </w:tabs>
        <w:spacing w:line="358" w:lineRule="exact" w:before="0" w:after="0"/>
        <w:ind w:left="1199" w:right="0" w:hanging="421"/>
        <w:jc w:val="left"/>
        <w:rPr>
          <w:sz w:val="28"/>
        </w:rPr>
      </w:pPr>
      <w:r>
        <w:rPr>
          <w:spacing w:val="-1"/>
          <w:sz w:val="28"/>
        </w:rPr>
        <w:t>外周血象须具备以下三项条件中的两项：</w:t>
      </w:r>
    </w:p>
    <w:p>
      <w:pPr>
        <w:pStyle w:val="BodyText"/>
        <w:spacing w:before="9"/>
        <w:rPr>
          <w:sz w:val="20"/>
        </w:rPr>
      </w:pPr>
    </w:p>
    <w:p>
      <w:pPr>
        <w:pStyle w:val="BodyText"/>
        <w:ind w:left="778"/>
      </w:pPr>
      <w:r>
        <w:rPr/>
        <w:t>（1）中性粒细胞绝对值＜0.5×10</w:t>
      </w:r>
      <w:r>
        <w:rPr>
          <w:position w:val="14"/>
          <w:sz w:val="14"/>
        </w:rPr>
        <w:t>9</w:t>
      </w:r>
      <w:r>
        <w:rPr/>
        <w:t>/L</w:t>
      </w:r>
      <w:r>
        <w:rPr>
          <w:spacing w:val="-2"/>
        </w:rPr>
        <w:t> ；</w:t>
      </w:r>
    </w:p>
    <w:p>
      <w:pPr>
        <w:pStyle w:val="BodyText"/>
        <w:spacing w:before="265"/>
        <w:ind w:left="778"/>
      </w:pPr>
      <w:r>
        <w:rPr/>
        <w:t>（2）网织红细胞计数＜20×10</w:t>
      </w:r>
      <w:r>
        <w:rPr>
          <w:position w:val="14"/>
          <w:sz w:val="14"/>
        </w:rPr>
        <w:t>9</w:t>
      </w:r>
      <w:r>
        <w:rPr/>
        <w:t>/L；</w:t>
      </w:r>
    </w:p>
    <w:p>
      <w:pPr>
        <w:pStyle w:val="BodyText"/>
        <w:spacing w:before="265"/>
        <w:ind w:left="778"/>
      </w:pPr>
      <w:r>
        <w:rPr/>
        <w:t>（3）血小板绝对值＜20×10</w:t>
      </w:r>
      <w:r>
        <w:rPr>
          <w:position w:val="14"/>
          <w:sz w:val="14"/>
        </w:rPr>
        <w:t>9</w:t>
      </w:r>
      <w:r>
        <w:rPr/>
        <w:t>/L。</w:t>
      </w:r>
    </w:p>
    <w:p>
      <w:pPr>
        <w:pStyle w:val="BodyText"/>
        <w:spacing w:before="266"/>
        <w:ind w:left="778"/>
      </w:pPr>
      <w:r>
        <w:rPr/>
        <w:t>（二十五）主动脉手术</w:t>
      </w:r>
    </w:p>
    <w:p>
      <w:pPr>
        <w:pStyle w:val="BodyText"/>
        <w:spacing w:before="9"/>
        <w:rPr>
          <w:sz w:val="20"/>
        </w:rPr>
      </w:pPr>
    </w:p>
    <w:p>
      <w:pPr>
        <w:pStyle w:val="BodyText"/>
        <w:spacing w:line="417" w:lineRule="auto"/>
        <w:ind w:left="218" w:right="505" w:firstLine="559"/>
      </w:pPr>
      <w:r>
        <w:rPr/>
        <w:t>指为治疗主动脉疾病或主动脉创伤，已经实施了开胸（含胸腔镜下）</w:t>
      </w:r>
      <w:r>
        <w:rPr>
          <w:spacing w:val="-137"/>
        </w:rPr>
        <w:t> </w:t>
      </w:r>
      <w:r>
        <w:rPr/>
        <w:t>或开腹（含腹腔镜下）进行的切除、置换、修补病损主动脉血管、主动脉</w:t>
      </w:r>
    </w:p>
    <w:p>
      <w:pPr>
        <w:spacing w:after="0" w:line="417" w:lineRule="auto"/>
        <w:sectPr>
          <w:pgSz w:w="11910" w:h="16840"/>
          <w:pgMar w:header="0" w:footer="1195" w:top="1440" w:bottom="1380" w:left="1200" w:right="1020"/>
        </w:sectPr>
      </w:pPr>
    </w:p>
    <w:p>
      <w:pPr>
        <w:spacing w:line="417" w:lineRule="auto" w:before="35"/>
        <w:ind w:left="218" w:right="506" w:firstLine="0"/>
        <w:jc w:val="left"/>
        <w:rPr>
          <w:b/>
          <w:sz w:val="28"/>
        </w:rPr>
      </w:pPr>
      <w:r>
        <w:rPr>
          <w:spacing w:val="-1"/>
          <w:sz w:val="28"/>
        </w:rPr>
        <w:t>创伤后修复的手术。主动脉指升主动脉、主动脉弓和降主动脉</w:t>
      </w:r>
      <w:r>
        <w:rPr>
          <w:sz w:val="28"/>
        </w:rPr>
        <w:t>（含胸主动</w:t>
      </w:r>
      <w:r>
        <w:rPr>
          <w:spacing w:val="-2"/>
          <w:w w:val="100"/>
          <w:sz w:val="28"/>
        </w:rPr>
        <w:t>脉和腹主动脉</w:t>
      </w:r>
      <w:r>
        <w:rPr>
          <w:spacing w:val="-140"/>
          <w:w w:val="100"/>
          <w:sz w:val="28"/>
        </w:rPr>
        <w:t>）</w:t>
      </w:r>
      <w:r>
        <w:rPr>
          <w:spacing w:val="-3"/>
          <w:w w:val="100"/>
          <w:sz w:val="28"/>
        </w:rPr>
        <w:t>，</w:t>
      </w:r>
      <w:r>
        <w:rPr>
          <w:b/>
          <w:w w:val="99"/>
          <w:sz w:val="28"/>
        </w:rPr>
        <w:t>不包括升主动脉、主动脉弓和降主动脉的分支血管。</w:t>
      </w:r>
    </w:p>
    <w:p>
      <w:pPr>
        <w:spacing w:before="0"/>
        <w:ind w:left="780" w:right="0" w:firstLine="0"/>
        <w:jc w:val="left"/>
        <w:rPr>
          <w:b/>
          <w:sz w:val="28"/>
        </w:rPr>
      </w:pPr>
      <w:r>
        <w:rPr>
          <w:b/>
          <w:w w:val="95"/>
          <w:sz w:val="28"/>
        </w:rPr>
        <w:t>所有未实施开胸或开腹的动脉内介入治疗不在保障范围内。</w:t>
      </w:r>
    </w:p>
    <w:p>
      <w:pPr>
        <w:pStyle w:val="BodyText"/>
        <w:spacing w:before="9"/>
        <w:rPr>
          <w:b/>
          <w:sz w:val="20"/>
        </w:rPr>
      </w:pPr>
    </w:p>
    <w:p>
      <w:pPr>
        <w:pStyle w:val="BodyText"/>
        <w:ind w:left="778"/>
      </w:pPr>
      <w:r>
        <w:rPr/>
        <w:t>（二十六）严重慢性呼吸衰竭</w:t>
      </w:r>
    </w:p>
    <w:p>
      <w:pPr>
        <w:pStyle w:val="BodyText"/>
        <w:spacing w:before="9"/>
        <w:rPr>
          <w:sz w:val="20"/>
        </w:rPr>
      </w:pPr>
    </w:p>
    <w:p>
      <w:pPr>
        <w:pStyle w:val="BodyText"/>
        <w:spacing w:line="417" w:lineRule="auto"/>
        <w:ind w:left="218" w:right="507" w:firstLine="559"/>
      </w:pPr>
      <w:r>
        <w:rPr>
          <w:spacing w:val="-1"/>
        </w:rPr>
        <w:t>指因慢性呼吸系统疾病导致永久不可逆性的呼吸衰竭，经过积极治疗</w:t>
      </w:r>
      <w:r>
        <w:rPr/>
        <w:t>180天后满足以下所有条件：</w:t>
      </w:r>
    </w:p>
    <w:p>
      <w:pPr>
        <w:pStyle w:val="ListParagraph"/>
        <w:numPr>
          <w:ilvl w:val="0"/>
          <w:numId w:val="13"/>
        </w:numPr>
        <w:tabs>
          <w:tab w:pos="1062" w:val="left" w:leader="none"/>
        </w:tabs>
        <w:spacing w:line="358" w:lineRule="exact" w:before="0" w:after="0"/>
        <w:ind w:left="1061" w:right="0" w:hanging="284"/>
        <w:jc w:val="left"/>
        <w:rPr>
          <w:sz w:val="28"/>
        </w:rPr>
      </w:pPr>
      <w:r>
        <w:rPr>
          <w:spacing w:val="-1"/>
          <w:sz w:val="28"/>
        </w:rPr>
        <w:t>静息时出现呼吸困难；</w:t>
      </w:r>
    </w:p>
    <w:p>
      <w:pPr>
        <w:pStyle w:val="BodyText"/>
        <w:spacing w:before="9"/>
        <w:rPr>
          <w:sz w:val="20"/>
        </w:rPr>
      </w:pPr>
    </w:p>
    <w:p>
      <w:pPr>
        <w:pStyle w:val="ListParagraph"/>
        <w:numPr>
          <w:ilvl w:val="0"/>
          <w:numId w:val="13"/>
        </w:numPr>
        <w:tabs>
          <w:tab w:pos="1062" w:val="left" w:leader="none"/>
        </w:tabs>
        <w:spacing w:line="240" w:lineRule="auto" w:before="0" w:after="0"/>
        <w:ind w:left="1061" w:right="0" w:hanging="284"/>
        <w:jc w:val="left"/>
        <w:rPr>
          <w:sz w:val="28"/>
        </w:rPr>
      </w:pPr>
      <w:r>
        <w:rPr>
          <w:spacing w:val="-1"/>
          <w:sz w:val="28"/>
        </w:rPr>
        <w:t>肺功能第一秒用力呼气容积</w:t>
      </w:r>
      <w:r>
        <w:rPr>
          <w:sz w:val="28"/>
        </w:rPr>
        <w:t>（FEV</w:t>
      </w:r>
      <w:r>
        <w:rPr>
          <w:rFonts w:ascii="Calibri" w:eastAsia="Calibri"/>
          <w:sz w:val="15"/>
        </w:rPr>
        <w:t>1</w:t>
      </w:r>
      <w:r>
        <w:rPr>
          <w:sz w:val="28"/>
        </w:rPr>
        <w:t>）占预计值的百分比＜30%；</w:t>
      </w:r>
    </w:p>
    <w:p>
      <w:pPr>
        <w:pStyle w:val="BodyText"/>
        <w:spacing w:before="9"/>
        <w:rPr>
          <w:sz w:val="20"/>
        </w:rPr>
      </w:pPr>
    </w:p>
    <w:p>
      <w:pPr>
        <w:pStyle w:val="ListParagraph"/>
        <w:numPr>
          <w:ilvl w:val="0"/>
          <w:numId w:val="13"/>
        </w:numPr>
        <w:tabs>
          <w:tab w:pos="1062" w:val="left" w:leader="none"/>
        </w:tabs>
        <w:spacing w:line="240" w:lineRule="auto" w:before="0" w:after="0"/>
        <w:ind w:left="1061" w:right="0" w:hanging="284"/>
        <w:jc w:val="left"/>
        <w:rPr>
          <w:sz w:val="28"/>
        </w:rPr>
      </w:pPr>
      <w:r>
        <w:rPr>
          <w:spacing w:val="-1"/>
          <w:sz w:val="28"/>
        </w:rPr>
        <w:t>在静息状态、呼吸空气条件下，动脉血氧分压</w:t>
      </w:r>
      <w:r>
        <w:rPr>
          <w:sz w:val="28"/>
        </w:rPr>
        <w:t>（PaO</w:t>
      </w:r>
      <w:r>
        <w:rPr>
          <w:rFonts w:ascii="Calibri" w:eastAsia="Calibri"/>
          <w:sz w:val="15"/>
        </w:rPr>
        <w:t>2</w:t>
      </w:r>
      <w:r>
        <w:rPr>
          <w:sz w:val="28"/>
        </w:rPr>
        <w:t>）＜50mmHg。</w:t>
      </w:r>
    </w:p>
    <w:p>
      <w:pPr>
        <w:pStyle w:val="BodyText"/>
        <w:spacing w:before="9"/>
        <w:rPr>
          <w:sz w:val="20"/>
        </w:rPr>
      </w:pPr>
    </w:p>
    <w:p>
      <w:pPr>
        <w:pStyle w:val="BodyText"/>
        <w:ind w:left="778"/>
      </w:pPr>
      <w:r>
        <w:rPr/>
        <w:t>（二十七）严重克罗恩病</w:t>
      </w:r>
    </w:p>
    <w:p>
      <w:pPr>
        <w:pStyle w:val="BodyText"/>
        <w:spacing w:before="9"/>
        <w:rPr>
          <w:sz w:val="20"/>
        </w:rPr>
      </w:pPr>
    </w:p>
    <w:p>
      <w:pPr>
        <w:pStyle w:val="BodyText"/>
        <w:spacing w:line="417" w:lineRule="auto"/>
        <w:ind w:left="218" w:right="392" w:firstLine="559"/>
      </w:pPr>
      <w:r>
        <w:rPr>
          <w:spacing w:val="-1"/>
        </w:rPr>
        <w:t>指一种慢性肉芽肿性肠炎，具有特征性的克罗恩病（Crohn</w:t>
      </w:r>
      <w:r>
        <w:rPr/>
        <w:t>病）病理组织学变化，须根据组织病理学特点诊断，且已经造成瘘管形成并伴有肠梗阻或肠穿孔。</w:t>
      </w:r>
    </w:p>
    <w:p>
      <w:pPr>
        <w:pStyle w:val="BodyText"/>
        <w:spacing w:line="358" w:lineRule="exact"/>
        <w:ind w:left="778"/>
      </w:pPr>
      <w:r>
        <w:rPr/>
        <w:t>（二十八）严重溃疡性结肠炎</w:t>
      </w:r>
    </w:p>
    <w:p>
      <w:pPr>
        <w:pStyle w:val="BodyText"/>
        <w:spacing w:before="9"/>
        <w:rPr>
          <w:sz w:val="20"/>
        </w:rPr>
      </w:pPr>
    </w:p>
    <w:p>
      <w:pPr>
        <w:pStyle w:val="BodyText"/>
        <w:spacing w:line="417" w:lineRule="auto"/>
        <w:ind w:left="218" w:right="507" w:firstLine="559"/>
        <w:jc w:val="both"/>
      </w:pPr>
      <w:r>
        <w:rPr>
          <w:spacing w:val="-1"/>
        </w:rPr>
        <w:t>指伴有致命性电解质紊乱的急性暴发性溃疡性结肠炎，病变已经累及全结肠，表现为严重的血便和系统性症状体征，须根据组织病理学特点诊</w:t>
      </w:r>
      <w:r>
        <w:rPr/>
        <w:t>断，且已经实施了结肠切除或回肠造瘘术。</w:t>
      </w:r>
    </w:p>
    <w:p>
      <w:pPr>
        <w:spacing w:line="358" w:lineRule="exact" w:before="0"/>
        <w:ind w:left="780" w:right="0" w:firstLine="0"/>
        <w:jc w:val="left"/>
        <w:rPr>
          <w:b/>
          <w:sz w:val="28"/>
        </w:rPr>
      </w:pPr>
      <w:r>
        <w:rPr>
          <w:b/>
          <w:sz w:val="28"/>
        </w:rPr>
        <w:t>轻度疾病：指以下第（二十九）至（三十一）项的疾病</w:t>
      </w:r>
    </w:p>
    <w:p>
      <w:pPr>
        <w:pStyle w:val="BodyText"/>
        <w:spacing w:before="9"/>
        <w:rPr>
          <w:b/>
          <w:sz w:val="20"/>
        </w:rPr>
      </w:pPr>
    </w:p>
    <w:p>
      <w:pPr>
        <w:pStyle w:val="BodyText"/>
        <w:ind w:left="638"/>
      </w:pPr>
      <w:r>
        <w:rPr/>
        <w:t>（二十九）恶性肿瘤——轻度</w:t>
      </w:r>
    </w:p>
    <w:p>
      <w:pPr>
        <w:pStyle w:val="BodyText"/>
        <w:spacing w:before="10"/>
        <w:rPr>
          <w:sz w:val="20"/>
        </w:rPr>
      </w:pPr>
    </w:p>
    <w:p>
      <w:pPr>
        <w:pStyle w:val="BodyText"/>
        <w:spacing w:line="417" w:lineRule="auto"/>
        <w:ind w:left="218" w:right="257" w:firstLine="559"/>
      </w:pPr>
      <w:r>
        <w:rPr>
          <w:spacing w:val="-2"/>
        </w:rPr>
        <w:t>指恶性细胞不受控制的进行性增长和扩散，浸润和破坏周围正常组织，</w:t>
      </w:r>
      <w:r>
        <w:rPr>
          <w:spacing w:val="-137"/>
        </w:rPr>
        <w:t> </w:t>
      </w:r>
      <w:r>
        <w:rPr/>
        <w:t>可以经血管、淋巴管和体腔扩散转移到身体其他部位，病灶经组织病理学检查（涵盖骨髓病理学检查）结果明确诊断，临床诊断属于世界卫生组织</w:t>
      </w:r>
    </w:p>
    <w:p>
      <w:pPr>
        <w:spacing w:after="0" w:line="417" w:lineRule="auto"/>
        <w:sectPr>
          <w:pgSz w:w="11910" w:h="16840"/>
          <w:pgMar w:header="0" w:footer="1195" w:top="1440" w:bottom="1380" w:left="1200" w:right="1020"/>
        </w:sectPr>
      </w:pPr>
    </w:p>
    <w:p>
      <w:pPr>
        <w:pStyle w:val="BodyText"/>
        <w:spacing w:line="417" w:lineRule="auto" w:before="35"/>
        <w:ind w:left="218" w:right="392"/>
      </w:pPr>
      <w:r>
        <w:rPr>
          <w:w w:val="100"/>
        </w:rPr>
        <w:t>（</w:t>
      </w:r>
      <w:r>
        <w:rPr>
          <w:spacing w:val="-2"/>
          <w:w w:val="100"/>
        </w:rPr>
        <w:t>W</w:t>
      </w:r>
      <w:r>
        <w:rPr>
          <w:w w:val="100"/>
        </w:rPr>
        <w:t>H</w:t>
      </w:r>
      <w:r>
        <w:rPr>
          <w:spacing w:val="-1"/>
          <w:w w:val="100"/>
        </w:rPr>
        <w:t>O</w:t>
      </w:r>
      <w:r>
        <w:rPr>
          <w:w w:val="100"/>
        </w:rPr>
        <w:t>，</w:t>
      </w:r>
      <w:r>
        <w:rPr>
          <w:spacing w:val="-2"/>
          <w:w w:val="100"/>
        </w:rPr>
        <w:t>Wo</w:t>
      </w:r>
      <w:r>
        <w:rPr>
          <w:w w:val="100"/>
        </w:rPr>
        <w:t>r</w:t>
      </w:r>
      <w:r>
        <w:rPr>
          <w:spacing w:val="-2"/>
          <w:w w:val="100"/>
        </w:rPr>
        <w:t>l</w:t>
      </w:r>
      <w:r>
        <w:rPr>
          <w:w w:val="100"/>
        </w:rPr>
        <w:t>d</w:t>
      </w:r>
      <w:r>
        <w:rPr>
          <w:spacing w:val="-17"/>
        </w:rPr>
        <w:t> </w:t>
      </w:r>
      <w:r>
        <w:rPr>
          <w:w w:val="100"/>
        </w:rPr>
        <w:t>H</w:t>
      </w:r>
      <w:r>
        <w:rPr>
          <w:spacing w:val="-2"/>
          <w:w w:val="100"/>
        </w:rPr>
        <w:t>eal</w:t>
      </w:r>
      <w:r>
        <w:rPr>
          <w:w w:val="100"/>
        </w:rPr>
        <w:t>th</w:t>
      </w:r>
      <w:r>
        <w:rPr>
          <w:spacing w:val="-16"/>
        </w:rPr>
        <w:t> </w:t>
      </w:r>
      <w:r>
        <w:rPr>
          <w:spacing w:val="-2"/>
          <w:w w:val="100"/>
        </w:rPr>
        <w:t>O</w:t>
      </w:r>
      <w:r>
        <w:rPr>
          <w:w w:val="100"/>
        </w:rPr>
        <w:t>r</w:t>
      </w:r>
      <w:r>
        <w:rPr>
          <w:spacing w:val="-2"/>
          <w:w w:val="100"/>
        </w:rPr>
        <w:t>ga</w:t>
      </w:r>
      <w:r>
        <w:rPr>
          <w:w w:val="100"/>
        </w:rPr>
        <w:t>n</w:t>
      </w:r>
      <w:r>
        <w:rPr>
          <w:spacing w:val="-2"/>
          <w:w w:val="100"/>
        </w:rPr>
        <w:t>iz</w:t>
      </w:r>
      <w:r>
        <w:rPr>
          <w:w w:val="100"/>
        </w:rPr>
        <w:t>a</w:t>
      </w:r>
      <w:r>
        <w:rPr>
          <w:spacing w:val="-2"/>
          <w:w w:val="100"/>
        </w:rPr>
        <w:t>ti</w:t>
      </w:r>
      <w:r>
        <w:rPr>
          <w:w w:val="100"/>
        </w:rPr>
        <w:t>o</w:t>
      </w:r>
      <w:r>
        <w:rPr>
          <w:spacing w:val="-1"/>
          <w:w w:val="100"/>
        </w:rPr>
        <w:t>n</w:t>
      </w:r>
      <w:r>
        <w:rPr>
          <w:spacing w:val="-142"/>
          <w:w w:val="100"/>
        </w:rPr>
        <w:t>）</w:t>
      </w:r>
      <w:r>
        <w:rPr>
          <w:spacing w:val="-3"/>
          <w:w w:val="100"/>
        </w:rPr>
        <w:t>《疾病和有关健康问题的国际统计分</w:t>
      </w:r>
      <w:r>
        <w:rPr/>
        <w:t>类》第十次修订版（ICD-10）的恶性肿瘤类别及《国际疾病分类肿瘤学专</w:t>
      </w:r>
      <w:r>
        <w:rPr>
          <w:spacing w:val="-11"/>
        </w:rPr>
        <w:t>辑》第三版</w:t>
      </w:r>
      <w:r>
        <w:rPr>
          <w:spacing w:val="-4"/>
        </w:rPr>
        <w:t>（ICD-O-3）</w:t>
      </w:r>
      <w:r>
        <w:rPr>
          <w:spacing w:val="-3"/>
        </w:rPr>
        <w:t>的肿瘤形态学编码属于</w:t>
      </w:r>
      <w:r>
        <w:rPr>
          <w:spacing w:val="-2"/>
        </w:rPr>
        <w:t>3</w:t>
      </w:r>
      <w:r>
        <w:rPr>
          <w:spacing w:val="-24"/>
        </w:rPr>
        <w:t>、</w:t>
      </w:r>
      <w:r>
        <w:rPr>
          <w:spacing w:val="-4"/>
        </w:rPr>
        <w:t>6</w:t>
      </w:r>
      <w:r>
        <w:rPr>
          <w:spacing w:val="-24"/>
        </w:rPr>
        <w:t>、</w:t>
      </w:r>
      <w:r>
        <w:rPr>
          <w:spacing w:val="-15"/>
        </w:rPr>
        <w:t>9（</w:t>
      </w:r>
      <w:r>
        <w:rPr>
          <w:spacing w:val="-1"/>
        </w:rPr>
        <w:t>恶性肿瘤</w:t>
      </w:r>
      <w:r>
        <w:rPr>
          <w:spacing w:val="-24"/>
        </w:rPr>
        <w:t>）</w:t>
      </w:r>
      <w:r>
        <w:rPr>
          <w:spacing w:val="-2"/>
        </w:rPr>
        <w:t>范畴，</w:t>
      </w:r>
      <w:r>
        <w:rPr>
          <w:spacing w:val="-137"/>
        </w:rPr>
        <w:t> </w:t>
      </w:r>
      <w:r>
        <w:rPr/>
        <w:t>但不在“恶性肿瘤——重度”保障范围的疾病。且特指下列六项之一：</w:t>
      </w:r>
    </w:p>
    <w:p>
      <w:pPr>
        <w:pStyle w:val="ListParagraph"/>
        <w:numPr>
          <w:ilvl w:val="0"/>
          <w:numId w:val="14"/>
        </w:numPr>
        <w:tabs>
          <w:tab w:pos="1341" w:val="left" w:leader="none"/>
        </w:tabs>
        <w:spacing w:line="358" w:lineRule="exact" w:before="0" w:after="0"/>
        <w:ind w:left="1340" w:right="0" w:hanging="703"/>
        <w:jc w:val="left"/>
        <w:rPr>
          <w:sz w:val="28"/>
        </w:rPr>
      </w:pPr>
      <w:r>
        <w:rPr>
          <w:sz w:val="28"/>
        </w:rPr>
        <w:t>TNM分期为Ⅰ期的甲状腺癌；</w:t>
      </w:r>
    </w:p>
    <w:p>
      <w:pPr>
        <w:pStyle w:val="BodyText"/>
        <w:spacing w:before="9"/>
        <w:rPr>
          <w:sz w:val="20"/>
        </w:rPr>
      </w:pPr>
    </w:p>
    <w:p>
      <w:pPr>
        <w:pStyle w:val="ListParagraph"/>
        <w:numPr>
          <w:ilvl w:val="0"/>
          <w:numId w:val="14"/>
        </w:numPr>
        <w:tabs>
          <w:tab w:pos="1341" w:val="left" w:leader="none"/>
        </w:tabs>
        <w:spacing w:line="240" w:lineRule="auto" w:before="0" w:after="0"/>
        <w:ind w:left="1340" w:right="0" w:hanging="703"/>
        <w:jc w:val="left"/>
        <w:rPr>
          <w:sz w:val="28"/>
        </w:rPr>
      </w:pPr>
      <w:r>
        <w:rPr>
          <w:sz w:val="28"/>
        </w:rPr>
        <w:t>TNM分期为T</w:t>
      </w:r>
      <w:r>
        <w:rPr>
          <w:sz w:val="18"/>
        </w:rPr>
        <w:t>1</w:t>
      </w:r>
      <w:r>
        <w:rPr>
          <w:sz w:val="28"/>
        </w:rPr>
        <w:t>N</w:t>
      </w:r>
      <w:r>
        <w:rPr>
          <w:sz w:val="18"/>
        </w:rPr>
        <w:t>0</w:t>
      </w:r>
      <w:r>
        <w:rPr>
          <w:sz w:val="28"/>
        </w:rPr>
        <w:t>M</w:t>
      </w:r>
      <w:r>
        <w:rPr>
          <w:sz w:val="18"/>
        </w:rPr>
        <w:t>0</w:t>
      </w:r>
      <w:r>
        <w:rPr>
          <w:sz w:val="28"/>
        </w:rPr>
        <w:t>期的前列腺癌；</w:t>
      </w:r>
    </w:p>
    <w:p>
      <w:pPr>
        <w:pStyle w:val="BodyText"/>
        <w:spacing w:before="9"/>
        <w:rPr>
          <w:sz w:val="20"/>
        </w:rPr>
      </w:pPr>
    </w:p>
    <w:p>
      <w:pPr>
        <w:pStyle w:val="ListParagraph"/>
        <w:numPr>
          <w:ilvl w:val="0"/>
          <w:numId w:val="14"/>
        </w:numPr>
        <w:tabs>
          <w:tab w:pos="1341" w:val="left" w:leader="none"/>
        </w:tabs>
        <w:spacing w:line="240" w:lineRule="auto" w:before="0" w:after="0"/>
        <w:ind w:left="1340" w:right="0" w:hanging="703"/>
        <w:jc w:val="left"/>
        <w:rPr>
          <w:sz w:val="28"/>
        </w:rPr>
      </w:pPr>
      <w:r>
        <w:rPr>
          <w:spacing w:val="-1"/>
          <w:sz w:val="28"/>
        </w:rPr>
        <w:t>黑色素瘤以外的未发生淋巴结和远处转移的皮肤恶性肿瘤；</w:t>
      </w:r>
    </w:p>
    <w:p>
      <w:pPr>
        <w:pStyle w:val="BodyText"/>
        <w:spacing w:before="9"/>
        <w:rPr>
          <w:sz w:val="20"/>
        </w:rPr>
      </w:pPr>
    </w:p>
    <w:p>
      <w:pPr>
        <w:pStyle w:val="ListParagraph"/>
        <w:numPr>
          <w:ilvl w:val="0"/>
          <w:numId w:val="14"/>
        </w:numPr>
        <w:tabs>
          <w:tab w:pos="1341" w:val="left" w:leader="none"/>
        </w:tabs>
        <w:spacing w:line="240" w:lineRule="auto" w:before="1" w:after="0"/>
        <w:ind w:left="1340" w:right="0" w:hanging="703"/>
        <w:jc w:val="left"/>
        <w:rPr>
          <w:sz w:val="28"/>
        </w:rPr>
      </w:pPr>
      <w:r>
        <w:rPr>
          <w:spacing w:val="-1"/>
          <w:sz w:val="28"/>
        </w:rPr>
        <w:t>相当于Binet</w:t>
      </w:r>
      <w:r>
        <w:rPr>
          <w:sz w:val="28"/>
        </w:rPr>
        <w:t>分期方案A期程度的慢性淋巴细胞白血病；</w:t>
      </w:r>
    </w:p>
    <w:p>
      <w:pPr>
        <w:pStyle w:val="BodyText"/>
        <w:spacing w:before="8"/>
        <w:rPr>
          <w:sz w:val="20"/>
        </w:rPr>
      </w:pPr>
    </w:p>
    <w:p>
      <w:pPr>
        <w:pStyle w:val="ListParagraph"/>
        <w:numPr>
          <w:ilvl w:val="0"/>
          <w:numId w:val="14"/>
        </w:numPr>
        <w:tabs>
          <w:tab w:pos="1341" w:val="left" w:leader="none"/>
        </w:tabs>
        <w:spacing w:line="240" w:lineRule="auto" w:before="0" w:after="0"/>
        <w:ind w:left="1340" w:right="0" w:hanging="703"/>
        <w:jc w:val="left"/>
        <w:rPr>
          <w:sz w:val="28"/>
        </w:rPr>
      </w:pPr>
      <w:r>
        <w:rPr>
          <w:sz w:val="28"/>
        </w:rPr>
        <w:t>相当于Ann</w:t>
      </w:r>
      <w:r>
        <w:rPr>
          <w:spacing w:val="-6"/>
          <w:sz w:val="28"/>
        </w:rPr>
        <w:t> </w:t>
      </w:r>
      <w:r>
        <w:rPr>
          <w:sz w:val="28"/>
        </w:rPr>
        <w:t>Arbor分期方案Ⅰ期程度的何杰金氏病；</w:t>
      </w:r>
    </w:p>
    <w:p>
      <w:pPr>
        <w:pStyle w:val="BodyText"/>
        <w:spacing w:before="9"/>
        <w:rPr>
          <w:sz w:val="20"/>
        </w:rPr>
      </w:pPr>
    </w:p>
    <w:p>
      <w:pPr>
        <w:pStyle w:val="ListParagraph"/>
        <w:numPr>
          <w:ilvl w:val="0"/>
          <w:numId w:val="14"/>
        </w:numPr>
        <w:tabs>
          <w:tab w:pos="1341" w:val="left" w:leader="none"/>
        </w:tabs>
        <w:spacing w:line="417" w:lineRule="auto" w:before="0" w:after="0"/>
        <w:ind w:left="218" w:right="1200" w:firstLine="420"/>
        <w:jc w:val="left"/>
        <w:rPr>
          <w:sz w:val="28"/>
        </w:rPr>
      </w:pPr>
      <w:r>
        <w:rPr>
          <w:sz w:val="28"/>
        </w:rPr>
        <w:t>未发生淋巴结和远处转移且WHO分级为G1级别（核分裂像＜</w:t>
      </w:r>
      <w:r>
        <w:rPr>
          <w:spacing w:val="-137"/>
          <w:sz w:val="28"/>
        </w:rPr>
        <w:t> </w:t>
      </w:r>
      <w:r>
        <w:rPr>
          <w:sz w:val="28"/>
        </w:rPr>
        <w:t>10/50HPF和ki-67≤2%）的神经内分泌肿瘤。</w:t>
      </w:r>
    </w:p>
    <w:p>
      <w:pPr>
        <w:spacing w:line="358" w:lineRule="exact" w:before="0"/>
        <w:ind w:left="780" w:right="0" w:firstLine="0"/>
        <w:jc w:val="left"/>
        <w:rPr>
          <w:b/>
          <w:sz w:val="28"/>
        </w:rPr>
      </w:pPr>
      <w:r>
        <w:rPr>
          <w:b/>
          <w:w w:val="95"/>
          <w:sz w:val="28"/>
        </w:rPr>
        <w:t>下列疾病不属于“恶性肿瘤——轻度”，不在保障范围内：</w:t>
      </w:r>
    </w:p>
    <w:p>
      <w:pPr>
        <w:pStyle w:val="BodyText"/>
        <w:spacing w:before="9"/>
        <w:rPr>
          <w:b/>
          <w:sz w:val="20"/>
        </w:rPr>
      </w:pPr>
    </w:p>
    <w:p>
      <w:pPr>
        <w:spacing w:line="417" w:lineRule="auto" w:before="0"/>
        <w:ind w:left="218" w:right="257" w:firstLine="561"/>
        <w:jc w:val="left"/>
        <w:rPr>
          <w:b/>
          <w:sz w:val="28"/>
        </w:rPr>
      </w:pPr>
      <w:r>
        <w:rPr>
          <w:b/>
          <w:w w:val="95"/>
          <w:sz w:val="28"/>
        </w:rPr>
        <w:t>ICD-O-3肿瘤形态学编码属于0（良性肿瘤）、1（动态未定性肿瘤）、</w:t>
      </w:r>
      <w:r>
        <w:rPr>
          <w:b/>
          <w:spacing w:val="1"/>
          <w:w w:val="95"/>
          <w:sz w:val="28"/>
        </w:rPr>
        <w:t> </w:t>
      </w:r>
      <w:r>
        <w:rPr>
          <w:b/>
          <w:sz w:val="28"/>
        </w:rPr>
        <w:t>2（原位癌和非侵袭性癌）范畴的疾病，如：</w:t>
      </w:r>
    </w:p>
    <w:p>
      <w:pPr>
        <w:pStyle w:val="ListParagraph"/>
        <w:numPr>
          <w:ilvl w:val="1"/>
          <w:numId w:val="14"/>
        </w:numPr>
        <w:tabs>
          <w:tab w:pos="1206" w:val="left" w:leader="none"/>
        </w:tabs>
        <w:spacing w:line="417" w:lineRule="auto" w:before="0" w:after="0"/>
        <w:ind w:left="218" w:right="394" w:firstLine="703"/>
        <w:jc w:val="left"/>
        <w:rPr>
          <w:b/>
          <w:sz w:val="28"/>
        </w:rPr>
      </w:pPr>
      <w:r>
        <w:rPr>
          <w:b/>
          <w:spacing w:val="-3"/>
          <w:sz w:val="28"/>
        </w:rPr>
        <w:t>原位癌，癌前病变，非浸润性癌，非侵袭性癌，肿瘤细胞未侵犯基</w:t>
      </w:r>
      <w:r>
        <w:rPr>
          <w:b/>
          <w:sz w:val="28"/>
        </w:rPr>
        <w:t>底层，上皮内瘤变，细胞不典型性增生等；</w:t>
      </w:r>
    </w:p>
    <w:p>
      <w:pPr>
        <w:pStyle w:val="ListParagraph"/>
        <w:numPr>
          <w:ilvl w:val="1"/>
          <w:numId w:val="14"/>
        </w:numPr>
        <w:tabs>
          <w:tab w:pos="1206" w:val="left" w:leader="none"/>
        </w:tabs>
        <w:spacing w:line="417" w:lineRule="auto" w:before="0" w:after="0"/>
        <w:ind w:left="218" w:right="394" w:firstLine="703"/>
        <w:jc w:val="left"/>
        <w:rPr>
          <w:b/>
          <w:sz w:val="28"/>
        </w:rPr>
      </w:pPr>
      <w:r>
        <w:rPr>
          <w:b/>
          <w:spacing w:val="-3"/>
          <w:sz w:val="28"/>
        </w:rPr>
        <w:t>交界性肿瘤，交界恶性肿瘤，肿瘤低度恶性潜能，潜在低度恶性肿</w:t>
      </w:r>
      <w:r>
        <w:rPr>
          <w:b/>
          <w:sz w:val="28"/>
        </w:rPr>
        <w:t>瘤等。</w:t>
      </w:r>
    </w:p>
    <w:p>
      <w:pPr>
        <w:pStyle w:val="BodyText"/>
        <w:spacing w:line="358" w:lineRule="exact"/>
        <w:ind w:left="578"/>
      </w:pPr>
      <w:r>
        <w:rPr>
          <w:sz w:val="24"/>
        </w:rPr>
        <w:t>（</w:t>
      </w:r>
      <w:r>
        <w:rPr/>
        <w:t>三十</w:t>
      </w:r>
      <w:r>
        <w:rPr>
          <w:sz w:val="24"/>
        </w:rPr>
        <w:t>）</w:t>
      </w:r>
      <w:r>
        <w:rPr/>
        <w:t>较轻急性心肌梗死</w:t>
      </w:r>
    </w:p>
    <w:p>
      <w:pPr>
        <w:pStyle w:val="BodyText"/>
        <w:spacing w:before="9"/>
        <w:rPr>
          <w:sz w:val="20"/>
        </w:rPr>
      </w:pPr>
    </w:p>
    <w:p>
      <w:pPr>
        <w:pStyle w:val="BodyText"/>
        <w:spacing w:line="417" w:lineRule="auto" w:before="1"/>
        <w:ind w:left="218" w:right="255" w:firstLine="559"/>
      </w:pPr>
      <w:r>
        <w:rPr/>
        <w:t>急性心肌梗死指由于冠状动脉闭塞或梗阻引起部分心肌严重的持久性</w:t>
      </w:r>
      <w:r>
        <w:rPr>
          <w:spacing w:val="-1"/>
        </w:rPr>
        <w:t>缺血造成急性心肌坏死。急性心肌梗死的诊断必须依据国际国内诊断标准，</w:t>
      </w:r>
      <w:r>
        <w:rPr>
          <w:spacing w:val="-137"/>
        </w:rPr>
        <w:t> </w:t>
      </w:r>
      <w:r>
        <w:rPr/>
        <w:t>符合（1）检测到肌酸激酶同工酶（CK-MB）或肌钙蛋白（cTn）升高和/或</w:t>
      </w:r>
    </w:p>
    <w:p>
      <w:pPr>
        <w:spacing w:after="0" w:line="417" w:lineRule="auto"/>
        <w:sectPr>
          <w:pgSz w:w="11910" w:h="16840"/>
          <w:pgMar w:header="0" w:footer="1195" w:top="1440" w:bottom="1380" w:left="1200" w:right="1020"/>
        </w:sectPr>
      </w:pPr>
    </w:p>
    <w:p>
      <w:pPr>
        <w:pStyle w:val="BodyText"/>
        <w:spacing w:line="417" w:lineRule="auto" w:before="35"/>
        <w:ind w:left="218" w:right="396"/>
      </w:pPr>
      <w:r>
        <w:rPr>
          <w:spacing w:val="-1"/>
        </w:rPr>
        <w:t>降低的动态变化，至少一次达到或超过心肌梗死的临床诊断标准；（2）</w:t>
      </w:r>
      <w:r>
        <w:rPr/>
        <w:t>同时存在下列之一的证据，包括：缺血性胸痛症状、新发生的缺血性心电图</w:t>
      </w:r>
      <w:r>
        <w:rPr>
          <w:spacing w:val="-1"/>
        </w:rPr>
        <w:t>改变、新生成的病理性Q波、影像学证据显示有新出现的心肌活性丧失或新</w:t>
      </w:r>
      <w:r>
        <w:rPr/>
        <w:t>出现局部室壁运动异常、冠脉造影证实存在冠状动脉血栓。</w:t>
      </w:r>
    </w:p>
    <w:p>
      <w:pPr>
        <w:pStyle w:val="BodyText"/>
        <w:spacing w:line="417" w:lineRule="auto"/>
        <w:ind w:left="218" w:right="507" w:firstLine="559"/>
      </w:pPr>
      <w:r>
        <w:rPr>
          <w:spacing w:val="-1"/>
        </w:rPr>
        <w:t>较轻急性心肌梗死指依照上述标准被明确诊断为急性心肌梗死，但未</w:t>
      </w:r>
      <w:r>
        <w:rPr/>
        <w:t>达到“较重急性心肌梗死”的给付标准。</w:t>
      </w:r>
    </w:p>
    <w:p>
      <w:pPr>
        <w:spacing w:line="417" w:lineRule="auto" w:before="0"/>
        <w:ind w:left="218" w:right="395" w:firstLine="561"/>
        <w:jc w:val="left"/>
        <w:rPr>
          <w:b/>
          <w:sz w:val="28"/>
        </w:rPr>
      </w:pPr>
      <w:r>
        <w:rPr>
          <w:b/>
          <w:spacing w:val="-3"/>
          <w:sz w:val="28"/>
        </w:rPr>
        <w:t>其他非冠状动脉阻塞性疾病引起的肌钙蛋白</w:t>
      </w:r>
      <w:r>
        <w:rPr>
          <w:b/>
          <w:spacing w:val="-2"/>
          <w:sz w:val="28"/>
        </w:rPr>
        <w:t>（cTn）升高不在保障范围</w:t>
      </w:r>
      <w:r>
        <w:rPr>
          <w:b/>
          <w:sz w:val="28"/>
        </w:rPr>
        <w:t>内。</w:t>
      </w:r>
    </w:p>
    <w:p>
      <w:pPr>
        <w:pStyle w:val="BodyText"/>
        <w:ind w:left="638"/>
      </w:pPr>
      <w:r>
        <w:rPr/>
        <w:t>（三十一）轻度脑中风后遗症</w:t>
      </w:r>
    </w:p>
    <w:p>
      <w:pPr>
        <w:pStyle w:val="BodyText"/>
        <w:spacing w:before="8"/>
        <w:rPr>
          <w:sz w:val="20"/>
        </w:rPr>
      </w:pPr>
    </w:p>
    <w:p>
      <w:pPr>
        <w:pStyle w:val="BodyText"/>
        <w:spacing w:line="417" w:lineRule="auto"/>
        <w:ind w:left="218" w:right="393" w:firstLine="559"/>
      </w:pPr>
      <w:r>
        <w:rPr/>
        <w:t>指因脑血管的突发病变引起脑血管出血、栓塞或梗塞，须由头颅断层</w:t>
      </w:r>
      <w:r>
        <w:rPr>
          <w:spacing w:val="-1"/>
        </w:rPr>
        <w:t>扫描（CT）、核磁共振检查（MRI）等影像学检查证实，并导致神经系统永</w:t>
      </w:r>
      <w:r>
        <w:rPr/>
        <w:t>久性的功能障碍，但未达到“严重脑中风后遗症”的给付标准，在疾病确诊180天后，仍遗留下列至少一种障碍：</w:t>
      </w:r>
    </w:p>
    <w:p>
      <w:pPr>
        <w:pStyle w:val="ListParagraph"/>
        <w:numPr>
          <w:ilvl w:val="0"/>
          <w:numId w:val="15"/>
        </w:numPr>
        <w:tabs>
          <w:tab w:pos="1480" w:val="left" w:leader="none"/>
        </w:tabs>
        <w:spacing w:line="358" w:lineRule="exact" w:before="0" w:after="0"/>
        <w:ind w:left="1479" w:right="0" w:hanging="702"/>
        <w:jc w:val="left"/>
        <w:rPr>
          <w:sz w:val="28"/>
        </w:rPr>
      </w:pPr>
      <w:r>
        <w:rPr>
          <w:sz w:val="28"/>
        </w:rPr>
        <w:t>一肢（含）以上肢体肌力为3级；</w:t>
      </w:r>
    </w:p>
    <w:p>
      <w:pPr>
        <w:pStyle w:val="BodyText"/>
        <w:spacing w:before="9"/>
        <w:rPr>
          <w:sz w:val="20"/>
        </w:rPr>
      </w:pPr>
    </w:p>
    <w:p>
      <w:pPr>
        <w:pStyle w:val="ListParagraph"/>
        <w:numPr>
          <w:ilvl w:val="0"/>
          <w:numId w:val="15"/>
        </w:numPr>
        <w:tabs>
          <w:tab w:pos="1480" w:val="left" w:leader="none"/>
        </w:tabs>
        <w:spacing w:line="417" w:lineRule="auto" w:before="0" w:after="0"/>
        <w:ind w:left="218" w:right="397" w:firstLine="559"/>
        <w:jc w:val="left"/>
        <w:rPr>
          <w:sz w:val="28"/>
        </w:rPr>
      </w:pPr>
      <w:r>
        <w:rPr>
          <w:sz w:val="28"/>
        </w:rPr>
        <w:t>自主生活能力部分丧失，无法独立完成六项基本日常生活活动中的两项。</w:t>
      </w:r>
    </w:p>
    <w:p>
      <w:pPr>
        <w:spacing w:line="417" w:lineRule="auto" w:before="0"/>
        <w:ind w:left="218" w:right="600" w:firstLine="561"/>
        <w:jc w:val="left"/>
        <w:rPr>
          <w:b/>
          <w:sz w:val="28"/>
        </w:rPr>
      </w:pPr>
      <w:r>
        <w:rPr>
          <w:b/>
          <w:sz w:val="28"/>
        </w:rPr>
        <w:t>以上28种重度疾病以及3种轻度疾病为中国保险行业协会制定并于2020年11月5日发布并施行的《重大疾病保险的疾病定义使用规范（2020</w:t>
      </w:r>
      <w:r>
        <w:rPr>
          <w:b/>
          <w:spacing w:val="-139"/>
          <w:sz w:val="28"/>
        </w:rPr>
        <w:t> </w:t>
      </w:r>
      <w:r>
        <w:rPr>
          <w:b/>
          <w:sz w:val="28"/>
        </w:rPr>
        <w:t>年修订版</w:t>
      </w:r>
      <w:r>
        <w:rPr>
          <w:b/>
          <w:spacing w:val="-142"/>
          <w:sz w:val="28"/>
        </w:rPr>
        <w:t>）</w:t>
      </w:r>
      <w:r>
        <w:rPr>
          <w:b/>
          <w:sz w:val="28"/>
        </w:rPr>
        <w:t>》中列明的疾病。</w:t>
      </w:r>
    </w:p>
    <w:p>
      <w:pPr>
        <w:pStyle w:val="BodyText"/>
        <w:spacing w:line="417" w:lineRule="auto"/>
        <w:ind w:left="218" w:right="502"/>
      </w:pPr>
      <w:r>
        <w:rPr>
          <w:b/>
          <w:spacing w:val="-1"/>
        </w:rPr>
        <w:t>【续保】</w:t>
      </w:r>
      <w:r>
        <w:rPr/>
        <w:t>保险合同即将期满时，被保险人向保险人提出申请，重新办理保险手续的行为。</w:t>
      </w:r>
    </w:p>
    <w:p>
      <w:pPr>
        <w:spacing w:line="358" w:lineRule="exact" w:before="0"/>
        <w:ind w:left="218" w:right="0" w:firstLine="0"/>
        <w:jc w:val="left"/>
        <w:rPr>
          <w:sz w:val="28"/>
        </w:rPr>
      </w:pPr>
      <w:r>
        <w:rPr>
          <w:b/>
          <w:spacing w:val="-1"/>
          <w:sz w:val="28"/>
        </w:rPr>
        <w:t>【无有效驾驶证】</w:t>
      </w:r>
      <w:r>
        <w:rPr>
          <w:sz w:val="28"/>
        </w:rPr>
        <w:t>被保险人存在下列情形之一者：</w:t>
      </w:r>
    </w:p>
    <w:p>
      <w:pPr>
        <w:spacing w:after="0" w:line="358" w:lineRule="exact"/>
        <w:jc w:val="left"/>
        <w:rPr>
          <w:sz w:val="28"/>
        </w:rPr>
        <w:sectPr>
          <w:pgSz w:w="11910" w:h="16840"/>
          <w:pgMar w:header="0" w:footer="1195" w:top="1440" w:bottom="1380" w:left="1200" w:right="1020"/>
        </w:sectPr>
      </w:pPr>
    </w:p>
    <w:p>
      <w:pPr>
        <w:pStyle w:val="BodyText"/>
        <w:spacing w:before="35"/>
        <w:ind w:left="218"/>
        <w:jc w:val="both"/>
      </w:pPr>
      <w:r>
        <w:rPr/>
        <w:t>（一）</w:t>
      </w:r>
      <w:r>
        <w:rPr>
          <w:spacing w:val="-11"/>
        </w:rPr>
        <w:t> 无驾驶证或驾驶证有效期已届满；</w:t>
      </w:r>
    </w:p>
    <w:p>
      <w:pPr>
        <w:pStyle w:val="BodyText"/>
        <w:spacing w:before="9"/>
        <w:rPr>
          <w:sz w:val="20"/>
        </w:rPr>
      </w:pPr>
    </w:p>
    <w:p>
      <w:pPr>
        <w:pStyle w:val="BodyText"/>
        <w:ind w:left="218"/>
        <w:jc w:val="both"/>
      </w:pPr>
      <w:r>
        <w:rPr/>
        <w:t>（二）</w:t>
      </w:r>
      <w:r>
        <w:rPr>
          <w:spacing w:val="-11"/>
        </w:rPr>
        <w:t> 驾驶的机动车与驾驶证载明的准驾车型不符；</w:t>
      </w:r>
    </w:p>
    <w:p>
      <w:pPr>
        <w:pStyle w:val="BodyText"/>
        <w:spacing w:before="9"/>
        <w:rPr>
          <w:sz w:val="20"/>
        </w:rPr>
      </w:pPr>
    </w:p>
    <w:p>
      <w:pPr>
        <w:pStyle w:val="BodyText"/>
        <w:spacing w:line="417" w:lineRule="auto"/>
        <w:ind w:left="1104" w:right="462" w:hanging="886"/>
        <w:jc w:val="both"/>
      </w:pPr>
      <w:r>
        <w:rPr>
          <w:spacing w:val="-1"/>
        </w:rPr>
        <w:t>（三）</w:t>
      </w:r>
      <w:r>
        <w:rPr>
          <w:spacing w:val="-12"/>
        </w:rPr>
        <w:t> 实习期内驾驶公共汽车、营运客车或者载有爆炸物品、易燃易爆化</w:t>
      </w:r>
      <w:r>
        <w:rPr>
          <w:spacing w:val="-1"/>
        </w:rPr>
        <w:t>学物品、剧毒或者放射性等危险物品的机动车，实习期内驾驶机动</w:t>
      </w:r>
      <w:r>
        <w:rPr/>
        <w:t>车牵引挂车；</w:t>
      </w:r>
    </w:p>
    <w:p>
      <w:pPr>
        <w:pStyle w:val="BodyText"/>
        <w:spacing w:line="417" w:lineRule="auto"/>
        <w:ind w:left="1104" w:right="462" w:hanging="886"/>
        <w:jc w:val="both"/>
      </w:pPr>
      <w:r>
        <w:rPr>
          <w:spacing w:val="-1"/>
        </w:rPr>
        <w:t>（四）</w:t>
      </w:r>
      <w:r>
        <w:rPr>
          <w:spacing w:val="-12"/>
        </w:rPr>
        <w:t> 持未按规定审验的驾驶证，以及在暂扣、扣留、吊销、注销驾驶证</w:t>
      </w:r>
      <w:r>
        <w:rPr/>
        <w:t>期间驾驶机动车；</w:t>
      </w:r>
    </w:p>
    <w:p>
      <w:pPr>
        <w:pStyle w:val="BodyText"/>
        <w:spacing w:line="417" w:lineRule="auto"/>
        <w:ind w:left="1104" w:right="462" w:hanging="886"/>
        <w:jc w:val="both"/>
      </w:pPr>
      <w:r>
        <w:rPr>
          <w:spacing w:val="-1"/>
        </w:rPr>
        <w:t>（五）</w:t>
      </w:r>
      <w:r>
        <w:rPr>
          <w:spacing w:val="-12"/>
        </w:rPr>
        <w:t> 使用各种专用机械车、特种车的人员无国家有关部门核发的有效操</w:t>
      </w:r>
      <w:r>
        <w:rPr>
          <w:spacing w:val="-1"/>
        </w:rPr>
        <w:t>作证，驾驶营业性客车的驾驶人无国家有关部门核发的有效资格证</w:t>
      </w:r>
      <w:r>
        <w:rPr/>
        <w:t>书；</w:t>
      </w:r>
    </w:p>
    <w:p>
      <w:pPr>
        <w:pStyle w:val="BodyText"/>
        <w:spacing w:line="417" w:lineRule="auto"/>
        <w:ind w:left="1104" w:right="462" w:hanging="886"/>
        <w:jc w:val="both"/>
      </w:pPr>
      <w:r>
        <w:rPr>
          <w:spacing w:val="-1"/>
        </w:rPr>
        <w:t>（六）</w:t>
      </w:r>
      <w:r>
        <w:rPr>
          <w:spacing w:val="-12"/>
        </w:rPr>
        <w:t> 依照法律法规或公安机关交通管理部门有关规定不允许驾驶机动车</w:t>
      </w:r>
      <w:r>
        <w:rPr/>
        <w:t>的其他情况下驾车</w:t>
      </w:r>
    </w:p>
    <w:p>
      <w:pPr>
        <w:spacing w:line="358" w:lineRule="exact" w:before="0"/>
        <w:ind w:left="218" w:right="0" w:firstLine="0"/>
        <w:jc w:val="left"/>
        <w:rPr>
          <w:sz w:val="28"/>
        </w:rPr>
      </w:pPr>
      <w:r>
        <w:rPr>
          <w:b/>
          <w:sz w:val="28"/>
        </w:rPr>
        <w:t>【无有效行驶证】</w:t>
      </w:r>
      <w:r>
        <w:rPr>
          <w:sz w:val="28"/>
        </w:rPr>
        <w:t>指下列情形之一：</w:t>
      </w:r>
    </w:p>
    <w:p>
      <w:pPr>
        <w:pStyle w:val="BodyText"/>
        <w:spacing w:before="8"/>
        <w:rPr>
          <w:sz w:val="20"/>
        </w:rPr>
      </w:pPr>
    </w:p>
    <w:p>
      <w:pPr>
        <w:pStyle w:val="BodyText"/>
        <w:ind w:left="218"/>
      </w:pPr>
      <w:r>
        <w:rPr/>
        <w:t>（一）机动车被依法注销登记的，或未按规定检验或检验不合格；</w:t>
      </w:r>
    </w:p>
    <w:p>
      <w:pPr>
        <w:pStyle w:val="BodyText"/>
        <w:spacing w:before="9"/>
        <w:rPr>
          <w:sz w:val="20"/>
        </w:rPr>
      </w:pPr>
    </w:p>
    <w:p>
      <w:pPr>
        <w:pStyle w:val="BodyText"/>
        <w:spacing w:line="417" w:lineRule="auto" w:before="1"/>
        <w:ind w:left="218" w:right="507"/>
      </w:pPr>
      <w:r>
        <w:rPr>
          <w:spacing w:val="-1"/>
        </w:rPr>
        <w:t>（二）</w:t>
      </w:r>
      <w:r>
        <w:rPr/>
        <w:t>无公安机关交通管理部门核发的行驶证、号牌，或临时号牌或临时移动证的机动交通工具。</w:t>
      </w:r>
    </w:p>
    <w:p>
      <w:pPr>
        <w:pStyle w:val="BodyText"/>
        <w:spacing w:line="417" w:lineRule="auto"/>
        <w:ind w:left="218" w:right="116"/>
      </w:pPr>
      <w:r>
        <w:rPr>
          <w:b/>
        </w:rPr>
        <w:t>【患艾滋病或感染艾滋病病毒】</w:t>
      </w:r>
      <w:r>
        <w:rPr/>
        <w:t>艾滋病指人类免疫缺陷病毒引起的获得性</w:t>
      </w:r>
      <w:r>
        <w:rPr>
          <w:spacing w:val="1"/>
        </w:rPr>
        <w:t> </w:t>
      </w:r>
      <w:r>
        <w:rPr/>
        <w:t>免疫缺陷综合征，英文缩写为AIDS。艾滋病病毒指人类免疫缺陷病毒，英</w:t>
      </w:r>
      <w:r>
        <w:rPr>
          <w:spacing w:val="1"/>
        </w:rPr>
        <w:t> </w:t>
      </w:r>
      <w:r>
        <w:rPr>
          <w:spacing w:val="-1"/>
        </w:rPr>
        <w:t>文缩写为HIV。在人体血液或其它样本中检测到艾滋病病毒或其抗体呈阳性，</w:t>
      </w:r>
      <w:r>
        <w:rPr>
          <w:spacing w:val="-137"/>
        </w:rPr>
        <w:t> </w:t>
      </w:r>
      <w:r>
        <w:rPr/>
        <w:t>没有出现临床症状或体征的，为感染艾滋病病毒；如果同时出现了明显临</w:t>
      </w:r>
      <w:r>
        <w:rPr>
          <w:spacing w:val="1"/>
        </w:rPr>
        <w:t> </w:t>
      </w:r>
      <w:r>
        <w:rPr/>
        <w:t>床症状或体征的，为患艾滋病。</w:t>
      </w:r>
    </w:p>
    <w:p>
      <w:pPr>
        <w:spacing w:line="358" w:lineRule="exact" w:before="0"/>
        <w:ind w:left="218" w:right="0" w:firstLine="0"/>
        <w:jc w:val="left"/>
        <w:rPr>
          <w:sz w:val="28"/>
        </w:rPr>
      </w:pPr>
      <w:r>
        <w:rPr>
          <w:b/>
          <w:spacing w:val="-1"/>
          <w:sz w:val="28"/>
        </w:rPr>
        <w:t>【遗传性疾病】</w:t>
      </w:r>
      <w:r>
        <w:rPr>
          <w:sz w:val="28"/>
        </w:rPr>
        <w:t>指生殖细胞或受精卵的遗传物质（染色体和基因）发生突</w:t>
      </w:r>
    </w:p>
    <w:p>
      <w:pPr>
        <w:spacing w:after="0" w:line="358" w:lineRule="exact"/>
        <w:jc w:val="left"/>
        <w:rPr>
          <w:sz w:val="28"/>
        </w:rPr>
        <w:sectPr>
          <w:pgSz w:w="11910" w:h="16840"/>
          <w:pgMar w:header="0" w:footer="1195" w:top="1440" w:bottom="1380" w:left="1200" w:right="1020"/>
        </w:sectPr>
      </w:pPr>
    </w:p>
    <w:p>
      <w:pPr>
        <w:pStyle w:val="BodyText"/>
        <w:spacing w:before="35"/>
        <w:ind w:left="218"/>
      </w:pPr>
      <w:r>
        <w:rPr>
          <w:spacing w:val="-1"/>
        </w:rPr>
        <w:t>变或畸变所引起的疾病，通常具有由亲代传至后代的垂直传递的特征。</w:t>
      </w:r>
    </w:p>
    <w:p>
      <w:pPr>
        <w:pStyle w:val="BodyText"/>
        <w:spacing w:before="9"/>
        <w:rPr>
          <w:sz w:val="20"/>
        </w:rPr>
      </w:pPr>
    </w:p>
    <w:p>
      <w:pPr>
        <w:pStyle w:val="BodyText"/>
        <w:spacing w:line="417" w:lineRule="auto"/>
        <w:ind w:left="218" w:right="487"/>
        <w:jc w:val="both"/>
      </w:pPr>
      <w:r>
        <w:rPr>
          <w:b/>
          <w:spacing w:val="-1"/>
        </w:rPr>
        <w:t>【先天性畸形、变形或染色体异常】</w:t>
      </w:r>
      <w:r>
        <w:rPr/>
        <w:t>指被保险人出生时就具有的畸形、变形或染色体异常。先天性畸形、变形和染色体异常依照世界卫生组织《疾病和有关健康问题的国际统计分类》第十次修订版（ICD-10）确定。</w:t>
      </w:r>
    </w:p>
    <w:p>
      <w:pPr>
        <w:spacing w:line="417" w:lineRule="auto" w:before="0"/>
        <w:ind w:left="218" w:right="401" w:firstLine="0"/>
        <w:jc w:val="left"/>
        <w:rPr>
          <w:b/>
          <w:sz w:val="28"/>
        </w:rPr>
      </w:pPr>
      <w:r>
        <w:rPr>
          <w:b/>
          <w:sz w:val="28"/>
        </w:rPr>
        <w:t>【未满期保险费】指本合同所具有的价值，通常体现为解除合同时，根据精算原理计算的，由保险人退还的保险费金额。</w:t>
      </w:r>
    </w:p>
    <w:p>
      <w:pPr>
        <w:spacing w:line="417" w:lineRule="auto" w:before="0"/>
        <w:ind w:left="218" w:right="392" w:firstLine="0"/>
        <w:jc w:val="left"/>
        <w:rPr>
          <w:b/>
          <w:sz w:val="28"/>
        </w:rPr>
      </w:pPr>
      <w:r>
        <w:rPr>
          <w:b/>
          <w:w w:val="99"/>
          <w:sz w:val="28"/>
        </w:rPr>
        <w:t>未满期保险费</w:t>
      </w:r>
      <w:r>
        <w:rPr>
          <w:b/>
          <w:spacing w:val="-2"/>
          <w:w w:val="99"/>
          <w:sz w:val="28"/>
        </w:rPr>
        <w:t>=</w:t>
      </w:r>
      <w:r>
        <w:rPr>
          <w:b/>
          <w:w w:val="99"/>
          <w:sz w:val="28"/>
        </w:rPr>
        <w:t>保险费×</w:t>
      </w:r>
      <w:r>
        <w:rPr>
          <w:b/>
          <w:spacing w:val="2"/>
          <w:w w:val="99"/>
          <w:sz w:val="28"/>
        </w:rPr>
        <w:t>（</w:t>
      </w:r>
      <w:r>
        <w:rPr>
          <w:b/>
          <w:spacing w:val="1"/>
          <w:w w:val="99"/>
          <w:sz w:val="28"/>
        </w:rPr>
        <w:t>1-</w:t>
      </w:r>
      <w:r>
        <w:rPr>
          <w:b/>
          <w:w w:val="99"/>
          <w:sz w:val="28"/>
        </w:rPr>
        <w:t>m</w:t>
      </w:r>
      <w:r>
        <w:rPr>
          <w:b/>
          <w:spacing w:val="-2"/>
          <w:w w:val="99"/>
          <w:sz w:val="28"/>
        </w:rPr>
        <w:t>/</w:t>
      </w:r>
      <w:r>
        <w:rPr>
          <w:b/>
          <w:spacing w:val="1"/>
          <w:w w:val="99"/>
          <w:sz w:val="28"/>
        </w:rPr>
        <w:t>n</w:t>
      </w:r>
      <w:r>
        <w:rPr>
          <w:b/>
          <w:spacing w:val="-142"/>
          <w:w w:val="99"/>
          <w:sz w:val="28"/>
        </w:rPr>
        <w:t>）</w:t>
      </w:r>
      <w:r>
        <w:rPr>
          <w:b/>
          <w:w w:val="99"/>
          <w:sz w:val="28"/>
        </w:rPr>
        <w:t>，其中，</w:t>
      </w:r>
      <w:r>
        <w:rPr>
          <w:b/>
          <w:w w:val="99"/>
          <w:sz w:val="28"/>
        </w:rPr>
        <w:t>m</w:t>
      </w:r>
      <w:r>
        <w:rPr>
          <w:b/>
          <w:spacing w:val="-37"/>
          <w:sz w:val="28"/>
        </w:rPr>
        <w:t> </w:t>
      </w:r>
      <w:r>
        <w:rPr>
          <w:b/>
          <w:w w:val="99"/>
          <w:sz w:val="28"/>
        </w:rPr>
        <w:t>为已生效天数，</w:t>
      </w:r>
      <w:r>
        <w:rPr>
          <w:b/>
          <w:w w:val="99"/>
          <w:sz w:val="28"/>
        </w:rPr>
        <w:t>n</w:t>
      </w:r>
      <w:r>
        <w:rPr>
          <w:b/>
          <w:spacing w:val="-37"/>
          <w:sz w:val="28"/>
        </w:rPr>
        <w:t> </w:t>
      </w:r>
      <w:r>
        <w:rPr>
          <w:b/>
          <w:w w:val="99"/>
          <w:sz w:val="28"/>
        </w:rPr>
        <w:t>为保险期间</w:t>
      </w:r>
      <w:r>
        <w:rPr>
          <w:b/>
          <w:sz w:val="28"/>
        </w:rPr>
        <w:t>的天数，经过天数不足一日的按一日计算。</w:t>
      </w:r>
    </w:p>
    <w:p>
      <w:pPr>
        <w:spacing w:before="0"/>
        <w:ind w:left="218" w:right="0" w:firstLine="0"/>
        <w:jc w:val="left"/>
        <w:rPr>
          <w:sz w:val="28"/>
        </w:rPr>
      </w:pPr>
      <w:r>
        <w:rPr>
          <w:b/>
          <w:sz w:val="28"/>
        </w:rPr>
        <w:t>【保险金申请人】</w:t>
      </w:r>
      <w:r>
        <w:rPr>
          <w:sz w:val="28"/>
        </w:rPr>
        <w:t>指被保险人本人。</w:t>
      </w:r>
    </w:p>
    <w:p>
      <w:pPr>
        <w:pStyle w:val="BodyText"/>
        <w:spacing w:before="8"/>
        <w:rPr>
          <w:sz w:val="20"/>
        </w:rPr>
      </w:pPr>
    </w:p>
    <w:p>
      <w:pPr>
        <w:spacing w:before="0"/>
        <w:ind w:left="218" w:right="0" w:firstLine="0"/>
        <w:jc w:val="left"/>
        <w:rPr>
          <w:sz w:val="28"/>
        </w:rPr>
      </w:pPr>
      <w:r>
        <w:rPr>
          <w:b/>
          <w:spacing w:val="-1"/>
          <w:sz w:val="28"/>
        </w:rPr>
        <w:t>【不可抗力】</w:t>
      </w:r>
      <w:r>
        <w:rPr>
          <w:sz w:val="28"/>
        </w:rPr>
        <w:t>指不能预见、不能避免并不能克服的客观情况。</w:t>
      </w:r>
    </w:p>
    <w:p>
      <w:pPr>
        <w:pStyle w:val="BodyText"/>
        <w:spacing w:before="9"/>
        <w:rPr>
          <w:sz w:val="20"/>
        </w:rPr>
      </w:pPr>
    </w:p>
    <w:p>
      <w:pPr>
        <w:pStyle w:val="BodyText"/>
        <w:spacing w:line="417" w:lineRule="auto"/>
        <w:ind w:left="218" w:right="502"/>
      </w:pPr>
      <w:r>
        <w:rPr>
          <w:b/>
          <w:spacing w:val="-1"/>
        </w:rPr>
        <w:t>【周岁】</w:t>
      </w:r>
      <w:r>
        <w:rPr/>
        <w:t>指按有效身份证件中记载的出生日期计算的年龄，自出生之日起为零周岁，每经过一年增加一岁，不足一年的不计。</w:t>
      </w:r>
    </w:p>
    <w:p>
      <w:pPr>
        <w:pStyle w:val="BodyText"/>
        <w:spacing w:line="417" w:lineRule="auto"/>
        <w:ind w:left="218" w:right="392"/>
      </w:pPr>
      <w:r>
        <w:rPr>
          <w:b/>
          <w:spacing w:val="-1"/>
        </w:rPr>
        <w:t>【专科医生】</w:t>
      </w:r>
      <w:r>
        <w:rPr>
          <w:spacing w:val="-1"/>
        </w:rPr>
        <w:t>专科医生应当同时满足以下四项资格条件：1．具有有效的中</w:t>
      </w:r>
      <w:r>
        <w:rPr>
          <w:spacing w:val="-11"/>
        </w:rPr>
        <w:t>华人民共和国《医师资格证书》；</w:t>
      </w:r>
      <w:r>
        <w:rPr/>
        <w:t>2．具有有效的中华人民共和国《医师执</w:t>
      </w:r>
      <w:r>
        <w:rPr>
          <w:spacing w:val="-13"/>
        </w:rPr>
        <w:t>业证书》，并按期到相关部门登记注册；</w:t>
      </w:r>
      <w:r>
        <w:rPr/>
        <w:t>3．具有有效的中华人民共和国主</w:t>
      </w:r>
      <w:r>
        <w:rPr>
          <w:spacing w:val="-7"/>
        </w:rPr>
        <w:t>治医师或主治医师以上职称的《医师职称证书》；</w:t>
      </w:r>
      <w:r>
        <w:rPr/>
        <w:t>4．在国家《医院分级管理标准》二级或二级以上医院的相应科室从事临床工作三年以上。</w:t>
      </w:r>
    </w:p>
    <w:p>
      <w:pPr>
        <w:pStyle w:val="BodyText"/>
        <w:spacing w:line="417" w:lineRule="auto"/>
        <w:ind w:left="218" w:right="495"/>
        <w:jc w:val="both"/>
      </w:pPr>
      <w:r>
        <w:rPr>
          <w:b/>
          <w:spacing w:val="-1"/>
        </w:rPr>
        <w:t>【组织病理学检查】</w:t>
      </w:r>
      <w:r>
        <w:rPr/>
        <w:t>组织病理学检查是通过局部切除、钳取、穿刺等手术方法，从患者机体采取病变组织块，经过包埋、切片后，进行病理检查的方法。</w:t>
      </w:r>
    </w:p>
    <w:p>
      <w:pPr>
        <w:pStyle w:val="BodyText"/>
        <w:spacing w:line="417" w:lineRule="auto"/>
        <w:ind w:left="218" w:right="504" w:firstLine="559"/>
      </w:pPr>
      <w:r>
        <w:rPr/>
        <w:t>通过采集病变部位脱落细胞、细针吸取病变部位细胞、体腔积液分离病变细胞等方式获取病变细胞，制成涂片，进行病理检查的方法，属于细</w:t>
      </w:r>
    </w:p>
    <w:p>
      <w:pPr>
        <w:spacing w:after="0" w:line="417" w:lineRule="auto"/>
        <w:sectPr>
          <w:pgSz w:w="11910" w:h="16840"/>
          <w:pgMar w:header="0" w:footer="1195" w:top="1440" w:bottom="1380" w:left="1200" w:right="1020"/>
        </w:sectPr>
      </w:pPr>
    </w:p>
    <w:p>
      <w:pPr>
        <w:pStyle w:val="BodyText"/>
        <w:spacing w:before="35"/>
        <w:ind w:left="218"/>
      </w:pPr>
      <w:r>
        <w:rPr>
          <w:spacing w:val="-1"/>
        </w:rPr>
        <w:t>胞病理学检查，不属于组织病理学检查。</w:t>
      </w:r>
    </w:p>
    <w:p>
      <w:pPr>
        <w:pStyle w:val="BodyText"/>
        <w:spacing w:before="9"/>
        <w:rPr>
          <w:sz w:val="20"/>
        </w:rPr>
      </w:pPr>
    </w:p>
    <w:p>
      <w:pPr>
        <w:spacing w:line="417" w:lineRule="auto" w:before="0"/>
        <w:ind w:left="218" w:right="261" w:firstLine="0"/>
        <w:jc w:val="left"/>
        <w:rPr>
          <w:sz w:val="28"/>
        </w:rPr>
      </w:pPr>
      <w:r>
        <w:rPr>
          <w:b/>
          <w:sz w:val="28"/>
        </w:rPr>
        <w:t>【ICD-10与ICD-0-3】</w:t>
      </w:r>
      <w:r>
        <w:rPr>
          <w:sz w:val="28"/>
        </w:rPr>
        <w:t>《疾病和有关健康问题的国际统计分类》第十次修订版（ICD-10），是世界卫生组织（WHO）发布的国际通用的疾病分类方法。</w:t>
      </w:r>
    </w:p>
    <w:p>
      <w:pPr>
        <w:pStyle w:val="BodyText"/>
        <w:spacing w:line="417" w:lineRule="auto"/>
        <w:ind w:left="218" w:right="260"/>
      </w:pPr>
      <w:r>
        <w:rPr/>
        <w:t>《国际疾病分类肿瘤学专辑》第三版（ICD-O-3），是WHO发布的针对ICD中肿瘤形态学组织学细胞类型、动态、分化程度的补充编码。其中形态学编码：0代表良性肿瘤；1代表动态未定性肿瘤；2代表原位癌和非侵袭性癌；</w:t>
      </w:r>
      <w:r>
        <w:rPr>
          <w:spacing w:val="-137"/>
        </w:rPr>
        <w:t> </w:t>
      </w:r>
      <w:r>
        <w:rPr>
          <w:spacing w:val="-2"/>
        </w:rPr>
        <w:t>3</w:t>
      </w:r>
      <w:r>
        <w:rPr>
          <w:spacing w:val="-9"/>
        </w:rPr>
        <w:t>代表恶性肿瘤</w:t>
      </w:r>
      <w:r>
        <w:rPr>
          <w:spacing w:val="-3"/>
        </w:rPr>
        <w:t>（</w:t>
      </w:r>
      <w:r>
        <w:rPr>
          <w:spacing w:val="-2"/>
        </w:rPr>
        <w:t>原发性</w:t>
      </w:r>
      <w:r>
        <w:rPr>
          <w:spacing w:val="-31"/>
        </w:rPr>
        <w:t>）；6</w:t>
      </w:r>
      <w:r>
        <w:rPr>
          <w:spacing w:val="-10"/>
        </w:rPr>
        <w:t>代表恶性肿瘤</w:t>
      </w:r>
      <w:r>
        <w:rPr>
          <w:spacing w:val="-3"/>
        </w:rPr>
        <w:t>（</w:t>
      </w:r>
      <w:r>
        <w:rPr>
          <w:spacing w:val="-1"/>
        </w:rPr>
        <w:t>转移性</w:t>
      </w:r>
      <w:r>
        <w:rPr>
          <w:spacing w:val="-31"/>
        </w:rPr>
        <w:t>）；9</w:t>
      </w:r>
      <w:r>
        <w:rPr>
          <w:spacing w:val="-9"/>
        </w:rPr>
        <w:t>代表恶性肿瘤</w:t>
      </w:r>
      <w:r>
        <w:rPr/>
        <w:t>（原发性或转移性未肯定）。如果出现ICD-10与ICD-O-3不一致的情况，以</w:t>
      </w:r>
    </w:p>
    <w:p>
      <w:pPr>
        <w:pStyle w:val="BodyText"/>
        <w:spacing w:line="358" w:lineRule="exact"/>
        <w:ind w:left="218"/>
      </w:pPr>
      <w:r>
        <w:rPr/>
        <w:t>ICD-O-3为准。</w:t>
      </w:r>
    </w:p>
    <w:p>
      <w:pPr>
        <w:pStyle w:val="BodyText"/>
        <w:spacing w:before="9"/>
        <w:rPr>
          <w:sz w:val="20"/>
        </w:rPr>
      </w:pPr>
    </w:p>
    <w:p>
      <w:pPr>
        <w:pStyle w:val="BodyText"/>
        <w:spacing w:line="417" w:lineRule="auto"/>
        <w:ind w:left="218" w:right="391"/>
      </w:pPr>
      <w:r>
        <w:rPr>
          <w:b/>
        </w:rPr>
        <w:t>【甲状腺癌的TMN分期】</w:t>
      </w:r>
      <w:r>
        <w:rPr/>
        <w:t>甲状腺癌的TNM分期采用目前现行的AJCC第八版定</w:t>
      </w:r>
      <w:r>
        <w:rPr>
          <w:spacing w:val="-8"/>
        </w:rPr>
        <w:t>义标准，我国国家卫生健康委员会</w:t>
      </w:r>
      <w:r>
        <w:rPr/>
        <w:t>2018</w:t>
      </w:r>
      <w:r>
        <w:rPr>
          <w:spacing w:val="-12"/>
        </w:rPr>
        <w:t>年发布的《甲状腺癌诊疗规范</w:t>
      </w:r>
      <w:r>
        <w:rPr/>
        <w:t>（2018</w:t>
      </w:r>
      <w:r>
        <w:rPr>
          <w:spacing w:val="-137"/>
        </w:rPr>
        <w:t> </w:t>
      </w:r>
      <w:r>
        <w:rPr/>
        <w:t>年版）》也采用此定义标准，具体见下：</w:t>
      </w:r>
    </w:p>
    <w:p>
      <w:pPr>
        <w:spacing w:line="240" w:lineRule="exact" w:before="0"/>
        <w:ind w:left="218" w:right="0" w:firstLine="0"/>
        <w:jc w:val="left"/>
        <w:rPr>
          <w:sz w:val="22"/>
        </w:rPr>
      </w:pPr>
      <w:r>
        <w:rPr>
          <w:spacing w:val="-1"/>
          <w:sz w:val="22"/>
        </w:rPr>
        <w:t>甲状腺乳头状癌、滤泡癌、低分化癌、</w:t>
      </w:r>
      <w:r>
        <w:rPr>
          <w:sz w:val="22"/>
        </w:rPr>
        <w:t>Hürthle细胞癌和未分化癌</w:t>
      </w:r>
    </w:p>
    <w:p>
      <w:pPr>
        <w:spacing w:line="398" w:lineRule="auto" w:before="186"/>
        <w:ind w:left="218" w:right="7197" w:firstLine="0"/>
        <w:jc w:val="left"/>
        <w:rPr>
          <w:sz w:val="22"/>
        </w:rPr>
      </w:pPr>
      <w:r>
        <w:rPr>
          <w:sz w:val="22"/>
        </w:rPr>
        <w:t>pT</w:t>
      </w:r>
      <w:r>
        <w:rPr>
          <w:sz w:val="13"/>
        </w:rPr>
        <w:t>X</w:t>
      </w:r>
      <w:r>
        <w:rPr>
          <w:sz w:val="22"/>
        </w:rPr>
        <w:t>：原发肿瘤不能评估pT</w:t>
      </w:r>
      <w:r>
        <w:rPr>
          <w:sz w:val="13"/>
        </w:rPr>
        <w:t>0</w:t>
      </w:r>
      <w:r>
        <w:rPr>
          <w:sz w:val="22"/>
        </w:rPr>
        <w:t>：无肿瘤证据</w:t>
      </w:r>
    </w:p>
    <w:p>
      <w:pPr>
        <w:spacing w:line="398" w:lineRule="auto" w:before="1"/>
        <w:ind w:left="768" w:right="5537" w:hanging="550"/>
        <w:jc w:val="left"/>
        <w:rPr>
          <w:sz w:val="22"/>
        </w:rPr>
      </w:pPr>
      <w:r>
        <w:rPr>
          <w:sz w:val="22"/>
        </w:rPr>
        <w:t>pT</w:t>
      </w:r>
      <w:r>
        <w:rPr>
          <w:sz w:val="13"/>
        </w:rPr>
        <w:t>1</w:t>
      </w:r>
      <w:r>
        <w:rPr>
          <w:sz w:val="22"/>
        </w:rPr>
        <w:t>：肿瘤局限在甲状腺内，最大径≤2cm</w:t>
      </w:r>
      <w:r>
        <w:rPr>
          <w:spacing w:val="-107"/>
          <w:sz w:val="22"/>
        </w:rPr>
        <w:t> </w:t>
      </w:r>
      <w:r>
        <w:rPr>
          <w:sz w:val="22"/>
        </w:rPr>
        <w:t>T</w:t>
      </w:r>
      <w:r>
        <w:rPr>
          <w:sz w:val="13"/>
        </w:rPr>
        <w:t>1a</w:t>
      </w:r>
      <w:r>
        <w:rPr>
          <w:sz w:val="22"/>
        </w:rPr>
        <w:t>肿瘤最大径≤1cm</w:t>
      </w:r>
    </w:p>
    <w:p>
      <w:pPr>
        <w:spacing w:line="398" w:lineRule="auto" w:before="0"/>
        <w:ind w:left="218" w:right="6243" w:firstLine="549"/>
        <w:jc w:val="left"/>
        <w:rPr>
          <w:sz w:val="22"/>
        </w:rPr>
      </w:pPr>
      <w:r>
        <w:rPr>
          <w:sz w:val="22"/>
        </w:rPr>
        <w:t>T</w:t>
      </w:r>
      <w:r>
        <w:rPr>
          <w:sz w:val="13"/>
        </w:rPr>
        <w:t>1b</w:t>
      </w:r>
      <w:r>
        <w:rPr>
          <w:sz w:val="22"/>
        </w:rPr>
        <w:t>肿瘤最大径＞1cm，≤2cm</w:t>
      </w:r>
      <w:r>
        <w:rPr>
          <w:spacing w:val="-107"/>
          <w:sz w:val="22"/>
        </w:rPr>
        <w:t> </w:t>
      </w:r>
      <w:r>
        <w:rPr>
          <w:sz w:val="22"/>
        </w:rPr>
        <w:t>pT</w:t>
      </w:r>
      <w:r>
        <w:rPr>
          <w:sz w:val="13"/>
        </w:rPr>
        <w:t>2</w:t>
      </w:r>
      <w:r>
        <w:rPr>
          <w:sz w:val="22"/>
        </w:rPr>
        <w:t>：肿瘤2～4cm</w:t>
      </w:r>
    </w:p>
    <w:p>
      <w:pPr>
        <w:spacing w:line="398" w:lineRule="auto" w:before="0"/>
        <w:ind w:left="218" w:right="3679" w:firstLine="0"/>
        <w:jc w:val="left"/>
        <w:rPr>
          <w:sz w:val="22"/>
        </w:rPr>
      </w:pPr>
      <w:r>
        <w:rPr>
          <w:sz w:val="22"/>
        </w:rPr>
        <w:t>pT</w:t>
      </w:r>
      <w:r>
        <w:rPr>
          <w:sz w:val="13"/>
        </w:rPr>
        <w:t>3</w:t>
      </w:r>
      <w:r>
        <w:rPr>
          <w:sz w:val="22"/>
        </w:rPr>
        <w:t>：肿瘤&gt;4cm，局限于甲状腺内或大体侵犯甲状腺外带状肌pT</w:t>
      </w:r>
      <w:r>
        <w:rPr>
          <w:sz w:val="13"/>
        </w:rPr>
        <w:t>3a</w:t>
      </w:r>
      <w:r>
        <w:rPr>
          <w:sz w:val="22"/>
        </w:rPr>
        <w:t>：肿瘤&gt;4cm，局限于甲状腺内</w:t>
      </w:r>
    </w:p>
    <w:p>
      <w:pPr>
        <w:spacing w:before="1"/>
        <w:ind w:left="218" w:right="0" w:firstLine="0"/>
        <w:jc w:val="left"/>
        <w:rPr>
          <w:sz w:val="22"/>
        </w:rPr>
      </w:pPr>
      <w:r>
        <w:rPr>
          <w:sz w:val="22"/>
        </w:rPr>
        <w:t>pT</w:t>
      </w:r>
      <w:r>
        <w:rPr>
          <w:sz w:val="13"/>
        </w:rPr>
        <w:t>3b</w:t>
      </w:r>
      <w:r>
        <w:rPr>
          <w:sz w:val="22"/>
        </w:rPr>
        <w:t>：大体侵犯甲状腺外带状肌，无论肿瘤大小</w:t>
      </w:r>
    </w:p>
    <w:p>
      <w:pPr>
        <w:spacing w:line="398" w:lineRule="auto" w:before="186"/>
        <w:ind w:left="218" w:right="2424" w:firstLine="659"/>
        <w:jc w:val="left"/>
        <w:rPr>
          <w:sz w:val="22"/>
        </w:rPr>
      </w:pPr>
      <w:r>
        <w:rPr>
          <w:sz w:val="22"/>
        </w:rPr>
        <w:t>带状肌包括：胸骨舌骨肌、胸骨甲状肌、甲状舌骨肌、肩胛舌骨肌pT</w:t>
      </w:r>
      <w:r>
        <w:rPr>
          <w:sz w:val="13"/>
        </w:rPr>
        <w:t>4</w:t>
      </w:r>
      <w:r>
        <w:rPr>
          <w:sz w:val="22"/>
        </w:rPr>
        <w:t>：大体侵犯甲状腺外带状肌外</w:t>
      </w:r>
    </w:p>
    <w:p>
      <w:pPr>
        <w:spacing w:line="398" w:lineRule="auto" w:before="0"/>
        <w:ind w:left="218" w:right="4495" w:firstLine="0"/>
        <w:jc w:val="left"/>
        <w:rPr>
          <w:sz w:val="22"/>
        </w:rPr>
      </w:pPr>
      <w:r>
        <w:rPr>
          <w:spacing w:val="-1"/>
          <w:sz w:val="22"/>
        </w:rPr>
        <w:t>pT</w:t>
      </w:r>
      <w:r>
        <w:rPr>
          <w:spacing w:val="-1"/>
          <w:sz w:val="13"/>
        </w:rPr>
        <w:t>4a</w:t>
      </w:r>
      <w:r>
        <w:rPr>
          <w:spacing w:val="-1"/>
          <w:sz w:val="22"/>
        </w:rPr>
        <w:t>：侵犯喉、气管、食管、喉反神经及皮下软组织</w:t>
      </w:r>
      <w:r>
        <w:rPr>
          <w:sz w:val="22"/>
        </w:rPr>
        <w:t>pT</w:t>
      </w:r>
      <w:r>
        <w:rPr>
          <w:sz w:val="13"/>
        </w:rPr>
        <w:t>4b</w:t>
      </w:r>
      <w:r>
        <w:rPr>
          <w:sz w:val="22"/>
        </w:rPr>
        <w:t>：侵犯椎前筋膜，或包裹颈动脉、纵隔血管</w:t>
      </w:r>
    </w:p>
    <w:p>
      <w:pPr>
        <w:spacing w:after="0" w:line="398" w:lineRule="auto"/>
        <w:jc w:val="left"/>
        <w:rPr>
          <w:sz w:val="22"/>
        </w:rPr>
        <w:sectPr>
          <w:pgSz w:w="11910" w:h="16840"/>
          <w:pgMar w:header="0" w:footer="1195" w:top="1440" w:bottom="1380" w:left="1200" w:right="1020"/>
        </w:sectPr>
      </w:pPr>
    </w:p>
    <w:p>
      <w:pPr>
        <w:spacing w:line="398" w:lineRule="auto" w:before="54"/>
        <w:ind w:left="218" w:right="7197" w:firstLine="0"/>
        <w:jc w:val="left"/>
        <w:rPr>
          <w:sz w:val="22"/>
        </w:rPr>
      </w:pPr>
      <w:r>
        <w:rPr>
          <w:sz w:val="22"/>
        </w:rPr>
        <w:t>甲状腺髓样癌   </w:t>
      </w:r>
      <w:r>
        <w:rPr>
          <w:spacing w:val="11"/>
          <w:sz w:val="22"/>
        </w:rPr>
        <w:t> </w:t>
      </w:r>
      <w:r>
        <w:rPr>
          <w:sz w:val="22"/>
        </w:rPr>
        <w:t>pT</w:t>
      </w:r>
      <w:r>
        <w:rPr>
          <w:sz w:val="13"/>
        </w:rPr>
        <w:t>X</w:t>
      </w:r>
      <w:r>
        <w:rPr>
          <w:sz w:val="22"/>
        </w:rPr>
        <w:t>：原发肿瘤不能评估pT</w:t>
      </w:r>
      <w:r>
        <w:rPr>
          <w:sz w:val="13"/>
        </w:rPr>
        <w:t>0</w:t>
      </w:r>
      <w:r>
        <w:rPr>
          <w:sz w:val="22"/>
        </w:rPr>
        <w:t>：无肿瘤证据</w:t>
      </w:r>
    </w:p>
    <w:p>
      <w:pPr>
        <w:spacing w:line="398" w:lineRule="auto" w:before="1"/>
        <w:ind w:left="768" w:right="5537" w:hanging="550"/>
        <w:jc w:val="left"/>
        <w:rPr>
          <w:sz w:val="22"/>
        </w:rPr>
      </w:pPr>
      <w:r>
        <w:rPr>
          <w:sz w:val="22"/>
        </w:rPr>
        <w:t>pT</w:t>
      </w:r>
      <w:r>
        <w:rPr>
          <w:sz w:val="13"/>
        </w:rPr>
        <w:t>1</w:t>
      </w:r>
      <w:r>
        <w:rPr>
          <w:sz w:val="22"/>
        </w:rPr>
        <w:t>：肿瘤局限在甲状腺内，最大径≤2cm</w:t>
      </w:r>
      <w:r>
        <w:rPr>
          <w:spacing w:val="-107"/>
          <w:sz w:val="22"/>
        </w:rPr>
        <w:t> </w:t>
      </w:r>
      <w:r>
        <w:rPr>
          <w:sz w:val="22"/>
        </w:rPr>
        <w:t>T</w:t>
      </w:r>
      <w:r>
        <w:rPr>
          <w:sz w:val="13"/>
        </w:rPr>
        <w:t>1a</w:t>
      </w:r>
      <w:r>
        <w:rPr>
          <w:sz w:val="22"/>
        </w:rPr>
        <w:t>肿瘤最大径≤1cm</w:t>
      </w:r>
    </w:p>
    <w:p>
      <w:pPr>
        <w:spacing w:line="398" w:lineRule="auto" w:before="0"/>
        <w:ind w:left="218" w:right="6243" w:firstLine="549"/>
        <w:jc w:val="left"/>
        <w:rPr>
          <w:sz w:val="22"/>
        </w:rPr>
      </w:pPr>
      <w:r>
        <w:rPr>
          <w:sz w:val="22"/>
        </w:rPr>
        <w:t>T</w:t>
      </w:r>
      <w:r>
        <w:rPr>
          <w:sz w:val="13"/>
        </w:rPr>
        <w:t>1b</w:t>
      </w:r>
      <w:r>
        <w:rPr>
          <w:sz w:val="22"/>
        </w:rPr>
        <w:t>肿瘤最大径＞1cm，≤2cm</w:t>
      </w:r>
      <w:r>
        <w:rPr>
          <w:spacing w:val="-107"/>
          <w:sz w:val="22"/>
        </w:rPr>
        <w:t> </w:t>
      </w:r>
      <w:r>
        <w:rPr>
          <w:sz w:val="22"/>
        </w:rPr>
        <w:t>pT</w:t>
      </w:r>
      <w:r>
        <w:rPr>
          <w:sz w:val="13"/>
        </w:rPr>
        <w:t>2</w:t>
      </w:r>
      <w:r>
        <w:rPr>
          <w:sz w:val="22"/>
        </w:rPr>
        <w:t>：肿瘤2～4cm</w:t>
      </w:r>
    </w:p>
    <w:p>
      <w:pPr>
        <w:spacing w:line="398" w:lineRule="auto" w:before="0"/>
        <w:ind w:left="218" w:right="3679" w:firstLine="0"/>
        <w:jc w:val="left"/>
        <w:rPr>
          <w:sz w:val="22"/>
        </w:rPr>
      </w:pPr>
      <w:r>
        <w:rPr>
          <w:sz w:val="22"/>
        </w:rPr>
        <w:t>pT</w:t>
      </w:r>
      <w:r>
        <w:rPr>
          <w:sz w:val="13"/>
        </w:rPr>
        <w:t>3</w:t>
      </w:r>
      <w:r>
        <w:rPr>
          <w:sz w:val="22"/>
        </w:rPr>
        <w:t>：肿瘤&gt;4cm，局限于甲状腺内或大体侵犯甲状腺外带状肌pT</w:t>
      </w:r>
      <w:r>
        <w:rPr>
          <w:sz w:val="13"/>
        </w:rPr>
        <w:t>3a</w:t>
      </w:r>
      <w:r>
        <w:rPr>
          <w:sz w:val="22"/>
        </w:rPr>
        <w:t>：肿瘤&gt;4cm，局限于甲状腺内</w:t>
      </w:r>
    </w:p>
    <w:p>
      <w:pPr>
        <w:spacing w:before="1"/>
        <w:ind w:left="218" w:right="0" w:firstLine="0"/>
        <w:jc w:val="left"/>
        <w:rPr>
          <w:sz w:val="22"/>
        </w:rPr>
      </w:pPr>
      <w:r>
        <w:rPr>
          <w:sz w:val="22"/>
        </w:rPr>
        <w:t>pT</w:t>
      </w:r>
      <w:r>
        <w:rPr>
          <w:sz w:val="13"/>
        </w:rPr>
        <w:t>3b</w:t>
      </w:r>
      <w:r>
        <w:rPr>
          <w:sz w:val="22"/>
        </w:rPr>
        <w:t>：大体侵犯甲状腺外带状肌，无论肿瘤大小</w:t>
      </w:r>
    </w:p>
    <w:p>
      <w:pPr>
        <w:spacing w:line="398" w:lineRule="auto" w:before="186"/>
        <w:ind w:left="218" w:right="2424" w:firstLine="659"/>
        <w:jc w:val="left"/>
        <w:rPr>
          <w:sz w:val="22"/>
        </w:rPr>
      </w:pPr>
      <w:r>
        <w:rPr>
          <w:sz w:val="22"/>
        </w:rPr>
        <w:t>带状肌包括：胸骨舌骨肌、胸骨甲状肌、甲状舌骨肌、肩胛舌骨肌pT</w:t>
      </w:r>
      <w:r>
        <w:rPr>
          <w:sz w:val="13"/>
        </w:rPr>
        <w:t>4</w:t>
      </w:r>
      <w:r>
        <w:rPr>
          <w:sz w:val="22"/>
        </w:rPr>
        <w:t>：进展期病变</w:t>
      </w:r>
    </w:p>
    <w:p>
      <w:pPr>
        <w:spacing w:line="398" w:lineRule="auto" w:before="0"/>
        <w:ind w:left="218" w:right="287" w:firstLine="0"/>
        <w:jc w:val="left"/>
        <w:rPr>
          <w:sz w:val="22"/>
        </w:rPr>
      </w:pPr>
      <w:r>
        <w:rPr>
          <w:sz w:val="22"/>
        </w:rPr>
        <w:t>pT</w:t>
      </w:r>
      <w:r>
        <w:rPr>
          <w:sz w:val="13"/>
        </w:rPr>
        <w:t>4a</w:t>
      </w:r>
      <w:r>
        <w:rPr>
          <w:sz w:val="22"/>
        </w:rPr>
        <w:t>：中度进展，任何大小的肿瘤，侵犯甲状腺外颈部周围器官和软组织，如喉、气管、食管、喉反神经及皮下软组织</w:t>
      </w:r>
    </w:p>
    <w:p>
      <w:pPr>
        <w:spacing w:line="398" w:lineRule="auto" w:before="0"/>
        <w:ind w:left="218" w:right="2076" w:firstLine="0"/>
        <w:jc w:val="left"/>
        <w:rPr>
          <w:sz w:val="22"/>
        </w:rPr>
      </w:pPr>
      <w:r>
        <w:rPr>
          <w:spacing w:val="-1"/>
          <w:sz w:val="22"/>
        </w:rPr>
        <w:t>pT</w:t>
      </w:r>
      <w:r>
        <w:rPr>
          <w:spacing w:val="-1"/>
          <w:sz w:val="13"/>
        </w:rPr>
        <w:t>4b</w:t>
      </w:r>
      <w:r>
        <w:rPr>
          <w:spacing w:val="-1"/>
          <w:sz w:val="22"/>
        </w:rPr>
        <w:t>：重度进展，任何大小的肿瘤，侵犯椎前筋膜，或包裹颈动脉、纵隔血管</w:t>
      </w:r>
      <w:r>
        <w:rPr>
          <w:sz w:val="22"/>
        </w:rPr>
        <w:t>区域淋巴结：适用于所有甲状腺癌</w:t>
      </w:r>
    </w:p>
    <w:p>
      <w:pPr>
        <w:spacing w:line="398" w:lineRule="auto" w:before="1"/>
        <w:ind w:left="218" w:right="6979" w:firstLine="0"/>
        <w:jc w:val="left"/>
        <w:rPr>
          <w:sz w:val="22"/>
        </w:rPr>
      </w:pPr>
      <w:r>
        <w:rPr>
          <w:sz w:val="22"/>
        </w:rPr>
        <w:t>pN</w:t>
      </w:r>
      <w:r>
        <w:rPr>
          <w:sz w:val="13"/>
        </w:rPr>
        <w:t>x</w:t>
      </w:r>
      <w:r>
        <w:rPr>
          <w:sz w:val="22"/>
        </w:rPr>
        <w:t>：区域淋巴结无法评估pN</w:t>
      </w:r>
      <w:r>
        <w:rPr>
          <w:sz w:val="13"/>
        </w:rPr>
        <w:t>0</w:t>
      </w:r>
      <w:r>
        <w:rPr>
          <w:sz w:val="22"/>
        </w:rPr>
        <w:t>：无淋巴结转移证据pN</w:t>
      </w:r>
      <w:r>
        <w:rPr>
          <w:sz w:val="13"/>
        </w:rPr>
        <w:t>1</w:t>
      </w:r>
      <w:r>
        <w:rPr>
          <w:sz w:val="22"/>
        </w:rPr>
        <w:t>：区域淋巴结转移</w:t>
      </w:r>
    </w:p>
    <w:p>
      <w:pPr>
        <w:spacing w:line="398" w:lineRule="auto" w:before="0"/>
        <w:ind w:left="218" w:right="421" w:firstLine="0"/>
        <w:jc w:val="left"/>
        <w:rPr>
          <w:sz w:val="22"/>
        </w:rPr>
      </w:pPr>
      <w:r>
        <w:rPr>
          <w:sz w:val="22"/>
        </w:rPr>
        <w:t>pN</w:t>
      </w:r>
      <w:r>
        <w:rPr>
          <w:sz w:val="13"/>
        </w:rPr>
        <w:t>1a</w:t>
      </w:r>
      <w:r>
        <w:rPr>
          <w:sz w:val="22"/>
        </w:rPr>
        <w:t>：转移至Ⅵ、Ⅶ区（包括气管旁、气管前、喉前/Delphian或上纵隔）淋巴结，可以为单侧或双侧。</w:t>
      </w:r>
    </w:p>
    <w:p>
      <w:pPr>
        <w:spacing w:line="398" w:lineRule="auto" w:before="0"/>
        <w:ind w:left="218" w:right="392" w:firstLine="0"/>
        <w:jc w:val="left"/>
        <w:rPr>
          <w:sz w:val="22"/>
        </w:rPr>
      </w:pPr>
      <w:r>
        <w:rPr>
          <w:spacing w:val="-9"/>
          <w:sz w:val="22"/>
        </w:rPr>
        <w:t>pN</w:t>
      </w:r>
      <w:r>
        <w:rPr>
          <w:spacing w:val="-9"/>
          <w:sz w:val="13"/>
        </w:rPr>
        <w:t>1b</w:t>
      </w:r>
      <w:r>
        <w:rPr>
          <w:spacing w:val="-12"/>
          <w:sz w:val="22"/>
        </w:rPr>
        <w:t>：单侧、双侧或对侧颈淋巴结转移</w:t>
      </w:r>
      <w:r>
        <w:rPr>
          <w:sz w:val="22"/>
        </w:rPr>
        <w:t>（</w:t>
      </w:r>
      <w:r>
        <w:rPr>
          <w:spacing w:val="-15"/>
          <w:sz w:val="22"/>
        </w:rPr>
        <w:t>包括Ⅰ、Ⅱ、Ⅲ、Ⅳ或Ⅴ区</w:t>
      </w:r>
      <w:r>
        <w:rPr>
          <w:spacing w:val="-44"/>
          <w:sz w:val="22"/>
        </w:rPr>
        <w:t>）</w:t>
      </w:r>
      <w:r>
        <w:rPr>
          <w:spacing w:val="-3"/>
          <w:sz w:val="22"/>
        </w:rPr>
        <w:t>淋巴结或咽后淋巴结转移。</w:t>
      </w:r>
      <w:r>
        <w:rPr>
          <w:sz w:val="22"/>
        </w:rPr>
        <w:t>远处转移：适用于所有甲状腺癌</w:t>
      </w:r>
    </w:p>
    <w:p>
      <w:pPr>
        <w:spacing w:before="1"/>
        <w:ind w:left="218" w:right="0" w:firstLine="0"/>
        <w:jc w:val="left"/>
        <w:rPr>
          <w:sz w:val="22"/>
        </w:rPr>
      </w:pPr>
      <w:r>
        <w:rPr>
          <w:sz w:val="22"/>
        </w:rPr>
        <w:t>M</w:t>
      </w:r>
      <w:r>
        <w:rPr>
          <w:sz w:val="13"/>
        </w:rPr>
        <w:t>0</w:t>
      </w:r>
      <w:r>
        <w:rPr>
          <w:sz w:val="22"/>
        </w:rPr>
        <w:t>：无远处转移</w:t>
      </w:r>
    </w:p>
    <w:p>
      <w:pPr>
        <w:pStyle w:val="BodyText"/>
        <w:spacing w:before="4"/>
        <w:rPr>
          <w:sz w:val="7"/>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5"/>
        <w:gridCol w:w="1419"/>
        <w:gridCol w:w="1699"/>
        <w:gridCol w:w="1642"/>
      </w:tblGrid>
      <w:tr>
        <w:trPr>
          <w:trHeight w:val="467" w:hRule="atLeast"/>
        </w:trPr>
        <w:tc>
          <w:tcPr>
            <w:tcW w:w="6995" w:type="dxa"/>
            <w:gridSpan w:val="4"/>
          </w:tcPr>
          <w:p>
            <w:pPr>
              <w:pStyle w:val="TableParagraph"/>
              <w:spacing w:before="92"/>
              <w:rPr>
                <w:sz w:val="22"/>
              </w:rPr>
            </w:pPr>
            <w:r>
              <w:rPr>
                <w:sz w:val="22"/>
              </w:rPr>
              <w:t>M</w:t>
            </w:r>
            <w:r>
              <w:rPr>
                <w:sz w:val="13"/>
              </w:rPr>
              <w:t>1</w:t>
            </w:r>
            <w:r>
              <w:rPr>
                <w:sz w:val="22"/>
              </w:rPr>
              <w:t>：有远处转移乳头状或滤泡状癌（分化型）</w:t>
            </w:r>
          </w:p>
        </w:tc>
      </w:tr>
      <w:tr>
        <w:trPr>
          <w:trHeight w:val="468" w:hRule="atLeast"/>
        </w:trPr>
        <w:tc>
          <w:tcPr>
            <w:tcW w:w="6995" w:type="dxa"/>
            <w:gridSpan w:val="4"/>
          </w:tcPr>
          <w:p>
            <w:pPr>
              <w:pStyle w:val="TableParagraph"/>
              <w:spacing w:before="92"/>
              <w:rPr>
                <w:sz w:val="22"/>
              </w:rPr>
            </w:pPr>
            <w:r>
              <w:rPr>
                <w:sz w:val="22"/>
              </w:rPr>
              <w:t>年龄＜55岁</w:t>
            </w:r>
          </w:p>
        </w:tc>
      </w:tr>
      <w:tr>
        <w:trPr>
          <w:trHeight w:val="470" w:hRule="atLeast"/>
        </w:trPr>
        <w:tc>
          <w:tcPr>
            <w:tcW w:w="2235" w:type="dxa"/>
          </w:tcPr>
          <w:p>
            <w:pPr>
              <w:pStyle w:val="TableParagraph"/>
              <w:spacing w:before="0"/>
              <w:ind w:left="0"/>
              <w:rPr>
                <w:rFonts w:ascii="Times New Roman"/>
                <w:sz w:val="20"/>
              </w:rPr>
            </w:pPr>
          </w:p>
        </w:tc>
        <w:tc>
          <w:tcPr>
            <w:tcW w:w="1419" w:type="dxa"/>
          </w:tcPr>
          <w:p>
            <w:pPr>
              <w:pStyle w:val="TableParagraph"/>
              <w:spacing w:before="94"/>
              <w:ind w:left="107"/>
              <w:rPr>
                <w:sz w:val="22"/>
              </w:rPr>
            </w:pPr>
            <w:r>
              <w:rPr>
                <w:w w:val="100"/>
                <w:sz w:val="22"/>
              </w:rPr>
              <w:t>T</w:t>
            </w:r>
          </w:p>
        </w:tc>
        <w:tc>
          <w:tcPr>
            <w:tcW w:w="1699" w:type="dxa"/>
          </w:tcPr>
          <w:p>
            <w:pPr>
              <w:pStyle w:val="TableParagraph"/>
              <w:spacing w:before="94"/>
              <w:ind w:left="105"/>
              <w:rPr>
                <w:sz w:val="22"/>
              </w:rPr>
            </w:pPr>
            <w:r>
              <w:rPr>
                <w:w w:val="100"/>
                <w:sz w:val="22"/>
              </w:rPr>
              <w:t>N</w:t>
            </w:r>
          </w:p>
        </w:tc>
        <w:tc>
          <w:tcPr>
            <w:tcW w:w="1642" w:type="dxa"/>
          </w:tcPr>
          <w:p>
            <w:pPr>
              <w:pStyle w:val="TableParagraph"/>
              <w:spacing w:before="94"/>
              <w:rPr>
                <w:sz w:val="22"/>
              </w:rPr>
            </w:pPr>
            <w:r>
              <w:rPr>
                <w:w w:val="100"/>
                <w:sz w:val="22"/>
              </w:rPr>
              <w:t>M</w:t>
            </w:r>
          </w:p>
        </w:tc>
      </w:tr>
      <w:tr>
        <w:trPr>
          <w:trHeight w:val="467" w:hRule="atLeast"/>
        </w:trPr>
        <w:tc>
          <w:tcPr>
            <w:tcW w:w="2235" w:type="dxa"/>
          </w:tcPr>
          <w:p>
            <w:pPr>
              <w:pStyle w:val="TableParagraph"/>
              <w:rPr>
                <w:sz w:val="22"/>
              </w:rPr>
            </w:pPr>
            <w:r>
              <w:rPr>
                <w:sz w:val="22"/>
              </w:rPr>
              <w:t>Ⅰ期</w:t>
            </w:r>
          </w:p>
        </w:tc>
        <w:tc>
          <w:tcPr>
            <w:tcW w:w="1419" w:type="dxa"/>
          </w:tcPr>
          <w:p>
            <w:pPr>
              <w:pStyle w:val="TableParagraph"/>
              <w:ind w:left="107"/>
              <w:rPr>
                <w:sz w:val="22"/>
              </w:rPr>
            </w:pPr>
            <w:r>
              <w:rPr>
                <w:sz w:val="22"/>
              </w:rPr>
              <w:t>任何</w:t>
            </w:r>
          </w:p>
        </w:tc>
        <w:tc>
          <w:tcPr>
            <w:tcW w:w="1699" w:type="dxa"/>
          </w:tcPr>
          <w:p>
            <w:pPr>
              <w:pStyle w:val="TableParagraph"/>
              <w:ind w:left="105"/>
              <w:rPr>
                <w:sz w:val="22"/>
              </w:rPr>
            </w:pPr>
            <w:r>
              <w:rPr>
                <w:sz w:val="22"/>
              </w:rPr>
              <w:t>任何</w:t>
            </w:r>
          </w:p>
        </w:tc>
        <w:tc>
          <w:tcPr>
            <w:tcW w:w="1642" w:type="dxa"/>
          </w:tcPr>
          <w:p>
            <w:pPr>
              <w:pStyle w:val="TableParagraph"/>
              <w:rPr>
                <w:sz w:val="22"/>
              </w:rPr>
            </w:pPr>
            <w:r>
              <w:rPr>
                <w:w w:val="100"/>
                <w:sz w:val="22"/>
              </w:rPr>
              <w:t>0</w:t>
            </w:r>
          </w:p>
        </w:tc>
      </w:tr>
      <w:tr>
        <w:trPr>
          <w:trHeight w:val="467" w:hRule="atLeast"/>
        </w:trPr>
        <w:tc>
          <w:tcPr>
            <w:tcW w:w="2235" w:type="dxa"/>
          </w:tcPr>
          <w:p>
            <w:pPr>
              <w:pStyle w:val="TableParagraph"/>
              <w:spacing w:before="92"/>
              <w:rPr>
                <w:sz w:val="22"/>
              </w:rPr>
            </w:pPr>
            <w:r>
              <w:rPr>
                <w:sz w:val="22"/>
              </w:rPr>
              <w:t>Ⅱ期</w:t>
            </w:r>
          </w:p>
        </w:tc>
        <w:tc>
          <w:tcPr>
            <w:tcW w:w="1419" w:type="dxa"/>
          </w:tcPr>
          <w:p>
            <w:pPr>
              <w:pStyle w:val="TableParagraph"/>
              <w:spacing w:before="92"/>
              <w:ind w:left="107"/>
              <w:rPr>
                <w:sz w:val="22"/>
              </w:rPr>
            </w:pPr>
            <w:r>
              <w:rPr>
                <w:sz w:val="22"/>
              </w:rPr>
              <w:t>任何</w:t>
            </w:r>
          </w:p>
        </w:tc>
        <w:tc>
          <w:tcPr>
            <w:tcW w:w="1699" w:type="dxa"/>
          </w:tcPr>
          <w:p>
            <w:pPr>
              <w:pStyle w:val="TableParagraph"/>
              <w:spacing w:before="92"/>
              <w:ind w:left="105"/>
              <w:rPr>
                <w:sz w:val="22"/>
              </w:rPr>
            </w:pPr>
            <w:r>
              <w:rPr>
                <w:sz w:val="22"/>
              </w:rPr>
              <w:t>任何</w:t>
            </w:r>
          </w:p>
        </w:tc>
        <w:tc>
          <w:tcPr>
            <w:tcW w:w="1642" w:type="dxa"/>
          </w:tcPr>
          <w:p>
            <w:pPr>
              <w:pStyle w:val="TableParagraph"/>
              <w:spacing w:before="92"/>
              <w:rPr>
                <w:sz w:val="22"/>
              </w:rPr>
            </w:pPr>
            <w:r>
              <w:rPr>
                <w:w w:val="100"/>
                <w:sz w:val="22"/>
              </w:rPr>
              <w:t>1</w:t>
            </w:r>
          </w:p>
        </w:tc>
      </w:tr>
    </w:tbl>
    <w:p>
      <w:pPr>
        <w:spacing w:after="0"/>
        <w:rPr>
          <w:sz w:val="22"/>
        </w:rPr>
        <w:sectPr>
          <w:pgSz w:w="11910" w:h="16840"/>
          <w:pgMar w:header="0" w:footer="1195" w:top="1380" w:bottom="1632" w:left="1200" w:right="10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5"/>
        <w:gridCol w:w="1419"/>
        <w:gridCol w:w="1699"/>
        <w:gridCol w:w="1642"/>
      </w:tblGrid>
      <w:tr>
        <w:trPr>
          <w:trHeight w:val="467" w:hRule="atLeast"/>
        </w:trPr>
        <w:tc>
          <w:tcPr>
            <w:tcW w:w="6995" w:type="dxa"/>
            <w:gridSpan w:val="4"/>
          </w:tcPr>
          <w:p>
            <w:pPr>
              <w:pStyle w:val="TableParagraph"/>
              <w:spacing w:before="92"/>
              <w:rPr>
                <w:sz w:val="22"/>
              </w:rPr>
            </w:pPr>
            <w:r>
              <w:rPr>
                <w:sz w:val="22"/>
              </w:rPr>
              <w:t>年龄≥55岁</w:t>
            </w:r>
          </w:p>
        </w:tc>
      </w:tr>
      <w:tr>
        <w:trPr>
          <w:trHeight w:val="467" w:hRule="atLeast"/>
        </w:trPr>
        <w:tc>
          <w:tcPr>
            <w:tcW w:w="2235" w:type="dxa"/>
            <w:vMerge w:val="restart"/>
          </w:tcPr>
          <w:p>
            <w:pPr>
              <w:pStyle w:val="TableParagraph"/>
              <w:spacing w:before="11"/>
              <w:ind w:left="0"/>
              <w:rPr>
                <w:sz w:val="25"/>
              </w:rPr>
            </w:pPr>
          </w:p>
          <w:p>
            <w:pPr>
              <w:pStyle w:val="TableParagraph"/>
              <w:spacing w:before="1"/>
              <w:rPr>
                <w:sz w:val="22"/>
              </w:rPr>
            </w:pPr>
            <w:r>
              <w:rPr>
                <w:sz w:val="22"/>
              </w:rPr>
              <w:t>Ⅰ期</w:t>
            </w:r>
          </w:p>
        </w:tc>
        <w:tc>
          <w:tcPr>
            <w:tcW w:w="1419" w:type="dxa"/>
          </w:tcPr>
          <w:p>
            <w:pPr>
              <w:pStyle w:val="TableParagraph"/>
              <w:spacing w:before="92"/>
              <w:ind w:left="107"/>
              <w:rPr>
                <w:sz w:val="22"/>
              </w:rPr>
            </w:pPr>
            <w:r>
              <w:rPr>
                <w:w w:val="100"/>
                <w:sz w:val="22"/>
              </w:rPr>
              <w:t>1</w:t>
            </w:r>
          </w:p>
        </w:tc>
        <w:tc>
          <w:tcPr>
            <w:tcW w:w="1699" w:type="dxa"/>
          </w:tcPr>
          <w:p>
            <w:pPr>
              <w:pStyle w:val="TableParagraph"/>
              <w:spacing w:before="92"/>
              <w:ind w:left="105"/>
              <w:rPr>
                <w:sz w:val="22"/>
              </w:rPr>
            </w:pPr>
            <w:r>
              <w:rPr>
                <w:sz w:val="22"/>
              </w:rPr>
              <w:t>0/x</w:t>
            </w:r>
          </w:p>
        </w:tc>
        <w:tc>
          <w:tcPr>
            <w:tcW w:w="1642" w:type="dxa"/>
          </w:tcPr>
          <w:p>
            <w:pPr>
              <w:pStyle w:val="TableParagraph"/>
              <w:spacing w:before="92"/>
              <w:rPr>
                <w:sz w:val="22"/>
              </w:rPr>
            </w:pPr>
            <w:r>
              <w:rPr>
                <w:w w:val="100"/>
                <w:sz w:val="22"/>
              </w:rPr>
              <w:t>0</w:t>
            </w:r>
          </w:p>
        </w:tc>
      </w:tr>
      <w:tr>
        <w:trPr>
          <w:trHeight w:val="470" w:hRule="atLeast"/>
        </w:trPr>
        <w:tc>
          <w:tcPr>
            <w:tcW w:w="2235" w:type="dxa"/>
            <w:vMerge/>
            <w:tcBorders>
              <w:top w:val="nil"/>
            </w:tcBorders>
          </w:tcPr>
          <w:p>
            <w:pPr>
              <w:rPr>
                <w:sz w:val="2"/>
                <w:szCs w:val="2"/>
              </w:rPr>
            </w:pPr>
          </w:p>
        </w:tc>
        <w:tc>
          <w:tcPr>
            <w:tcW w:w="1419" w:type="dxa"/>
          </w:tcPr>
          <w:p>
            <w:pPr>
              <w:pStyle w:val="TableParagraph"/>
              <w:spacing w:before="94"/>
              <w:ind w:left="107"/>
              <w:rPr>
                <w:sz w:val="22"/>
              </w:rPr>
            </w:pPr>
            <w:r>
              <w:rPr>
                <w:w w:val="100"/>
                <w:sz w:val="22"/>
              </w:rPr>
              <w:t>2</w:t>
            </w:r>
          </w:p>
        </w:tc>
        <w:tc>
          <w:tcPr>
            <w:tcW w:w="1699" w:type="dxa"/>
          </w:tcPr>
          <w:p>
            <w:pPr>
              <w:pStyle w:val="TableParagraph"/>
              <w:spacing w:before="94"/>
              <w:ind w:left="105"/>
              <w:rPr>
                <w:sz w:val="22"/>
              </w:rPr>
            </w:pPr>
            <w:r>
              <w:rPr>
                <w:sz w:val="22"/>
              </w:rPr>
              <w:t>0/x</w:t>
            </w:r>
          </w:p>
        </w:tc>
        <w:tc>
          <w:tcPr>
            <w:tcW w:w="1642" w:type="dxa"/>
          </w:tcPr>
          <w:p>
            <w:pPr>
              <w:pStyle w:val="TableParagraph"/>
              <w:spacing w:before="94"/>
              <w:rPr>
                <w:sz w:val="22"/>
              </w:rPr>
            </w:pPr>
            <w:r>
              <w:rPr>
                <w:w w:val="100"/>
                <w:sz w:val="22"/>
              </w:rPr>
              <w:t>0</w:t>
            </w:r>
          </w:p>
        </w:tc>
      </w:tr>
      <w:tr>
        <w:trPr>
          <w:trHeight w:val="467" w:hRule="atLeast"/>
        </w:trPr>
        <w:tc>
          <w:tcPr>
            <w:tcW w:w="2235" w:type="dxa"/>
          </w:tcPr>
          <w:p>
            <w:pPr>
              <w:pStyle w:val="TableParagraph"/>
              <w:rPr>
                <w:sz w:val="22"/>
              </w:rPr>
            </w:pPr>
            <w:r>
              <w:rPr>
                <w:sz w:val="22"/>
              </w:rPr>
              <w:t>Ⅱ期</w:t>
            </w:r>
          </w:p>
        </w:tc>
        <w:tc>
          <w:tcPr>
            <w:tcW w:w="1419" w:type="dxa"/>
          </w:tcPr>
          <w:p>
            <w:pPr>
              <w:pStyle w:val="TableParagraph"/>
              <w:ind w:left="107"/>
              <w:rPr>
                <w:sz w:val="22"/>
              </w:rPr>
            </w:pPr>
            <w:r>
              <w:rPr>
                <w:sz w:val="22"/>
              </w:rPr>
              <w:t>1～2</w:t>
            </w:r>
          </w:p>
        </w:tc>
        <w:tc>
          <w:tcPr>
            <w:tcW w:w="1699" w:type="dxa"/>
          </w:tcPr>
          <w:p>
            <w:pPr>
              <w:pStyle w:val="TableParagraph"/>
              <w:ind w:left="105"/>
              <w:rPr>
                <w:sz w:val="22"/>
              </w:rPr>
            </w:pPr>
            <w:r>
              <w:rPr>
                <w:w w:val="100"/>
                <w:sz w:val="22"/>
              </w:rPr>
              <w:t>1</w:t>
            </w:r>
          </w:p>
        </w:tc>
        <w:tc>
          <w:tcPr>
            <w:tcW w:w="1642" w:type="dxa"/>
          </w:tcPr>
          <w:p>
            <w:pPr>
              <w:pStyle w:val="TableParagraph"/>
              <w:rPr>
                <w:sz w:val="22"/>
              </w:rPr>
            </w:pPr>
            <w:r>
              <w:rPr>
                <w:w w:val="100"/>
                <w:sz w:val="22"/>
              </w:rPr>
              <w:t>0</w:t>
            </w:r>
          </w:p>
        </w:tc>
      </w:tr>
      <w:tr>
        <w:trPr>
          <w:trHeight w:val="467" w:hRule="atLeast"/>
        </w:trPr>
        <w:tc>
          <w:tcPr>
            <w:tcW w:w="2235" w:type="dxa"/>
            <w:vMerge w:val="restart"/>
          </w:tcPr>
          <w:p>
            <w:pPr>
              <w:pStyle w:val="TableParagraph"/>
              <w:spacing w:before="9"/>
              <w:ind w:left="0"/>
              <w:rPr>
                <w:sz w:val="25"/>
              </w:rPr>
            </w:pPr>
          </w:p>
          <w:p>
            <w:pPr>
              <w:pStyle w:val="TableParagraph"/>
              <w:spacing w:before="0"/>
              <w:rPr>
                <w:sz w:val="22"/>
              </w:rPr>
            </w:pPr>
            <w:r>
              <w:rPr>
                <w:sz w:val="22"/>
              </w:rPr>
              <w:t>II期</w:t>
            </w:r>
          </w:p>
        </w:tc>
        <w:tc>
          <w:tcPr>
            <w:tcW w:w="1419" w:type="dxa"/>
          </w:tcPr>
          <w:p>
            <w:pPr>
              <w:pStyle w:val="TableParagraph"/>
              <w:ind w:left="107"/>
              <w:rPr>
                <w:sz w:val="22"/>
              </w:rPr>
            </w:pPr>
            <w:r>
              <w:rPr>
                <w:sz w:val="22"/>
              </w:rPr>
              <w:t>1~2</w:t>
            </w:r>
          </w:p>
        </w:tc>
        <w:tc>
          <w:tcPr>
            <w:tcW w:w="1699" w:type="dxa"/>
          </w:tcPr>
          <w:p>
            <w:pPr>
              <w:pStyle w:val="TableParagraph"/>
              <w:ind w:left="105"/>
              <w:rPr>
                <w:sz w:val="22"/>
              </w:rPr>
            </w:pPr>
            <w:r>
              <w:rPr>
                <w:w w:val="100"/>
                <w:sz w:val="22"/>
              </w:rPr>
              <w:t>1</w:t>
            </w:r>
          </w:p>
        </w:tc>
        <w:tc>
          <w:tcPr>
            <w:tcW w:w="1642" w:type="dxa"/>
          </w:tcPr>
          <w:p>
            <w:pPr>
              <w:pStyle w:val="TableParagraph"/>
              <w:rPr>
                <w:sz w:val="22"/>
              </w:rPr>
            </w:pPr>
            <w:r>
              <w:rPr>
                <w:w w:val="100"/>
                <w:sz w:val="22"/>
              </w:rPr>
              <w:t>0</w:t>
            </w:r>
          </w:p>
        </w:tc>
      </w:tr>
      <w:tr>
        <w:trPr>
          <w:trHeight w:val="467" w:hRule="atLeast"/>
        </w:trPr>
        <w:tc>
          <w:tcPr>
            <w:tcW w:w="2235" w:type="dxa"/>
            <w:vMerge/>
            <w:tcBorders>
              <w:top w:val="nil"/>
            </w:tcBorders>
          </w:tcPr>
          <w:p>
            <w:pPr>
              <w:rPr>
                <w:sz w:val="2"/>
                <w:szCs w:val="2"/>
              </w:rPr>
            </w:pPr>
          </w:p>
        </w:tc>
        <w:tc>
          <w:tcPr>
            <w:tcW w:w="1419" w:type="dxa"/>
          </w:tcPr>
          <w:p>
            <w:pPr>
              <w:pStyle w:val="TableParagraph"/>
              <w:ind w:left="107"/>
              <w:rPr>
                <w:sz w:val="22"/>
              </w:rPr>
            </w:pPr>
            <w:r>
              <w:rPr>
                <w:sz w:val="22"/>
              </w:rPr>
              <w:t>3a~3b</w:t>
            </w:r>
          </w:p>
        </w:tc>
        <w:tc>
          <w:tcPr>
            <w:tcW w:w="1699" w:type="dxa"/>
          </w:tcPr>
          <w:p>
            <w:pPr>
              <w:pStyle w:val="TableParagraph"/>
              <w:ind w:left="105"/>
              <w:rPr>
                <w:sz w:val="22"/>
              </w:rPr>
            </w:pPr>
            <w:r>
              <w:rPr>
                <w:sz w:val="22"/>
              </w:rPr>
              <w:t>任何</w:t>
            </w:r>
          </w:p>
        </w:tc>
        <w:tc>
          <w:tcPr>
            <w:tcW w:w="1642" w:type="dxa"/>
          </w:tcPr>
          <w:p>
            <w:pPr>
              <w:pStyle w:val="TableParagraph"/>
              <w:rPr>
                <w:sz w:val="22"/>
              </w:rPr>
            </w:pPr>
            <w:r>
              <w:rPr>
                <w:w w:val="100"/>
                <w:sz w:val="22"/>
              </w:rPr>
              <w:t>0</w:t>
            </w:r>
          </w:p>
        </w:tc>
      </w:tr>
      <w:tr>
        <w:trPr>
          <w:trHeight w:val="467" w:hRule="atLeast"/>
        </w:trPr>
        <w:tc>
          <w:tcPr>
            <w:tcW w:w="2235" w:type="dxa"/>
          </w:tcPr>
          <w:p>
            <w:pPr>
              <w:pStyle w:val="TableParagraph"/>
              <w:rPr>
                <w:sz w:val="22"/>
              </w:rPr>
            </w:pPr>
            <w:r>
              <w:rPr>
                <w:sz w:val="22"/>
              </w:rPr>
              <w:t>Ⅲ期</w:t>
            </w:r>
          </w:p>
        </w:tc>
        <w:tc>
          <w:tcPr>
            <w:tcW w:w="1419" w:type="dxa"/>
          </w:tcPr>
          <w:p>
            <w:pPr>
              <w:pStyle w:val="TableParagraph"/>
              <w:ind w:left="107"/>
              <w:rPr>
                <w:sz w:val="22"/>
              </w:rPr>
            </w:pPr>
            <w:r>
              <w:rPr>
                <w:sz w:val="22"/>
              </w:rPr>
              <w:t>4a</w:t>
            </w:r>
          </w:p>
        </w:tc>
        <w:tc>
          <w:tcPr>
            <w:tcW w:w="1699" w:type="dxa"/>
          </w:tcPr>
          <w:p>
            <w:pPr>
              <w:pStyle w:val="TableParagraph"/>
              <w:ind w:left="105"/>
              <w:rPr>
                <w:sz w:val="22"/>
              </w:rPr>
            </w:pPr>
            <w:r>
              <w:rPr>
                <w:sz w:val="22"/>
              </w:rPr>
              <w:t>任何</w:t>
            </w:r>
          </w:p>
        </w:tc>
        <w:tc>
          <w:tcPr>
            <w:tcW w:w="1642" w:type="dxa"/>
          </w:tcPr>
          <w:p>
            <w:pPr>
              <w:pStyle w:val="TableParagraph"/>
              <w:rPr>
                <w:sz w:val="22"/>
              </w:rPr>
            </w:pPr>
            <w:r>
              <w:rPr>
                <w:w w:val="100"/>
                <w:sz w:val="22"/>
              </w:rPr>
              <w:t>0</w:t>
            </w:r>
          </w:p>
        </w:tc>
      </w:tr>
      <w:tr>
        <w:trPr>
          <w:trHeight w:val="467" w:hRule="atLeast"/>
        </w:trPr>
        <w:tc>
          <w:tcPr>
            <w:tcW w:w="2235" w:type="dxa"/>
          </w:tcPr>
          <w:p>
            <w:pPr>
              <w:pStyle w:val="TableParagraph"/>
              <w:spacing w:before="92"/>
              <w:rPr>
                <w:sz w:val="22"/>
              </w:rPr>
            </w:pPr>
            <w:r>
              <w:rPr>
                <w:sz w:val="22"/>
              </w:rPr>
              <w:t>Ⅳ</w:t>
            </w:r>
            <w:r>
              <w:rPr>
                <w:sz w:val="21"/>
              </w:rPr>
              <w:t>A</w:t>
            </w:r>
            <w:r>
              <w:rPr>
                <w:sz w:val="22"/>
              </w:rPr>
              <w:t>期</w:t>
            </w:r>
          </w:p>
        </w:tc>
        <w:tc>
          <w:tcPr>
            <w:tcW w:w="1419" w:type="dxa"/>
          </w:tcPr>
          <w:p>
            <w:pPr>
              <w:pStyle w:val="TableParagraph"/>
              <w:spacing w:before="92"/>
              <w:ind w:left="107"/>
              <w:rPr>
                <w:sz w:val="22"/>
              </w:rPr>
            </w:pPr>
            <w:r>
              <w:rPr>
                <w:sz w:val="22"/>
              </w:rPr>
              <w:t>4b</w:t>
            </w:r>
          </w:p>
        </w:tc>
        <w:tc>
          <w:tcPr>
            <w:tcW w:w="1699" w:type="dxa"/>
          </w:tcPr>
          <w:p>
            <w:pPr>
              <w:pStyle w:val="TableParagraph"/>
              <w:spacing w:before="92"/>
              <w:ind w:left="105"/>
              <w:rPr>
                <w:sz w:val="22"/>
              </w:rPr>
            </w:pPr>
            <w:r>
              <w:rPr>
                <w:sz w:val="22"/>
              </w:rPr>
              <w:t>任何</w:t>
            </w:r>
          </w:p>
        </w:tc>
        <w:tc>
          <w:tcPr>
            <w:tcW w:w="1642" w:type="dxa"/>
          </w:tcPr>
          <w:p>
            <w:pPr>
              <w:pStyle w:val="TableParagraph"/>
              <w:spacing w:before="92"/>
              <w:rPr>
                <w:sz w:val="22"/>
              </w:rPr>
            </w:pPr>
            <w:r>
              <w:rPr>
                <w:w w:val="100"/>
                <w:sz w:val="22"/>
              </w:rPr>
              <w:t>0</w:t>
            </w:r>
          </w:p>
        </w:tc>
      </w:tr>
      <w:tr>
        <w:trPr>
          <w:trHeight w:val="470" w:hRule="atLeast"/>
        </w:trPr>
        <w:tc>
          <w:tcPr>
            <w:tcW w:w="2235" w:type="dxa"/>
          </w:tcPr>
          <w:p>
            <w:pPr>
              <w:pStyle w:val="TableParagraph"/>
              <w:spacing w:before="94"/>
              <w:rPr>
                <w:sz w:val="22"/>
              </w:rPr>
            </w:pPr>
            <w:r>
              <w:rPr>
                <w:sz w:val="22"/>
              </w:rPr>
              <w:t>Ⅳ</w:t>
            </w:r>
            <w:r>
              <w:rPr>
                <w:sz w:val="21"/>
              </w:rPr>
              <w:t>B</w:t>
            </w:r>
            <w:r>
              <w:rPr>
                <w:sz w:val="22"/>
              </w:rPr>
              <w:t>期</w:t>
            </w:r>
          </w:p>
        </w:tc>
        <w:tc>
          <w:tcPr>
            <w:tcW w:w="1419" w:type="dxa"/>
          </w:tcPr>
          <w:p>
            <w:pPr>
              <w:pStyle w:val="TableParagraph"/>
              <w:spacing w:before="94"/>
              <w:ind w:left="107"/>
              <w:rPr>
                <w:sz w:val="22"/>
              </w:rPr>
            </w:pPr>
            <w:r>
              <w:rPr>
                <w:sz w:val="22"/>
              </w:rPr>
              <w:t>任何</w:t>
            </w:r>
          </w:p>
        </w:tc>
        <w:tc>
          <w:tcPr>
            <w:tcW w:w="1699" w:type="dxa"/>
          </w:tcPr>
          <w:p>
            <w:pPr>
              <w:pStyle w:val="TableParagraph"/>
              <w:spacing w:before="94"/>
              <w:ind w:left="105"/>
              <w:rPr>
                <w:sz w:val="22"/>
              </w:rPr>
            </w:pPr>
            <w:r>
              <w:rPr>
                <w:sz w:val="22"/>
              </w:rPr>
              <w:t>任何</w:t>
            </w:r>
          </w:p>
        </w:tc>
        <w:tc>
          <w:tcPr>
            <w:tcW w:w="1642" w:type="dxa"/>
          </w:tcPr>
          <w:p>
            <w:pPr>
              <w:pStyle w:val="TableParagraph"/>
              <w:spacing w:before="94"/>
              <w:rPr>
                <w:sz w:val="22"/>
              </w:rPr>
            </w:pPr>
            <w:r>
              <w:rPr>
                <w:w w:val="100"/>
                <w:sz w:val="22"/>
              </w:rPr>
              <w:t>1</w:t>
            </w:r>
          </w:p>
        </w:tc>
      </w:tr>
      <w:tr>
        <w:trPr>
          <w:trHeight w:val="467" w:hRule="atLeast"/>
        </w:trPr>
        <w:tc>
          <w:tcPr>
            <w:tcW w:w="6995" w:type="dxa"/>
            <w:gridSpan w:val="4"/>
          </w:tcPr>
          <w:p>
            <w:pPr>
              <w:pStyle w:val="TableParagraph"/>
              <w:rPr>
                <w:sz w:val="22"/>
              </w:rPr>
            </w:pPr>
            <w:r>
              <w:rPr>
                <w:sz w:val="22"/>
              </w:rPr>
              <w:t>髓样癌（所有年龄组）</w:t>
            </w:r>
          </w:p>
        </w:tc>
      </w:tr>
      <w:tr>
        <w:trPr>
          <w:trHeight w:val="467" w:hRule="atLeast"/>
        </w:trPr>
        <w:tc>
          <w:tcPr>
            <w:tcW w:w="2235" w:type="dxa"/>
          </w:tcPr>
          <w:p>
            <w:pPr>
              <w:pStyle w:val="TableParagraph"/>
              <w:rPr>
                <w:sz w:val="22"/>
              </w:rPr>
            </w:pPr>
            <w:r>
              <w:rPr>
                <w:sz w:val="22"/>
              </w:rPr>
              <w:t>Ⅰ期</w:t>
            </w:r>
          </w:p>
        </w:tc>
        <w:tc>
          <w:tcPr>
            <w:tcW w:w="1419" w:type="dxa"/>
          </w:tcPr>
          <w:p>
            <w:pPr>
              <w:pStyle w:val="TableParagraph"/>
              <w:ind w:left="107"/>
              <w:rPr>
                <w:sz w:val="22"/>
              </w:rPr>
            </w:pPr>
            <w:r>
              <w:rPr>
                <w:w w:val="100"/>
                <w:sz w:val="22"/>
              </w:rPr>
              <w:t>1</w:t>
            </w:r>
          </w:p>
        </w:tc>
        <w:tc>
          <w:tcPr>
            <w:tcW w:w="1699" w:type="dxa"/>
          </w:tcPr>
          <w:p>
            <w:pPr>
              <w:pStyle w:val="TableParagraph"/>
              <w:ind w:left="105"/>
              <w:rPr>
                <w:sz w:val="22"/>
              </w:rPr>
            </w:pPr>
            <w:r>
              <w:rPr>
                <w:w w:val="100"/>
                <w:sz w:val="22"/>
              </w:rPr>
              <w:t>0</w:t>
            </w:r>
          </w:p>
        </w:tc>
        <w:tc>
          <w:tcPr>
            <w:tcW w:w="1642" w:type="dxa"/>
          </w:tcPr>
          <w:p>
            <w:pPr>
              <w:pStyle w:val="TableParagraph"/>
              <w:rPr>
                <w:sz w:val="22"/>
              </w:rPr>
            </w:pPr>
            <w:r>
              <w:rPr>
                <w:w w:val="100"/>
                <w:sz w:val="22"/>
              </w:rPr>
              <w:t>0</w:t>
            </w:r>
          </w:p>
        </w:tc>
      </w:tr>
      <w:tr>
        <w:trPr>
          <w:trHeight w:val="467" w:hRule="atLeast"/>
        </w:trPr>
        <w:tc>
          <w:tcPr>
            <w:tcW w:w="2235" w:type="dxa"/>
          </w:tcPr>
          <w:p>
            <w:pPr>
              <w:pStyle w:val="TableParagraph"/>
              <w:spacing w:before="92"/>
              <w:rPr>
                <w:sz w:val="22"/>
              </w:rPr>
            </w:pPr>
            <w:r>
              <w:rPr>
                <w:sz w:val="22"/>
              </w:rPr>
              <w:t>Ⅱ期</w:t>
            </w:r>
          </w:p>
        </w:tc>
        <w:tc>
          <w:tcPr>
            <w:tcW w:w="1419" w:type="dxa"/>
          </w:tcPr>
          <w:p>
            <w:pPr>
              <w:pStyle w:val="TableParagraph"/>
              <w:spacing w:before="92"/>
              <w:ind w:left="107"/>
              <w:rPr>
                <w:sz w:val="22"/>
              </w:rPr>
            </w:pPr>
            <w:r>
              <w:rPr>
                <w:sz w:val="22"/>
              </w:rPr>
              <w:t>2～3</w:t>
            </w:r>
          </w:p>
        </w:tc>
        <w:tc>
          <w:tcPr>
            <w:tcW w:w="1699" w:type="dxa"/>
          </w:tcPr>
          <w:p>
            <w:pPr>
              <w:pStyle w:val="TableParagraph"/>
              <w:spacing w:before="92"/>
              <w:ind w:left="105"/>
              <w:rPr>
                <w:sz w:val="22"/>
              </w:rPr>
            </w:pPr>
            <w:r>
              <w:rPr>
                <w:w w:val="100"/>
                <w:sz w:val="22"/>
              </w:rPr>
              <w:t>0</w:t>
            </w:r>
          </w:p>
        </w:tc>
        <w:tc>
          <w:tcPr>
            <w:tcW w:w="1642" w:type="dxa"/>
          </w:tcPr>
          <w:p>
            <w:pPr>
              <w:pStyle w:val="TableParagraph"/>
              <w:spacing w:before="92"/>
              <w:rPr>
                <w:sz w:val="22"/>
              </w:rPr>
            </w:pPr>
            <w:r>
              <w:rPr>
                <w:w w:val="100"/>
                <w:sz w:val="22"/>
              </w:rPr>
              <w:t>0</w:t>
            </w:r>
          </w:p>
        </w:tc>
      </w:tr>
      <w:tr>
        <w:trPr>
          <w:trHeight w:val="467" w:hRule="atLeast"/>
        </w:trPr>
        <w:tc>
          <w:tcPr>
            <w:tcW w:w="2235" w:type="dxa"/>
          </w:tcPr>
          <w:p>
            <w:pPr>
              <w:pStyle w:val="TableParagraph"/>
              <w:rPr>
                <w:sz w:val="22"/>
              </w:rPr>
            </w:pPr>
            <w:r>
              <w:rPr>
                <w:sz w:val="22"/>
              </w:rPr>
              <w:t>Ⅲ期</w:t>
            </w:r>
          </w:p>
        </w:tc>
        <w:tc>
          <w:tcPr>
            <w:tcW w:w="1419" w:type="dxa"/>
          </w:tcPr>
          <w:p>
            <w:pPr>
              <w:pStyle w:val="TableParagraph"/>
              <w:ind w:left="107"/>
              <w:rPr>
                <w:sz w:val="22"/>
              </w:rPr>
            </w:pPr>
            <w:r>
              <w:rPr>
                <w:sz w:val="22"/>
              </w:rPr>
              <w:t>1～3</w:t>
            </w:r>
          </w:p>
        </w:tc>
        <w:tc>
          <w:tcPr>
            <w:tcW w:w="1699" w:type="dxa"/>
          </w:tcPr>
          <w:p>
            <w:pPr>
              <w:pStyle w:val="TableParagraph"/>
              <w:ind w:left="105"/>
              <w:rPr>
                <w:sz w:val="22"/>
              </w:rPr>
            </w:pPr>
            <w:r>
              <w:rPr>
                <w:sz w:val="22"/>
              </w:rPr>
              <w:t>1a</w:t>
            </w:r>
          </w:p>
        </w:tc>
        <w:tc>
          <w:tcPr>
            <w:tcW w:w="1642" w:type="dxa"/>
          </w:tcPr>
          <w:p>
            <w:pPr>
              <w:pStyle w:val="TableParagraph"/>
              <w:rPr>
                <w:sz w:val="22"/>
              </w:rPr>
            </w:pPr>
            <w:r>
              <w:rPr>
                <w:w w:val="100"/>
                <w:sz w:val="22"/>
              </w:rPr>
              <w:t>0</w:t>
            </w:r>
          </w:p>
        </w:tc>
      </w:tr>
      <w:tr>
        <w:trPr>
          <w:trHeight w:val="467" w:hRule="atLeast"/>
        </w:trPr>
        <w:tc>
          <w:tcPr>
            <w:tcW w:w="2235" w:type="dxa"/>
            <w:vMerge w:val="restart"/>
          </w:tcPr>
          <w:p>
            <w:pPr>
              <w:pStyle w:val="TableParagraph"/>
              <w:spacing w:before="11"/>
              <w:ind w:left="0"/>
              <w:rPr>
                <w:sz w:val="25"/>
              </w:rPr>
            </w:pPr>
          </w:p>
          <w:p>
            <w:pPr>
              <w:pStyle w:val="TableParagraph"/>
              <w:spacing w:before="0"/>
              <w:rPr>
                <w:sz w:val="22"/>
              </w:rPr>
            </w:pPr>
            <w:r>
              <w:rPr>
                <w:sz w:val="22"/>
              </w:rPr>
              <w:t>ⅣA期</w:t>
            </w:r>
          </w:p>
        </w:tc>
        <w:tc>
          <w:tcPr>
            <w:tcW w:w="1419" w:type="dxa"/>
          </w:tcPr>
          <w:p>
            <w:pPr>
              <w:pStyle w:val="TableParagraph"/>
              <w:ind w:left="107"/>
              <w:rPr>
                <w:sz w:val="22"/>
              </w:rPr>
            </w:pPr>
            <w:r>
              <w:rPr>
                <w:sz w:val="22"/>
              </w:rPr>
              <w:t>4a</w:t>
            </w:r>
          </w:p>
        </w:tc>
        <w:tc>
          <w:tcPr>
            <w:tcW w:w="1699" w:type="dxa"/>
          </w:tcPr>
          <w:p>
            <w:pPr>
              <w:pStyle w:val="TableParagraph"/>
              <w:ind w:left="105"/>
              <w:rPr>
                <w:sz w:val="22"/>
              </w:rPr>
            </w:pPr>
            <w:r>
              <w:rPr>
                <w:sz w:val="22"/>
              </w:rPr>
              <w:t>任何</w:t>
            </w:r>
          </w:p>
        </w:tc>
        <w:tc>
          <w:tcPr>
            <w:tcW w:w="1642" w:type="dxa"/>
          </w:tcPr>
          <w:p>
            <w:pPr>
              <w:pStyle w:val="TableParagraph"/>
              <w:rPr>
                <w:sz w:val="22"/>
              </w:rPr>
            </w:pPr>
            <w:r>
              <w:rPr>
                <w:w w:val="100"/>
                <w:sz w:val="22"/>
              </w:rPr>
              <w:t>0</w:t>
            </w:r>
          </w:p>
        </w:tc>
      </w:tr>
      <w:tr>
        <w:trPr>
          <w:trHeight w:val="470" w:hRule="atLeast"/>
        </w:trPr>
        <w:tc>
          <w:tcPr>
            <w:tcW w:w="2235" w:type="dxa"/>
            <w:vMerge/>
            <w:tcBorders>
              <w:top w:val="nil"/>
            </w:tcBorders>
          </w:tcPr>
          <w:p>
            <w:pPr>
              <w:rPr>
                <w:sz w:val="2"/>
                <w:szCs w:val="2"/>
              </w:rPr>
            </w:pPr>
          </w:p>
        </w:tc>
        <w:tc>
          <w:tcPr>
            <w:tcW w:w="1419" w:type="dxa"/>
          </w:tcPr>
          <w:p>
            <w:pPr>
              <w:pStyle w:val="TableParagraph"/>
              <w:spacing w:before="94"/>
              <w:ind w:left="107"/>
              <w:rPr>
                <w:sz w:val="22"/>
              </w:rPr>
            </w:pPr>
            <w:r>
              <w:rPr>
                <w:sz w:val="22"/>
              </w:rPr>
              <w:t>1～3</w:t>
            </w:r>
          </w:p>
        </w:tc>
        <w:tc>
          <w:tcPr>
            <w:tcW w:w="1699" w:type="dxa"/>
          </w:tcPr>
          <w:p>
            <w:pPr>
              <w:pStyle w:val="TableParagraph"/>
              <w:spacing w:before="94"/>
              <w:ind w:left="105"/>
              <w:rPr>
                <w:sz w:val="22"/>
              </w:rPr>
            </w:pPr>
            <w:r>
              <w:rPr>
                <w:sz w:val="22"/>
              </w:rPr>
              <w:t>1b</w:t>
            </w:r>
          </w:p>
        </w:tc>
        <w:tc>
          <w:tcPr>
            <w:tcW w:w="1642" w:type="dxa"/>
          </w:tcPr>
          <w:p>
            <w:pPr>
              <w:pStyle w:val="TableParagraph"/>
              <w:spacing w:before="94"/>
              <w:rPr>
                <w:sz w:val="22"/>
              </w:rPr>
            </w:pPr>
            <w:r>
              <w:rPr>
                <w:w w:val="100"/>
                <w:sz w:val="22"/>
              </w:rPr>
              <w:t>0</w:t>
            </w:r>
          </w:p>
        </w:tc>
      </w:tr>
      <w:tr>
        <w:trPr>
          <w:trHeight w:val="467" w:hRule="atLeast"/>
        </w:trPr>
        <w:tc>
          <w:tcPr>
            <w:tcW w:w="2235" w:type="dxa"/>
          </w:tcPr>
          <w:p>
            <w:pPr>
              <w:pStyle w:val="TableParagraph"/>
              <w:rPr>
                <w:sz w:val="22"/>
              </w:rPr>
            </w:pPr>
            <w:r>
              <w:rPr>
                <w:sz w:val="22"/>
              </w:rPr>
              <w:t>Ⅳ</w:t>
            </w:r>
            <w:r>
              <w:rPr>
                <w:sz w:val="21"/>
              </w:rPr>
              <w:t>B</w:t>
            </w:r>
            <w:r>
              <w:rPr>
                <w:sz w:val="22"/>
              </w:rPr>
              <w:t>期</w:t>
            </w:r>
          </w:p>
        </w:tc>
        <w:tc>
          <w:tcPr>
            <w:tcW w:w="1419" w:type="dxa"/>
          </w:tcPr>
          <w:p>
            <w:pPr>
              <w:pStyle w:val="TableParagraph"/>
              <w:ind w:left="107"/>
              <w:rPr>
                <w:sz w:val="22"/>
              </w:rPr>
            </w:pPr>
            <w:r>
              <w:rPr>
                <w:sz w:val="22"/>
              </w:rPr>
              <w:t>4b</w:t>
            </w:r>
          </w:p>
        </w:tc>
        <w:tc>
          <w:tcPr>
            <w:tcW w:w="1699" w:type="dxa"/>
          </w:tcPr>
          <w:p>
            <w:pPr>
              <w:pStyle w:val="TableParagraph"/>
              <w:ind w:left="105"/>
              <w:rPr>
                <w:sz w:val="22"/>
              </w:rPr>
            </w:pPr>
            <w:r>
              <w:rPr>
                <w:sz w:val="22"/>
              </w:rPr>
              <w:t>任何</w:t>
            </w:r>
          </w:p>
        </w:tc>
        <w:tc>
          <w:tcPr>
            <w:tcW w:w="1642" w:type="dxa"/>
          </w:tcPr>
          <w:p>
            <w:pPr>
              <w:pStyle w:val="TableParagraph"/>
              <w:rPr>
                <w:sz w:val="22"/>
              </w:rPr>
            </w:pPr>
            <w:r>
              <w:rPr>
                <w:w w:val="100"/>
                <w:sz w:val="22"/>
              </w:rPr>
              <w:t>0</w:t>
            </w:r>
          </w:p>
        </w:tc>
      </w:tr>
      <w:tr>
        <w:trPr>
          <w:trHeight w:val="467" w:hRule="atLeast"/>
        </w:trPr>
        <w:tc>
          <w:tcPr>
            <w:tcW w:w="2235" w:type="dxa"/>
          </w:tcPr>
          <w:p>
            <w:pPr>
              <w:pStyle w:val="TableParagraph"/>
              <w:rPr>
                <w:sz w:val="22"/>
              </w:rPr>
            </w:pPr>
            <w:r>
              <w:rPr>
                <w:sz w:val="22"/>
              </w:rPr>
              <w:t>Ⅳ</w:t>
            </w:r>
            <w:r>
              <w:rPr>
                <w:sz w:val="21"/>
              </w:rPr>
              <w:t>C</w:t>
            </w:r>
            <w:r>
              <w:rPr>
                <w:sz w:val="22"/>
              </w:rPr>
              <w:t>期</w:t>
            </w:r>
          </w:p>
        </w:tc>
        <w:tc>
          <w:tcPr>
            <w:tcW w:w="1419" w:type="dxa"/>
          </w:tcPr>
          <w:p>
            <w:pPr>
              <w:pStyle w:val="TableParagraph"/>
              <w:ind w:left="107"/>
              <w:rPr>
                <w:sz w:val="22"/>
              </w:rPr>
            </w:pPr>
            <w:r>
              <w:rPr>
                <w:sz w:val="22"/>
              </w:rPr>
              <w:t>任何</w:t>
            </w:r>
          </w:p>
        </w:tc>
        <w:tc>
          <w:tcPr>
            <w:tcW w:w="1699" w:type="dxa"/>
          </w:tcPr>
          <w:p>
            <w:pPr>
              <w:pStyle w:val="TableParagraph"/>
              <w:ind w:left="105"/>
              <w:rPr>
                <w:sz w:val="22"/>
              </w:rPr>
            </w:pPr>
            <w:r>
              <w:rPr>
                <w:sz w:val="22"/>
              </w:rPr>
              <w:t>任何</w:t>
            </w:r>
          </w:p>
        </w:tc>
        <w:tc>
          <w:tcPr>
            <w:tcW w:w="1642" w:type="dxa"/>
          </w:tcPr>
          <w:p>
            <w:pPr>
              <w:pStyle w:val="TableParagraph"/>
              <w:rPr>
                <w:sz w:val="22"/>
              </w:rPr>
            </w:pPr>
            <w:r>
              <w:rPr>
                <w:w w:val="100"/>
                <w:sz w:val="22"/>
              </w:rPr>
              <w:t>1</w:t>
            </w:r>
          </w:p>
        </w:tc>
      </w:tr>
      <w:tr>
        <w:trPr>
          <w:trHeight w:val="467" w:hRule="atLeast"/>
        </w:trPr>
        <w:tc>
          <w:tcPr>
            <w:tcW w:w="6995" w:type="dxa"/>
            <w:gridSpan w:val="4"/>
          </w:tcPr>
          <w:p>
            <w:pPr>
              <w:pStyle w:val="TableParagraph"/>
              <w:spacing w:before="92"/>
              <w:rPr>
                <w:sz w:val="22"/>
              </w:rPr>
            </w:pPr>
            <w:r>
              <w:rPr>
                <w:spacing w:val="-1"/>
                <w:sz w:val="22"/>
              </w:rPr>
              <w:t>未分化癌</w:t>
            </w:r>
            <w:r>
              <w:rPr>
                <w:sz w:val="22"/>
              </w:rPr>
              <w:t>（所有年龄组）</w:t>
            </w:r>
          </w:p>
        </w:tc>
      </w:tr>
      <w:tr>
        <w:trPr>
          <w:trHeight w:val="467" w:hRule="atLeast"/>
        </w:trPr>
        <w:tc>
          <w:tcPr>
            <w:tcW w:w="2235" w:type="dxa"/>
          </w:tcPr>
          <w:p>
            <w:pPr>
              <w:pStyle w:val="TableParagraph"/>
              <w:rPr>
                <w:sz w:val="22"/>
              </w:rPr>
            </w:pPr>
            <w:r>
              <w:rPr>
                <w:sz w:val="22"/>
              </w:rPr>
              <w:t>Ⅳ</w:t>
            </w:r>
            <w:r>
              <w:rPr>
                <w:sz w:val="21"/>
              </w:rPr>
              <w:t>A</w:t>
            </w:r>
            <w:r>
              <w:rPr>
                <w:sz w:val="22"/>
              </w:rPr>
              <w:t>期</w:t>
            </w:r>
          </w:p>
        </w:tc>
        <w:tc>
          <w:tcPr>
            <w:tcW w:w="1419" w:type="dxa"/>
          </w:tcPr>
          <w:p>
            <w:pPr>
              <w:pStyle w:val="TableParagraph"/>
              <w:ind w:left="107"/>
              <w:rPr>
                <w:sz w:val="22"/>
              </w:rPr>
            </w:pPr>
            <w:r>
              <w:rPr>
                <w:sz w:val="22"/>
              </w:rPr>
              <w:t>1～3a</w:t>
            </w:r>
          </w:p>
        </w:tc>
        <w:tc>
          <w:tcPr>
            <w:tcW w:w="1699" w:type="dxa"/>
          </w:tcPr>
          <w:p>
            <w:pPr>
              <w:pStyle w:val="TableParagraph"/>
              <w:ind w:left="105"/>
              <w:rPr>
                <w:sz w:val="22"/>
              </w:rPr>
            </w:pPr>
            <w:r>
              <w:rPr>
                <w:sz w:val="22"/>
              </w:rPr>
              <w:t>0/x</w:t>
            </w:r>
          </w:p>
        </w:tc>
        <w:tc>
          <w:tcPr>
            <w:tcW w:w="1642" w:type="dxa"/>
          </w:tcPr>
          <w:p>
            <w:pPr>
              <w:pStyle w:val="TableParagraph"/>
              <w:rPr>
                <w:sz w:val="22"/>
              </w:rPr>
            </w:pPr>
            <w:r>
              <w:rPr>
                <w:w w:val="100"/>
                <w:sz w:val="22"/>
              </w:rPr>
              <w:t>0</w:t>
            </w:r>
          </w:p>
        </w:tc>
      </w:tr>
      <w:tr>
        <w:trPr>
          <w:trHeight w:val="467" w:hRule="atLeast"/>
        </w:trPr>
        <w:tc>
          <w:tcPr>
            <w:tcW w:w="2235" w:type="dxa"/>
            <w:vMerge w:val="restart"/>
          </w:tcPr>
          <w:p>
            <w:pPr>
              <w:pStyle w:val="TableParagraph"/>
              <w:spacing w:before="11"/>
              <w:ind w:left="0"/>
              <w:rPr>
                <w:sz w:val="25"/>
              </w:rPr>
            </w:pPr>
          </w:p>
          <w:p>
            <w:pPr>
              <w:pStyle w:val="TableParagraph"/>
              <w:spacing w:before="0"/>
              <w:rPr>
                <w:sz w:val="22"/>
              </w:rPr>
            </w:pPr>
            <w:r>
              <w:rPr>
                <w:sz w:val="22"/>
              </w:rPr>
              <w:t>Ⅳ</w:t>
            </w:r>
            <w:r>
              <w:rPr>
                <w:sz w:val="21"/>
              </w:rPr>
              <w:t>B</w:t>
            </w:r>
            <w:r>
              <w:rPr>
                <w:sz w:val="22"/>
              </w:rPr>
              <w:t>期</w:t>
            </w:r>
          </w:p>
        </w:tc>
        <w:tc>
          <w:tcPr>
            <w:tcW w:w="1419" w:type="dxa"/>
          </w:tcPr>
          <w:p>
            <w:pPr>
              <w:pStyle w:val="TableParagraph"/>
              <w:ind w:left="107"/>
              <w:rPr>
                <w:sz w:val="22"/>
              </w:rPr>
            </w:pPr>
            <w:r>
              <w:rPr>
                <w:sz w:val="22"/>
              </w:rPr>
              <w:t>1～3a</w:t>
            </w:r>
          </w:p>
        </w:tc>
        <w:tc>
          <w:tcPr>
            <w:tcW w:w="1699" w:type="dxa"/>
          </w:tcPr>
          <w:p>
            <w:pPr>
              <w:pStyle w:val="TableParagraph"/>
              <w:ind w:left="105"/>
              <w:rPr>
                <w:sz w:val="22"/>
              </w:rPr>
            </w:pPr>
            <w:r>
              <w:rPr>
                <w:w w:val="100"/>
                <w:sz w:val="22"/>
              </w:rPr>
              <w:t>1</w:t>
            </w:r>
          </w:p>
        </w:tc>
        <w:tc>
          <w:tcPr>
            <w:tcW w:w="1642" w:type="dxa"/>
          </w:tcPr>
          <w:p>
            <w:pPr>
              <w:pStyle w:val="TableParagraph"/>
              <w:rPr>
                <w:sz w:val="22"/>
              </w:rPr>
            </w:pPr>
            <w:r>
              <w:rPr>
                <w:w w:val="100"/>
                <w:sz w:val="22"/>
              </w:rPr>
              <w:t>0</w:t>
            </w:r>
          </w:p>
        </w:tc>
      </w:tr>
      <w:tr>
        <w:trPr>
          <w:trHeight w:val="470" w:hRule="atLeast"/>
        </w:trPr>
        <w:tc>
          <w:tcPr>
            <w:tcW w:w="2235" w:type="dxa"/>
            <w:vMerge/>
            <w:tcBorders>
              <w:top w:val="nil"/>
            </w:tcBorders>
          </w:tcPr>
          <w:p>
            <w:pPr>
              <w:rPr>
                <w:sz w:val="2"/>
                <w:szCs w:val="2"/>
              </w:rPr>
            </w:pPr>
          </w:p>
        </w:tc>
        <w:tc>
          <w:tcPr>
            <w:tcW w:w="1419" w:type="dxa"/>
          </w:tcPr>
          <w:p>
            <w:pPr>
              <w:pStyle w:val="TableParagraph"/>
              <w:spacing w:before="94"/>
              <w:ind w:left="107"/>
              <w:rPr>
                <w:sz w:val="22"/>
              </w:rPr>
            </w:pPr>
            <w:r>
              <w:rPr>
                <w:sz w:val="22"/>
              </w:rPr>
              <w:t>3b~4</w:t>
            </w:r>
          </w:p>
        </w:tc>
        <w:tc>
          <w:tcPr>
            <w:tcW w:w="1699" w:type="dxa"/>
          </w:tcPr>
          <w:p>
            <w:pPr>
              <w:pStyle w:val="TableParagraph"/>
              <w:spacing w:before="94"/>
              <w:ind w:left="105"/>
              <w:rPr>
                <w:sz w:val="22"/>
              </w:rPr>
            </w:pPr>
            <w:r>
              <w:rPr>
                <w:sz w:val="22"/>
              </w:rPr>
              <w:t>任何</w:t>
            </w:r>
          </w:p>
        </w:tc>
        <w:tc>
          <w:tcPr>
            <w:tcW w:w="1642" w:type="dxa"/>
          </w:tcPr>
          <w:p>
            <w:pPr>
              <w:pStyle w:val="TableParagraph"/>
              <w:spacing w:before="94"/>
              <w:rPr>
                <w:sz w:val="22"/>
              </w:rPr>
            </w:pPr>
            <w:r>
              <w:rPr>
                <w:w w:val="100"/>
                <w:sz w:val="22"/>
              </w:rPr>
              <w:t>0</w:t>
            </w:r>
          </w:p>
        </w:tc>
      </w:tr>
      <w:tr>
        <w:trPr>
          <w:trHeight w:val="467" w:hRule="atLeast"/>
        </w:trPr>
        <w:tc>
          <w:tcPr>
            <w:tcW w:w="2235" w:type="dxa"/>
          </w:tcPr>
          <w:p>
            <w:pPr>
              <w:pStyle w:val="TableParagraph"/>
              <w:rPr>
                <w:sz w:val="22"/>
              </w:rPr>
            </w:pPr>
            <w:r>
              <w:rPr>
                <w:sz w:val="22"/>
              </w:rPr>
              <w:t>Ⅳ</w:t>
            </w:r>
            <w:r>
              <w:rPr>
                <w:sz w:val="21"/>
              </w:rPr>
              <w:t>C</w:t>
            </w:r>
            <w:r>
              <w:rPr>
                <w:sz w:val="22"/>
              </w:rPr>
              <w:t>期</w:t>
            </w:r>
          </w:p>
        </w:tc>
        <w:tc>
          <w:tcPr>
            <w:tcW w:w="1419" w:type="dxa"/>
          </w:tcPr>
          <w:p>
            <w:pPr>
              <w:pStyle w:val="TableParagraph"/>
              <w:ind w:left="107"/>
              <w:rPr>
                <w:sz w:val="22"/>
              </w:rPr>
            </w:pPr>
            <w:r>
              <w:rPr>
                <w:sz w:val="22"/>
              </w:rPr>
              <w:t>任何</w:t>
            </w:r>
          </w:p>
        </w:tc>
        <w:tc>
          <w:tcPr>
            <w:tcW w:w="1699" w:type="dxa"/>
          </w:tcPr>
          <w:p>
            <w:pPr>
              <w:pStyle w:val="TableParagraph"/>
              <w:ind w:left="105"/>
              <w:rPr>
                <w:sz w:val="22"/>
              </w:rPr>
            </w:pPr>
            <w:r>
              <w:rPr>
                <w:sz w:val="22"/>
              </w:rPr>
              <w:t>任何</w:t>
            </w:r>
          </w:p>
        </w:tc>
        <w:tc>
          <w:tcPr>
            <w:tcW w:w="1642" w:type="dxa"/>
          </w:tcPr>
          <w:p>
            <w:pPr>
              <w:pStyle w:val="TableParagraph"/>
              <w:rPr>
                <w:sz w:val="22"/>
              </w:rPr>
            </w:pPr>
            <w:r>
              <w:rPr>
                <w:w w:val="100"/>
                <w:sz w:val="22"/>
              </w:rPr>
              <w:t>1</w:t>
            </w:r>
          </w:p>
        </w:tc>
      </w:tr>
    </w:tbl>
    <w:p>
      <w:pPr>
        <w:spacing w:before="106"/>
        <w:ind w:left="218" w:right="0" w:firstLine="0"/>
        <w:jc w:val="left"/>
        <w:rPr>
          <w:b/>
          <w:sz w:val="22"/>
        </w:rPr>
      </w:pPr>
      <w:r>
        <w:rPr>
          <w:b/>
          <w:w w:val="95"/>
          <w:sz w:val="22"/>
        </w:rPr>
        <w:t>注：以上表格中“年龄”指患者病理组织标本获取日期时的年龄。</w:t>
      </w:r>
    </w:p>
    <w:p>
      <w:pPr>
        <w:pStyle w:val="BodyText"/>
        <w:spacing w:before="9"/>
        <w:rPr>
          <w:b/>
          <w:sz w:val="17"/>
        </w:rPr>
      </w:pPr>
    </w:p>
    <w:p>
      <w:pPr>
        <w:pStyle w:val="BodyText"/>
        <w:spacing w:line="417" w:lineRule="auto"/>
        <w:ind w:left="218" w:right="389"/>
      </w:pPr>
      <w:r>
        <w:rPr>
          <w:b/>
        </w:rPr>
        <w:t>【TMN分期】</w:t>
      </w:r>
      <w:r>
        <w:rPr/>
        <w:t>TNM分期采用AJCC癌症分期手册标准。该标准由美国癌症联合</w:t>
      </w:r>
      <w:r>
        <w:rPr>
          <w:spacing w:val="-1"/>
        </w:rPr>
        <w:t>委员会与国际抗癌联合会TNM委员会联合制定，是目前肿瘤医学分期的国际通用标准。T指原发肿瘤的大小、形态等；N指淋巴结的转移情况；</w:t>
      </w:r>
      <w:r>
        <w:rPr/>
        <w:t>M指有无其他脏器的转移情况。</w:t>
      </w:r>
    </w:p>
    <w:p>
      <w:pPr>
        <w:pStyle w:val="BodyText"/>
        <w:spacing w:line="358" w:lineRule="exact"/>
        <w:ind w:left="218"/>
      </w:pPr>
      <w:r>
        <w:rPr>
          <w:b/>
          <w:spacing w:val="-1"/>
        </w:rPr>
        <w:t>【肢体】</w:t>
      </w:r>
      <w:r>
        <w:rPr>
          <w:spacing w:val="-1"/>
        </w:rPr>
        <w:t>肢体是指包括肩关节的整个上肢或包括髋关节的整个下肢。</w:t>
      </w:r>
    </w:p>
    <w:p>
      <w:pPr>
        <w:spacing w:after="0" w:line="358" w:lineRule="exact"/>
        <w:sectPr>
          <w:type w:val="continuous"/>
          <w:pgSz w:w="11910" w:h="16840"/>
          <w:pgMar w:header="0" w:footer="1195" w:top="1340" w:bottom="1380" w:left="1200" w:right="1020"/>
        </w:sectPr>
      </w:pPr>
    </w:p>
    <w:p>
      <w:pPr>
        <w:pStyle w:val="BodyText"/>
        <w:spacing w:line="417" w:lineRule="auto" w:before="35"/>
        <w:ind w:left="218" w:right="2039"/>
      </w:pPr>
      <w:r>
        <w:rPr>
          <w:b/>
        </w:rPr>
        <w:t>【肌力】</w:t>
      </w:r>
      <w:r>
        <w:rPr/>
        <w:t>指肌肉收缩时的力量。肌力划分为0-5级，具体为：</w:t>
      </w:r>
      <w:r>
        <w:rPr>
          <w:spacing w:val="-137"/>
        </w:rPr>
        <w:t> </w:t>
      </w:r>
      <w:r>
        <w:rPr/>
        <w:t>0级：肌肉完全瘫痪，毫无收缩。</w:t>
      </w:r>
    </w:p>
    <w:p>
      <w:pPr>
        <w:pStyle w:val="BodyText"/>
        <w:ind w:left="218"/>
      </w:pPr>
      <w:r>
        <w:rPr/>
        <w:t>1级：可看到或者触及肌肉轻微收缩，但不能产生动作。</w:t>
      </w:r>
    </w:p>
    <w:p>
      <w:pPr>
        <w:pStyle w:val="BodyText"/>
        <w:spacing w:before="9"/>
        <w:rPr>
          <w:sz w:val="20"/>
        </w:rPr>
      </w:pPr>
    </w:p>
    <w:p>
      <w:pPr>
        <w:pStyle w:val="BodyText"/>
        <w:spacing w:line="417" w:lineRule="auto"/>
        <w:ind w:left="218" w:right="395"/>
      </w:pPr>
      <w:r>
        <w:rPr>
          <w:spacing w:val="-1"/>
        </w:rPr>
        <w:t>2级：肌肉在不受重力影响下，可进行运动，即肢体能在床面上移动，但不</w:t>
      </w:r>
      <w:r>
        <w:rPr/>
        <w:t>能抬高。</w:t>
      </w:r>
    </w:p>
    <w:p>
      <w:pPr>
        <w:pStyle w:val="BodyText"/>
        <w:spacing w:line="358" w:lineRule="exact"/>
        <w:ind w:left="218"/>
      </w:pPr>
      <w:r>
        <w:rPr/>
        <w:t>3级：在和地心引力相反的方向中尚能完成其动作，但不能对抗外加阻力。</w:t>
      </w:r>
    </w:p>
    <w:p>
      <w:pPr>
        <w:pStyle w:val="BodyText"/>
        <w:spacing w:before="9"/>
        <w:rPr>
          <w:sz w:val="20"/>
        </w:rPr>
      </w:pPr>
    </w:p>
    <w:p>
      <w:pPr>
        <w:pStyle w:val="BodyText"/>
        <w:ind w:left="218"/>
      </w:pPr>
      <w:r>
        <w:rPr/>
        <w:t>4级：能对抗一定的阻力，但较正常人为低。</w:t>
      </w:r>
    </w:p>
    <w:p>
      <w:pPr>
        <w:pStyle w:val="BodyText"/>
        <w:spacing w:before="9"/>
        <w:rPr>
          <w:sz w:val="20"/>
        </w:rPr>
      </w:pPr>
    </w:p>
    <w:p>
      <w:pPr>
        <w:pStyle w:val="BodyText"/>
        <w:ind w:left="218"/>
      </w:pPr>
      <w:r>
        <w:rPr/>
        <w:t>5级：正常肌力。</w:t>
      </w:r>
    </w:p>
    <w:p>
      <w:pPr>
        <w:pStyle w:val="BodyText"/>
        <w:spacing w:before="9"/>
        <w:rPr>
          <w:sz w:val="20"/>
        </w:rPr>
      </w:pPr>
    </w:p>
    <w:p>
      <w:pPr>
        <w:pStyle w:val="BodyText"/>
        <w:spacing w:line="417" w:lineRule="auto"/>
        <w:ind w:left="218" w:right="484"/>
        <w:jc w:val="both"/>
      </w:pPr>
      <w:r>
        <w:rPr>
          <w:b/>
        </w:rPr>
        <w:t>【语言能力或咀嚼吞咽能力完全丧失】</w:t>
      </w:r>
      <w:r>
        <w:rPr/>
        <w:t>语言能力完全丧失，指无法发出四种语音（包括口唇音、齿舌音、口盖音和喉头音）中的任何三种或声带全部切除，或因大脑语言中枢受伤害而患失语症。严重咀嚼吞咽能力功能障碍，指因牙齿以外的原因导致器质障碍或机能障碍，以致不能作咀嚼吞咽运动，除流质食物外不能摄取或吞咽的状态。</w:t>
      </w:r>
    </w:p>
    <w:p>
      <w:pPr>
        <w:spacing w:line="417" w:lineRule="auto" w:before="0"/>
        <w:ind w:left="218" w:right="392" w:firstLine="0"/>
        <w:jc w:val="left"/>
        <w:rPr>
          <w:b/>
          <w:sz w:val="28"/>
        </w:rPr>
      </w:pPr>
      <w:r>
        <w:rPr>
          <w:b/>
          <w:spacing w:val="-2"/>
          <w:sz w:val="28"/>
        </w:rPr>
        <w:t>【六项基本日常生活活动】</w:t>
      </w:r>
      <w:r>
        <w:rPr>
          <w:spacing w:val="-1"/>
          <w:sz w:val="28"/>
        </w:rPr>
        <w:t>六项基本日常生活活动是指：1．穿衣：自己能</w:t>
      </w:r>
      <w:r>
        <w:rPr>
          <w:sz w:val="28"/>
        </w:rPr>
        <w:t>够穿衣及脱衣；2．移动：自己从一个房间到另一个房间；3．行动：自己上下床或上下轮椅；4．如厕：自己控制进行大小便；5．进食：自己从已</w:t>
      </w:r>
      <w:r>
        <w:rPr>
          <w:spacing w:val="-1"/>
          <w:sz w:val="28"/>
        </w:rPr>
        <w:t>准备好的碗或碟中取食物放入口中；6．洗澡：自己进行淋浴或盆浴。</w:t>
      </w:r>
      <w:r>
        <w:rPr>
          <w:b/>
          <w:sz w:val="28"/>
        </w:rPr>
        <w:t>六项基本日常生活活动能力的鉴定不适用于0-3周岁幼儿。</w:t>
      </w:r>
    </w:p>
    <w:p>
      <w:pPr>
        <w:pStyle w:val="BodyText"/>
        <w:spacing w:line="417" w:lineRule="auto"/>
        <w:ind w:left="218" w:right="500"/>
      </w:pPr>
      <w:r>
        <w:rPr>
          <w:b/>
          <w:spacing w:val="-1"/>
        </w:rPr>
        <w:t>【意外伤害】</w:t>
      </w:r>
      <w:r>
        <w:rPr/>
        <w:t>指以外来的、突发的、非本意的和非疾病的客观事件为直接且单独的原因致使身体受到的伤害。</w:t>
      </w:r>
    </w:p>
    <w:p>
      <w:pPr>
        <w:pStyle w:val="BodyText"/>
        <w:spacing w:line="417" w:lineRule="auto"/>
        <w:ind w:left="218" w:right="392"/>
      </w:pPr>
      <w:r>
        <w:rPr>
          <w:b/>
          <w:spacing w:val="-1"/>
        </w:rPr>
        <w:t>【永久不可逆】</w:t>
      </w:r>
      <w:r>
        <w:rPr>
          <w:spacing w:val="-1"/>
        </w:rPr>
        <w:t>指自疾病确诊或意外伤害发生之日起，经过积极治疗180</w:t>
      </w:r>
      <w:r>
        <w:rPr/>
        <w:t>天后，仍无法通过现有医疗手段恢复。</w:t>
      </w:r>
    </w:p>
    <w:p>
      <w:pPr>
        <w:spacing w:after="0" w:line="417" w:lineRule="auto"/>
        <w:sectPr>
          <w:pgSz w:w="11910" w:h="16840"/>
          <w:pgMar w:header="0" w:footer="1195" w:top="1440" w:bottom="1380" w:left="1200" w:right="1020"/>
        </w:sectPr>
      </w:pPr>
    </w:p>
    <w:p>
      <w:pPr>
        <w:spacing w:line="417" w:lineRule="auto" w:before="35"/>
        <w:ind w:left="218" w:right="452" w:firstLine="0"/>
        <w:jc w:val="both"/>
        <w:rPr>
          <w:sz w:val="28"/>
        </w:rPr>
      </w:pPr>
      <w:r>
        <w:rPr>
          <w:b/>
          <w:sz w:val="28"/>
        </w:rPr>
        <w:t>【美国纽约心脏病学会（New</w:t>
      </w:r>
      <w:r>
        <w:rPr>
          <w:b/>
          <w:spacing w:val="-7"/>
          <w:sz w:val="28"/>
        </w:rPr>
        <w:t> </w:t>
      </w:r>
      <w:r>
        <w:rPr>
          <w:b/>
          <w:sz w:val="28"/>
        </w:rPr>
        <w:t>York</w:t>
      </w:r>
      <w:r>
        <w:rPr>
          <w:b/>
          <w:spacing w:val="-6"/>
          <w:sz w:val="28"/>
        </w:rPr>
        <w:t> </w:t>
      </w:r>
      <w:r>
        <w:rPr>
          <w:b/>
          <w:sz w:val="28"/>
        </w:rPr>
        <w:t>Heart</w:t>
      </w:r>
      <w:r>
        <w:rPr>
          <w:b/>
          <w:spacing w:val="-4"/>
          <w:sz w:val="28"/>
        </w:rPr>
        <w:t> </w:t>
      </w:r>
      <w:r>
        <w:rPr>
          <w:b/>
          <w:sz w:val="28"/>
        </w:rPr>
        <w:t>Association，NYHA）心功能状态分级】</w:t>
      </w:r>
      <w:r>
        <w:rPr>
          <w:sz w:val="28"/>
        </w:rPr>
        <w:t>美国纽约心脏病学会（New</w:t>
      </w:r>
      <w:r>
        <w:rPr>
          <w:spacing w:val="-6"/>
          <w:sz w:val="28"/>
        </w:rPr>
        <w:t> </w:t>
      </w:r>
      <w:r>
        <w:rPr>
          <w:sz w:val="28"/>
        </w:rPr>
        <w:t>York</w:t>
      </w:r>
      <w:r>
        <w:rPr>
          <w:spacing w:val="-6"/>
          <w:sz w:val="28"/>
        </w:rPr>
        <w:t> </w:t>
      </w:r>
      <w:r>
        <w:rPr>
          <w:sz w:val="28"/>
        </w:rPr>
        <w:t>Heart</w:t>
      </w:r>
      <w:r>
        <w:rPr>
          <w:spacing w:val="-5"/>
          <w:sz w:val="28"/>
        </w:rPr>
        <w:t> </w:t>
      </w:r>
      <w:r>
        <w:rPr>
          <w:sz w:val="28"/>
        </w:rPr>
        <w:t>Association，NYHA）将心功能状态分为四级：</w:t>
      </w:r>
    </w:p>
    <w:p>
      <w:pPr>
        <w:pStyle w:val="BodyText"/>
        <w:spacing w:line="417" w:lineRule="auto"/>
        <w:ind w:left="218" w:right="507"/>
      </w:pPr>
      <w:r>
        <w:rPr>
          <w:spacing w:val="-1"/>
        </w:rPr>
        <w:t>Ⅰ级：心脏病病人日常活动量不受限制，一般活动不引起乏力、呼吸困难</w:t>
      </w:r>
      <w:r>
        <w:rPr/>
        <w:t>等心衰症状。</w:t>
      </w:r>
    </w:p>
    <w:p>
      <w:pPr>
        <w:pStyle w:val="BodyText"/>
        <w:spacing w:line="417" w:lineRule="auto"/>
        <w:ind w:left="218" w:right="507"/>
      </w:pPr>
      <w:r>
        <w:rPr>
          <w:spacing w:val="-1"/>
        </w:rPr>
        <w:t>Ⅱ级：心脏病病人体力活动轻度受限制，休息时无自觉症状，一般活动下</w:t>
      </w:r>
      <w:r>
        <w:rPr/>
        <w:t>可出现心衰症状。</w:t>
      </w:r>
    </w:p>
    <w:p>
      <w:pPr>
        <w:pStyle w:val="BodyText"/>
        <w:spacing w:line="417" w:lineRule="auto"/>
        <w:ind w:left="218" w:right="392"/>
      </w:pPr>
      <w:r>
        <w:rPr>
          <w:spacing w:val="-15"/>
        </w:rPr>
        <w:t>Ⅲ级：心脏病病人体力活动明显受限，低于平时一般活动即引起心衰症状。</w:t>
      </w:r>
      <w:r>
        <w:rPr/>
        <w:t>Ⅳ级：心脏病病人不能从事任何体力活动，休息状态下也存在心衰症状，</w:t>
      </w:r>
      <w:r>
        <w:rPr>
          <w:spacing w:val="-137"/>
        </w:rPr>
        <w:t> </w:t>
      </w:r>
      <w:r>
        <w:rPr/>
        <w:t>活动后加重。</w:t>
      </w:r>
    </w:p>
    <w:sectPr>
      <w:pgSz w:w="11910" w:h="16840"/>
      <w:pgMar w:header="0" w:footer="1195" w:top="1440" w:bottom="1380" w:left="12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089996pt;margin-top:771.145996pt;width:16.1500pt;height:11pt;mso-position-horizontal-relative:page;mso-position-vertical-relative:page;z-index:-16180224" type="#_x0000_t202" id="docshape1" filled="false" stroked="false">
          <v:textbox inset="0,0,0,0">
            <w:txbxContent>
              <w:p>
                <w:pPr>
                  <w:spacing w:line="203" w:lineRule="exact" w:before="0"/>
                  <w:ind w:left="6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18" w:hanging="705"/>
        <w:jc w:val="left"/>
      </w:pPr>
      <w:rPr>
        <w:rFonts w:hint="default" w:ascii="仿宋" w:hAnsi="仿宋" w:eastAsia="仿宋" w:cs="仿宋"/>
        <w:b/>
        <w:bCs/>
        <w:i w:val="0"/>
        <w:iCs w:val="0"/>
        <w:spacing w:val="-104"/>
        <w:w w:val="99"/>
        <w:sz w:val="26"/>
        <w:szCs w:val="26"/>
        <w:lang w:val="en-US" w:eastAsia="zh-CN" w:bidi="ar-SA"/>
      </w:rPr>
    </w:lvl>
    <w:lvl w:ilvl="1">
      <w:start w:val="0"/>
      <w:numFmt w:val="bullet"/>
      <w:lvlText w:val="•"/>
      <w:lvlJc w:val="left"/>
      <w:pPr>
        <w:ind w:left="1166" w:hanging="705"/>
      </w:pPr>
      <w:rPr>
        <w:rFonts w:hint="default"/>
        <w:lang w:val="en-US" w:eastAsia="zh-CN" w:bidi="ar-SA"/>
      </w:rPr>
    </w:lvl>
    <w:lvl w:ilvl="2">
      <w:start w:val="0"/>
      <w:numFmt w:val="bullet"/>
      <w:lvlText w:val="•"/>
      <w:lvlJc w:val="left"/>
      <w:pPr>
        <w:ind w:left="2113" w:hanging="705"/>
      </w:pPr>
      <w:rPr>
        <w:rFonts w:hint="default"/>
        <w:lang w:val="en-US" w:eastAsia="zh-CN" w:bidi="ar-SA"/>
      </w:rPr>
    </w:lvl>
    <w:lvl w:ilvl="3">
      <w:start w:val="0"/>
      <w:numFmt w:val="bullet"/>
      <w:lvlText w:val="•"/>
      <w:lvlJc w:val="left"/>
      <w:pPr>
        <w:ind w:left="3059" w:hanging="705"/>
      </w:pPr>
      <w:rPr>
        <w:rFonts w:hint="default"/>
        <w:lang w:val="en-US" w:eastAsia="zh-CN" w:bidi="ar-SA"/>
      </w:rPr>
    </w:lvl>
    <w:lvl w:ilvl="4">
      <w:start w:val="0"/>
      <w:numFmt w:val="bullet"/>
      <w:lvlText w:val="•"/>
      <w:lvlJc w:val="left"/>
      <w:pPr>
        <w:ind w:left="4006" w:hanging="705"/>
      </w:pPr>
      <w:rPr>
        <w:rFonts w:hint="default"/>
        <w:lang w:val="en-US" w:eastAsia="zh-CN" w:bidi="ar-SA"/>
      </w:rPr>
    </w:lvl>
    <w:lvl w:ilvl="5">
      <w:start w:val="0"/>
      <w:numFmt w:val="bullet"/>
      <w:lvlText w:val="•"/>
      <w:lvlJc w:val="left"/>
      <w:pPr>
        <w:ind w:left="4953" w:hanging="705"/>
      </w:pPr>
      <w:rPr>
        <w:rFonts w:hint="default"/>
        <w:lang w:val="en-US" w:eastAsia="zh-CN" w:bidi="ar-SA"/>
      </w:rPr>
    </w:lvl>
    <w:lvl w:ilvl="6">
      <w:start w:val="0"/>
      <w:numFmt w:val="bullet"/>
      <w:lvlText w:val="•"/>
      <w:lvlJc w:val="left"/>
      <w:pPr>
        <w:ind w:left="5899" w:hanging="705"/>
      </w:pPr>
      <w:rPr>
        <w:rFonts w:hint="default"/>
        <w:lang w:val="en-US" w:eastAsia="zh-CN" w:bidi="ar-SA"/>
      </w:rPr>
    </w:lvl>
    <w:lvl w:ilvl="7">
      <w:start w:val="0"/>
      <w:numFmt w:val="bullet"/>
      <w:lvlText w:val="•"/>
      <w:lvlJc w:val="left"/>
      <w:pPr>
        <w:ind w:left="6846" w:hanging="705"/>
      </w:pPr>
      <w:rPr>
        <w:rFonts w:hint="default"/>
        <w:lang w:val="en-US" w:eastAsia="zh-CN" w:bidi="ar-SA"/>
      </w:rPr>
    </w:lvl>
    <w:lvl w:ilvl="8">
      <w:start w:val="0"/>
      <w:numFmt w:val="bullet"/>
      <w:lvlText w:val="•"/>
      <w:lvlJc w:val="left"/>
      <w:pPr>
        <w:ind w:left="7793" w:hanging="705"/>
      </w:pPr>
      <w:rPr>
        <w:rFonts w:hint="default"/>
        <w:lang w:val="en-US" w:eastAsia="zh-CN" w:bidi="ar-SA"/>
      </w:rPr>
    </w:lvl>
  </w:abstractNum>
  <w:abstractNum w:abstractNumId="14">
    <w:multiLevelType w:val="hybridMultilevel"/>
    <w:lvl w:ilvl="0">
      <w:start w:val="1"/>
      <w:numFmt w:val="decimal"/>
      <w:lvlText w:val="（%1）"/>
      <w:lvlJc w:val="left"/>
      <w:pPr>
        <w:ind w:left="1479" w:hanging="702"/>
        <w:jc w:val="left"/>
      </w:pPr>
      <w:rPr>
        <w:rFonts w:hint="default" w:ascii="仿宋" w:hAnsi="仿宋" w:eastAsia="仿宋" w:cs="仿宋"/>
        <w:b w:val="0"/>
        <w:bCs w:val="0"/>
        <w:i w:val="0"/>
        <w:iCs w:val="0"/>
        <w:spacing w:val="-2"/>
        <w:w w:val="100"/>
        <w:sz w:val="26"/>
        <w:szCs w:val="26"/>
        <w:lang w:val="en-US" w:eastAsia="zh-CN" w:bidi="ar-SA"/>
      </w:rPr>
    </w:lvl>
    <w:lvl w:ilvl="1">
      <w:start w:val="0"/>
      <w:numFmt w:val="bullet"/>
      <w:lvlText w:val="•"/>
      <w:lvlJc w:val="left"/>
      <w:pPr>
        <w:ind w:left="2300" w:hanging="702"/>
      </w:pPr>
      <w:rPr>
        <w:rFonts w:hint="default"/>
        <w:lang w:val="en-US" w:eastAsia="zh-CN" w:bidi="ar-SA"/>
      </w:rPr>
    </w:lvl>
    <w:lvl w:ilvl="2">
      <w:start w:val="0"/>
      <w:numFmt w:val="bullet"/>
      <w:lvlText w:val="•"/>
      <w:lvlJc w:val="left"/>
      <w:pPr>
        <w:ind w:left="3121" w:hanging="702"/>
      </w:pPr>
      <w:rPr>
        <w:rFonts w:hint="default"/>
        <w:lang w:val="en-US" w:eastAsia="zh-CN" w:bidi="ar-SA"/>
      </w:rPr>
    </w:lvl>
    <w:lvl w:ilvl="3">
      <w:start w:val="0"/>
      <w:numFmt w:val="bullet"/>
      <w:lvlText w:val="•"/>
      <w:lvlJc w:val="left"/>
      <w:pPr>
        <w:ind w:left="3941" w:hanging="702"/>
      </w:pPr>
      <w:rPr>
        <w:rFonts w:hint="default"/>
        <w:lang w:val="en-US" w:eastAsia="zh-CN" w:bidi="ar-SA"/>
      </w:rPr>
    </w:lvl>
    <w:lvl w:ilvl="4">
      <w:start w:val="0"/>
      <w:numFmt w:val="bullet"/>
      <w:lvlText w:val="•"/>
      <w:lvlJc w:val="left"/>
      <w:pPr>
        <w:ind w:left="4762" w:hanging="702"/>
      </w:pPr>
      <w:rPr>
        <w:rFonts w:hint="default"/>
        <w:lang w:val="en-US" w:eastAsia="zh-CN" w:bidi="ar-SA"/>
      </w:rPr>
    </w:lvl>
    <w:lvl w:ilvl="5">
      <w:start w:val="0"/>
      <w:numFmt w:val="bullet"/>
      <w:lvlText w:val="•"/>
      <w:lvlJc w:val="left"/>
      <w:pPr>
        <w:ind w:left="5583" w:hanging="702"/>
      </w:pPr>
      <w:rPr>
        <w:rFonts w:hint="default"/>
        <w:lang w:val="en-US" w:eastAsia="zh-CN" w:bidi="ar-SA"/>
      </w:rPr>
    </w:lvl>
    <w:lvl w:ilvl="6">
      <w:start w:val="0"/>
      <w:numFmt w:val="bullet"/>
      <w:lvlText w:val="•"/>
      <w:lvlJc w:val="left"/>
      <w:pPr>
        <w:ind w:left="6403" w:hanging="702"/>
      </w:pPr>
      <w:rPr>
        <w:rFonts w:hint="default"/>
        <w:lang w:val="en-US" w:eastAsia="zh-CN" w:bidi="ar-SA"/>
      </w:rPr>
    </w:lvl>
    <w:lvl w:ilvl="7">
      <w:start w:val="0"/>
      <w:numFmt w:val="bullet"/>
      <w:lvlText w:val="•"/>
      <w:lvlJc w:val="left"/>
      <w:pPr>
        <w:ind w:left="7224" w:hanging="702"/>
      </w:pPr>
      <w:rPr>
        <w:rFonts w:hint="default"/>
        <w:lang w:val="en-US" w:eastAsia="zh-CN" w:bidi="ar-SA"/>
      </w:rPr>
    </w:lvl>
    <w:lvl w:ilvl="8">
      <w:start w:val="0"/>
      <w:numFmt w:val="bullet"/>
      <w:lvlText w:val="•"/>
      <w:lvlJc w:val="left"/>
      <w:pPr>
        <w:ind w:left="8045" w:hanging="702"/>
      </w:pPr>
      <w:rPr>
        <w:rFonts w:hint="default"/>
        <w:lang w:val="en-US" w:eastAsia="zh-CN" w:bidi="ar-SA"/>
      </w:rPr>
    </w:lvl>
  </w:abstractNum>
  <w:abstractNum w:abstractNumId="13">
    <w:multiLevelType w:val="hybridMultilevel"/>
    <w:lvl w:ilvl="0">
      <w:start w:val="1"/>
      <w:numFmt w:val="decimal"/>
      <w:lvlText w:val="（%1）"/>
      <w:lvlJc w:val="left"/>
      <w:pPr>
        <w:ind w:left="1340" w:hanging="702"/>
        <w:jc w:val="left"/>
      </w:pPr>
      <w:rPr>
        <w:rFonts w:hint="default" w:ascii="仿宋" w:hAnsi="仿宋" w:eastAsia="仿宋" w:cs="仿宋"/>
        <w:b w:val="0"/>
        <w:bCs w:val="0"/>
        <w:i w:val="0"/>
        <w:iCs w:val="0"/>
        <w:spacing w:val="-2"/>
        <w:w w:val="100"/>
        <w:sz w:val="26"/>
        <w:szCs w:val="26"/>
        <w:lang w:val="en-US" w:eastAsia="zh-CN" w:bidi="ar-SA"/>
      </w:rPr>
    </w:lvl>
    <w:lvl w:ilvl="1">
      <w:start w:val="1"/>
      <w:numFmt w:val="lowerLetter"/>
      <w:lvlText w:val="%2."/>
      <w:lvlJc w:val="left"/>
      <w:pPr>
        <w:ind w:left="218" w:hanging="284"/>
        <w:jc w:val="left"/>
      </w:pPr>
      <w:rPr>
        <w:rFonts w:hint="default" w:ascii="仿宋" w:hAnsi="仿宋" w:eastAsia="仿宋" w:cs="仿宋"/>
        <w:b/>
        <w:bCs/>
        <w:i w:val="0"/>
        <w:iCs w:val="0"/>
        <w:spacing w:val="1"/>
        <w:w w:val="99"/>
        <w:sz w:val="26"/>
        <w:szCs w:val="26"/>
        <w:lang w:val="en-US" w:eastAsia="zh-CN" w:bidi="ar-SA"/>
      </w:rPr>
    </w:lvl>
    <w:lvl w:ilvl="2">
      <w:start w:val="0"/>
      <w:numFmt w:val="bullet"/>
      <w:lvlText w:val="•"/>
      <w:lvlJc w:val="left"/>
      <w:pPr>
        <w:ind w:left="2267" w:hanging="284"/>
      </w:pPr>
      <w:rPr>
        <w:rFonts w:hint="default"/>
        <w:lang w:val="en-US" w:eastAsia="zh-CN" w:bidi="ar-SA"/>
      </w:rPr>
    </w:lvl>
    <w:lvl w:ilvl="3">
      <w:start w:val="0"/>
      <w:numFmt w:val="bullet"/>
      <w:lvlText w:val="•"/>
      <w:lvlJc w:val="left"/>
      <w:pPr>
        <w:ind w:left="3194" w:hanging="284"/>
      </w:pPr>
      <w:rPr>
        <w:rFonts w:hint="default"/>
        <w:lang w:val="en-US" w:eastAsia="zh-CN" w:bidi="ar-SA"/>
      </w:rPr>
    </w:lvl>
    <w:lvl w:ilvl="4">
      <w:start w:val="0"/>
      <w:numFmt w:val="bullet"/>
      <w:lvlText w:val="•"/>
      <w:lvlJc w:val="left"/>
      <w:pPr>
        <w:ind w:left="4122" w:hanging="284"/>
      </w:pPr>
      <w:rPr>
        <w:rFonts w:hint="default"/>
        <w:lang w:val="en-US" w:eastAsia="zh-CN" w:bidi="ar-SA"/>
      </w:rPr>
    </w:lvl>
    <w:lvl w:ilvl="5">
      <w:start w:val="0"/>
      <w:numFmt w:val="bullet"/>
      <w:lvlText w:val="•"/>
      <w:lvlJc w:val="left"/>
      <w:pPr>
        <w:ind w:left="5049" w:hanging="284"/>
      </w:pPr>
      <w:rPr>
        <w:rFonts w:hint="default"/>
        <w:lang w:val="en-US" w:eastAsia="zh-CN" w:bidi="ar-SA"/>
      </w:rPr>
    </w:lvl>
    <w:lvl w:ilvl="6">
      <w:start w:val="0"/>
      <w:numFmt w:val="bullet"/>
      <w:lvlText w:val="•"/>
      <w:lvlJc w:val="left"/>
      <w:pPr>
        <w:ind w:left="5976" w:hanging="284"/>
      </w:pPr>
      <w:rPr>
        <w:rFonts w:hint="default"/>
        <w:lang w:val="en-US" w:eastAsia="zh-CN" w:bidi="ar-SA"/>
      </w:rPr>
    </w:lvl>
    <w:lvl w:ilvl="7">
      <w:start w:val="0"/>
      <w:numFmt w:val="bullet"/>
      <w:lvlText w:val="•"/>
      <w:lvlJc w:val="left"/>
      <w:pPr>
        <w:ind w:left="6904" w:hanging="284"/>
      </w:pPr>
      <w:rPr>
        <w:rFonts w:hint="default"/>
        <w:lang w:val="en-US" w:eastAsia="zh-CN" w:bidi="ar-SA"/>
      </w:rPr>
    </w:lvl>
    <w:lvl w:ilvl="8">
      <w:start w:val="0"/>
      <w:numFmt w:val="bullet"/>
      <w:lvlText w:val="•"/>
      <w:lvlJc w:val="left"/>
      <w:pPr>
        <w:ind w:left="7831" w:hanging="284"/>
      </w:pPr>
      <w:rPr>
        <w:rFonts w:hint="default"/>
        <w:lang w:val="en-US" w:eastAsia="zh-CN" w:bidi="ar-SA"/>
      </w:rPr>
    </w:lvl>
  </w:abstractNum>
  <w:abstractNum w:abstractNumId="12">
    <w:multiLevelType w:val="hybridMultilevel"/>
    <w:lvl w:ilvl="0">
      <w:start w:val="1"/>
      <w:numFmt w:val="decimal"/>
      <w:lvlText w:val="%1."/>
      <w:lvlJc w:val="left"/>
      <w:pPr>
        <w:ind w:left="1061" w:hanging="283"/>
        <w:jc w:val="left"/>
      </w:pPr>
      <w:rPr>
        <w:rFonts w:hint="default" w:ascii="仿宋" w:hAnsi="仿宋" w:eastAsia="仿宋" w:cs="仿宋"/>
        <w:b w:val="0"/>
        <w:bCs w:val="0"/>
        <w:i w:val="0"/>
        <w:iCs w:val="0"/>
        <w:spacing w:val="-2"/>
        <w:w w:val="100"/>
        <w:sz w:val="26"/>
        <w:szCs w:val="26"/>
        <w:lang w:val="en-US" w:eastAsia="zh-CN" w:bidi="ar-SA"/>
      </w:rPr>
    </w:lvl>
    <w:lvl w:ilvl="1">
      <w:start w:val="0"/>
      <w:numFmt w:val="bullet"/>
      <w:lvlText w:val="•"/>
      <w:lvlJc w:val="left"/>
      <w:pPr>
        <w:ind w:left="1922" w:hanging="283"/>
      </w:pPr>
      <w:rPr>
        <w:rFonts w:hint="default"/>
        <w:lang w:val="en-US" w:eastAsia="zh-CN" w:bidi="ar-SA"/>
      </w:rPr>
    </w:lvl>
    <w:lvl w:ilvl="2">
      <w:start w:val="0"/>
      <w:numFmt w:val="bullet"/>
      <w:lvlText w:val="•"/>
      <w:lvlJc w:val="left"/>
      <w:pPr>
        <w:ind w:left="2785" w:hanging="283"/>
      </w:pPr>
      <w:rPr>
        <w:rFonts w:hint="default"/>
        <w:lang w:val="en-US" w:eastAsia="zh-CN" w:bidi="ar-SA"/>
      </w:rPr>
    </w:lvl>
    <w:lvl w:ilvl="3">
      <w:start w:val="0"/>
      <w:numFmt w:val="bullet"/>
      <w:lvlText w:val="•"/>
      <w:lvlJc w:val="left"/>
      <w:pPr>
        <w:ind w:left="3647" w:hanging="283"/>
      </w:pPr>
      <w:rPr>
        <w:rFonts w:hint="default"/>
        <w:lang w:val="en-US" w:eastAsia="zh-CN" w:bidi="ar-SA"/>
      </w:rPr>
    </w:lvl>
    <w:lvl w:ilvl="4">
      <w:start w:val="0"/>
      <w:numFmt w:val="bullet"/>
      <w:lvlText w:val="•"/>
      <w:lvlJc w:val="left"/>
      <w:pPr>
        <w:ind w:left="4510" w:hanging="283"/>
      </w:pPr>
      <w:rPr>
        <w:rFonts w:hint="default"/>
        <w:lang w:val="en-US" w:eastAsia="zh-CN" w:bidi="ar-SA"/>
      </w:rPr>
    </w:lvl>
    <w:lvl w:ilvl="5">
      <w:start w:val="0"/>
      <w:numFmt w:val="bullet"/>
      <w:lvlText w:val="•"/>
      <w:lvlJc w:val="left"/>
      <w:pPr>
        <w:ind w:left="5373" w:hanging="283"/>
      </w:pPr>
      <w:rPr>
        <w:rFonts w:hint="default"/>
        <w:lang w:val="en-US" w:eastAsia="zh-CN" w:bidi="ar-SA"/>
      </w:rPr>
    </w:lvl>
    <w:lvl w:ilvl="6">
      <w:start w:val="0"/>
      <w:numFmt w:val="bullet"/>
      <w:lvlText w:val="•"/>
      <w:lvlJc w:val="left"/>
      <w:pPr>
        <w:ind w:left="6235" w:hanging="283"/>
      </w:pPr>
      <w:rPr>
        <w:rFonts w:hint="default"/>
        <w:lang w:val="en-US" w:eastAsia="zh-CN" w:bidi="ar-SA"/>
      </w:rPr>
    </w:lvl>
    <w:lvl w:ilvl="7">
      <w:start w:val="0"/>
      <w:numFmt w:val="bullet"/>
      <w:lvlText w:val="•"/>
      <w:lvlJc w:val="left"/>
      <w:pPr>
        <w:ind w:left="7098" w:hanging="283"/>
      </w:pPr>
      <w:rPr>
        <w:rFonts w:hint="default"/>
        <w:lang w:val="en-US" w:eastAsia="zh-CN" w:bidi="ar-SA"/>
      </w:rPr>
    </w:lvl>
    <w:lvl w:ilvl="8">
      <w:start w:val="0"/>
      <w:numFmt w:val="bullet"/>
      <w:lvlText w:val="•"/>
      <w:lvlJc w:val="left"/>
      <w:pPr>
        <w:ind w:left="7961" w:hanging="283"/>
      </w:pPr>
      <w:rPr>
        <w:rFonts w:hint="default"/>
        <w:lang w:val="en-US" w:eastAsia="zh-CN" w:bidi="ar-SA"/>
      </w:rPr>
    </w:lvl>
  </w:abstractNum>
  <w:abstractNum w:abstractNumId="11">
    <w:multiLevelType w:val="hybridMultilevel"/>
    <w:lvl w:ilvl="0">
      <w:start w:val="1"/>
      <w:numFmt w:val="decimal"/>
      <w:lvlText w:val="%1."/>
      <w:lvlJc w:val="left"/>
      <w:pPr>
        <w:ind w:left="218" w:hanging="421"/>
        <w:jc w:val="left"/>
      </w:pPr>
      <w:rPr>
        <w:rFonts w:hint="default" w:ascii="仿宋" w:hAnsi="仿宋" w:eastAsia="仿宋" w:cs="仿宋"/>
        <w:b w:val="0"/>
        <w:bCs w:val="0"/>
        <w:i w:val="0"/>
        <w:iCs w:val="0"/>
        <w:spacing w:val="-15"/>
        <w:w w:val="100"/>
        <w:sz w:val="26"/>
        <w:szCs w:val="26"/>
        <w:lang w:val="en-US" w:eastAsia="zh-CN" w:bidi="ar-SA"/>
      </w:rPr>
    </w:lvl>
    <w:lvl w:ilvl="1">
      <w:start w:val="0"/>
      <w:numFmt w:val="bullet"/>
      <w:lvlText w:val="•"/>
      <w:lvlJc w:val="left"/>
      <w:pPr>
        <w:ind w:left="1166" w:hanging="421"/>
      </w:pPr>
      <w:rPr>
        <w:rFonts w:hint="default"/>
        <w:lang w:val="en-US" w:eastAsia="zh-CN" w:bidi="ar-SA"/>
      </w:rPr>
    </w:lvl>
    <w:lvl w:ilvl="2">
      <w:start w:val="0"/>
      <w:numFmt w:val="bullet"/>
      <w:lvlText w:val="•"/>
      <w:lvlJc w:val="left"/>
      <w:pPr>
        <w:ind w:left="2113" w:hanging="421"/>
      </w:pPr>
      <w:rPr>
        <w:rFonts w:hint="default"/>
        <w:lang w:val="en-US" w:eastAsia="zh-CN" w:bidi="ar-SA"/>
      </w:rPr>
    </w:lvl>
    <w:lvl w:ilvl="3">
      <w:start w:val="0"/>
      <w:numFmt w:val="bullet"/>
      <w:lvlText w:val="•"/>
      <w:lvlJc w:val="left"/>
      <w:pPr>
        <w:ind w:left="3059" w:hanging="421"/>
      </w:pPr>
      <w:rPr>
        <w:rFonts w:hint="default"/>
        <w:lang w:val="en-US" w:eastAsia="zh-CN" w:bidi="ar-SA"/>
      </w:rPr>
    </w:lvl>
    <w:lvl w:ilvl="4">
      <w:start w:val="0"/>
      <w:numFmt w:val="bullet"/>
      <w:lvlText w:val="•"/>
      <w:lvlJc w:val="left"/>
      <w:pPr>
        <w:ind w:left="4006" w:hanging="421"/>
      </w:pPr>
      <w:rPr>
        <w:rFonts w:hint="default"/>
        <w:lang w:val="en-US" w:eastAsia="zh-CN" w:bidi="ar-SA"/>
      </w:rPr>
    </w:lvl>
    <w:lvl w:ilvl="5">
      <w:start w:val="0"/>
      <w:numFmt w:val="bullet"/>
      <w:lvlText w:val="•"/>
      <w:lvlJc w:val="left"/>
      <w:pPr>
        <w:ind w:left="4953" w:hanging="421"/>
      </w:pPr>
      <w:rPr>
        <w:rFonts w:hint="default"/>
        <w:lang w:val="en-US" w:eastAsia="zh-CN" w:bidi="ar-SA"/>
      </w:rPr>
    </w:lvl>
    <w:lvl w:ilvl="6">
      <w:start w:val="0"/>
      <w:numFmt w:val="bullet"/>
      <w:lvlText w:val="•"/>
      <w:lvlJc w:val="left"/>
      <w:pPr>
        <w:ind w:left="5899" w:hanging="421"/>
      </w:pPr>
      <w:rPr>
        <w:rFonts w:hint="default"/>
        <w:lang w:val="en-US" w:eastAsia="zh-CN" w:bidi="ar-SA"/>
      </w:rPr>
    </w:lvl>
    <w:lvl w:ilvl="7">
      <w:start w:val="0"/>
      <w:numFmt w:val="bullet"/>
      <w:lvlText w:val="•"/>
      <w:lvlJc w:val="left"/>
      <w:pPr>
        <w:ind w:left="6846" w:hanging="421"/>
      </w:pPr>
      <w:rPr>
        <w:rFonts w:hint="default"/>
        <w:lang w:val="en-US" w:eastAsia="zh-CN" w:bidi="ar-SA"/>
      </w:rPr>
    </w:lvl>
    <w:lvl w:ilvl="8">
      <w:start w:val="0"/>
      <w:numFmt w:val="bullet"/>
      <w:lvlText w:val="•"/>
      <w:lvlJc w:val="left"/>
      <w:pPr>
        <w:ind w:left="7793" w:hanging="421"/>
      </w:pPr>
      <w:rPr>
        <w:rFonts w:hint="default"/>
        <w:lang w:val="en-US" w:eastAsia="zh-CN" w:bidi="ar-SA"/>
      </w:rPr>
    </w:lvl>
  </w:abstractNum>
  <w:abstractNum w:abstractNumId="10">
    <w:multiLevelType w:val="hybridMultilevel"/>
    <w:lvl w:ilvl="0">
      <w:start w:val="2"/>
      <w:numFmt w:val="decimal"/>
      <w:lvlText w:val="%1."/>
      <w:lvlJc w:val="left"/>
      <w:pPr>
        <w:ind w:left="218" w:hanging="283"/>
        <w:jc w:val="left"/>
      </w:pPr>
      <w:rPr>
        <w:rFonts w:hint="default" w:ascii="仿宋" w:hAnsi="仿宋" w:eastAsia="仿宋" w:cs="仿宋"/>
        <w:b w:val="0"/>
        <w:bCs w:val="0"/>
        <w:i w:val="0"/>
        <w:iCs w:val="0"/>
        <w:spacing w:val="-2"/>
        <w:w w:val="100"/>
        <w:sz w:val="26"/>
        <w:szCs w:val="26"/>
        <w:lang w:val="en-US" w:eastAsia="zh-CN" w:bidi="ar-SA"/>
      </w:rPr>
    </w:lvl>
    <w:lvl w:ilvl="1">
      <w:start w:val="0"/>
      <w:numFmt w:val="bullet"/>
      <w:lvlText w:val="•"/>
      <w:lvlJc w:val="left"/>
      <w:pPr>
        <w:ind w:left="1166" w:hanging="283"/>
      </w:pPr>
      <w:rPr>
        <w:rFonts w:hint="default"/>
        <w:lang w:val="en-US" w:eastAsia="zh-CN" w:bidi="ar-SA"/>
      </w:rPr>
    </w:lvl>
    <w:lvl w:ilvl="2">
      <w:start w:val="0"/>
      <w:numFmt w:val="bullet"/>
      <w:lvlText w:val="•"/>
      <w:lvlJc w:val="left"/>
      <w:pPr>
        <w:ind w:left="2113" w:hanging="283"/>
      </w:pPr>
      <w:rPr>
        <w:rFonts w:hint="default"/>
        <w:lang w:val="en-US" w:eastAsia="zh-CN" w:bidi="ar-SA"/>
      </w:rPr>
    </w:lvl>
    <w:lvl w:ilvl="3">
      <w:start w:val="0"/>
      <w:numFmt w:val="bullet"/>
      <w:lvlText w:val="•"/>
      <w:lvlJc w:val="left"/>
      <w:pPr>
        <w:ind w:left="3059" w:hanging="283"/>
      </w:pPr>
      <w:rPr>
        <w:rFonts w:hint="default"/>
        <w:lang w:val="en-US" w:eastAsia="zh-CN" w:bidi="ar-SA"/>
      </w:rPr>
    </w:lvl>
    <w:lvl w:ilvl="4">
      <w:start w:val="0"/>
      <w:numFmt w:val="bullet"/>
      <w:lvlText w:val="•"/>
      <w:lvlJc w:val="left"/>
      <w:pPr>
        <w:ind w:left="4006" w:hanging="283"/>
      </w:pPr>
      <w:rPr>
        <w:rFonts w:hint="default"/>
        <w:lang w:val="en-US" w:eastAsia="zh-CN" w:bidi="ar-SA"/>
      </w:rPr>
    </w:lvl>
    <w:lvl w:ilvl="5">
      <w:start w:val="0"/>
      <w:numFmt w:val="bullet"/>
      <w:lvlText w:val="•"/>
      <w:lvlJc w:val="left"/>
      <w:pPr>
        <w:ind w:left="4953" w:hanging="283"/>
      </w:pPr>
      <w:rPr>
        <w:rFonts w:hint="default"/>
        <w:lang w:val="en-US" w:eastAsia="zh-CN" w:bidi="ar-SA"/>
      </w:rPr>
    </w:lvl>
    <w:lvl w:ilvl="6">
      <w:start w:val="0"/>
      <w:numFmt w:val="bullet"/>
      <w:lvlText w:val="•"/>
      <w:lvlJc w:val="left"/>
      <w:pPr>
        <w:ind w:left="5899" w:hanging="283"/>
      </w:pPr>
      <w:rPr>
        <w:rFonts w:hint="default"/>
        <w:lang w:val="en-US" w:eastAsia="zh-CN" w:bidi="ar-SA"/>
      </w:rPr>
    </w:lvl>
    <w:lvl w:ilvl="7">
      <w:start w:val="0"/>
      <w:numFmt w:val="bullet"/>
      <w:lvlText w:val="•"/>
      <w:lvlJc w:val="left"/>
      <w:pPr>
        <w:ind w:left="6846" w:hanging="283"/>
      </w:pPr>
      <w:rPr>
        <w:rFonts w:hint="default"/>
        <w:lang w:val="en-US" w:eastAsia="zh-CN" w:bidi="ar-SA"/>
      </w:rPr>
    </w:lvl>
    <w:lvl w:ilvl="8">
      <w:start w:val="0"/>
      <w:numFmt w:val="bullet"/>
      <w:lvlText w:val="•"/>
      <w:lvlJc w:val="left"/>
      <w:pPr>
        <w:ind w:left="7793" w:hanging="283"/>
      </w:pPr>
      <w:rPr>
        <w:rFonts w:hint="default"/>
        <w:lang w:val="en-US" w:eastAsia="zh-CN" w:bidi="ar-SA"/>
      </w:rPr>
    </w:lvl>
  </w:abstractNum>
  <w:abstractNum w:abstractNumId="9">
    <w:multiLevelType w:val="hybridMultilevel"/>
    <w:lvl w:ilvl="0">
      <w:start w:val="1"/>
      <w:numFmt w:val="decimal"/>
      <w:lvlText w:val="%1."/>
      <w:lvlJc w:val="left"/>
      <w:pPr>
        <w:ind w:left="1199" w:hanging="421"/>
        <w:jc w:val="left"/>
      </w:pPr>
      <w:rPr>
        <w:rFonts w:hint="default" w:ascii="仿宋" w:hAnsi="仿宋" w:eastAsia="仿宋" w:cs="仿宋"/>
        <w:b w:val="0"/>
        <w:bCs w:val="0"/>
        <w:i w:val="0"/>
        <w:iCs w:val="0"/>
        <w:spacing w:val="-2"/>
        <w:w w:val="100"/>
        <w:sz w:val="26"/>
        <w:szCs w:val="26"/>
        <w:lang w:val="en-US" w:eastAsia="zh-CN" w:bidi="ar-SA"/>
      </w:rPr>
    </w:lvl>
    <w:lvl w:ilvl="1">
      <w:start w:val="0"/>
      <w:numFmt w:val="bullet"/>
      <w:lvlText w:val="•"/>
      <w:lvlJc w:val="left"/>
      <w:pPr>
        <w:ind w:left="2048" w:hanging="421"/>
      </w:pPr>
      <w:rPr>
        <w:rFonts w:hint="default"/>
        <w:lang w:val="en-US" w:eastAsia="zh-CN" w:bidi="ar-SA"/>
      </w:rPr>
    </w:lvl>
    <w:lvl w:ilvl="2">
      <w:start w:val="0"/>
      <w:numFmt w:val="bullet"/>
      <w:lvlText w:val="•"/>
      <w:lvlJc w:val="left"/>
      <w:pPr>
        <w:ind w:left="2897" w:hanging="421"/>
      </w:pPr>
      <w:rPr>
        <w:rFonts w:hint="default"/>
        <w:lang w:val="en-US" w:eastAsia="zh-CN" w:bidi="ar-SA"/>
      </w:rPr>
    </w:lvl>
    <w:lvl w:ilvl="3">
      <w:start w:val="0"/>
      <w:numFmt w:val="bullet"/>
      <w:lvlText w:val="•"/>
      <w:lvlJc w:val="left"/>
      <w:pPr>
        <w:ind w:left="3745" w:hanging="421"/>
      </w:pPr>
      <w:rPr>
        <w:rFonts w:hint="default"/>
        <w:lang w:val="en-US" w:eastAsia="zh-CN" w:bidi="ar-SA"/>
      </w:rPr>
    </w:lvl>
    <w:lvl w:ilvl="4">
      <w:start w:val="0"/>
      <w:numFmt w:val="bullet"/>
      <w:lvlText w:val="•"/>
      <w:lvlJc w:val="left"/>
      <w:pPr>
        <w:ind w:left="4594" w:hanging="421"/>
      </w:pPr>
      <w:rPr>
        <w:rFonts w:hint="default"/>
        <w:lang w:val="en-US" w:eastAsia="zh-CN" w:bidi="ar-SA"/>
      </w:rPr>
    </w:lvl>
    <w:lvl w:ilvl="5">
      <w:start w:val="0"/>
      <w:numFmt w:val="bullet"/>
      <w:lvlText w:val="•"/>
      <w:lvlJc w:val="left"/>
      <w:pPr>
        <w:ind w:left="5443" w:hanging="421"/>
      </w:pPr>
      <w:rPr>
        <w:rFonts w:hint="default"/>
        <w:lang w:val="en-US" w:eastAsia="zh-CN" w:bidi="ar-SA"/>
      </w:rPr>
    </w:lvl>
    <w:lvl w:ilvl="6">
      <w:start w:val="0"/>
      <w:numFmt w:val="bullet"/>
      <w:lvlText w:val="•"/>
      <w:lvlJc w:val="left"/>
      <w:pPr>
        <w:ind w:left="6291" w:hanging="421"/>
      </w:pPr>
      <w:rPr>
        <w:rFonts w:hint="default"/>
        <w:lang w:val="en-US" w:eastAsia="zh-CN" w:bidi="ar-SA"/>
      </w:rPr>
    </w:lvl>
    <w:lvl w:ilvl="7">
      <w:start w:val="0"/>
      <w:numFmt w:val="bullet"/>
      <w:lvlText w:val="•"/>
      <w:lvlJc w:val="left"/>
      <w:pPr>
        <w:ind w:left="7140" w:hanging="421"/>
      </w:pPr>
      <w:rPr>
        <w:rFonts w:hint="default"/>
        <w:lang w:val="en-US" w:eastAsia="zh-CN" w:bidi="ar-SA"/>
      </w:rPr>
    </w:lvl>
    <w:lvl w:ilvl="8">
      <w:start w:val="0"/>
      <w:numFmt w:val="bullet"/>
      <w:lvlText w:val="•"/>
      <w:lvlJc w:val="left"/>
      <w:pPr>
        <w:ind w:left="7989" w:hanging="421"/>
      </w:pPr>
      <w:rPr>
        <w:rFonts w:hint="default"/>
        <w:lang w:val="en-US" w:eastAsia="zh-CN" w:bidi="ar-SA"/>
      </w:rPr>
    </w:lvl>
  </w:abstractNum>
  <w:abstractNum w:abstractNumId="8">
    <w:multiLevelType w:val="hybridMultilevel"/>
    <w:lvl w:ilvl="0">
      <w:start w:val="1"/>
      <w:numFmt w:val="decimal"/>
      <w:lvlText w:val="%1."/>
      <w:lvlJc w:val="left"/>
      <w:pPr>
        <w:ind w:left="1199" w:hanging="421"/>
        <w:jc w:val="left"/>
      </w:pPr>
      <w:rPr>
        <w:rFonts w:hint="default" w:ascii="仿宋" w:hAnsi="仿宋" w:eastAsia="仿宋" w:cs="仿宋"/>
        <w:b w:val="0"/>
        <w:bCs w:val="0"/>
        <w:i w:val="0"/>
        <w:iCs w:val="0"/>
        <w:spacing w:val="-2"/>
        <w:w w:val="100"/>
        <w:sz w:val="26"/>
        <w:szCs w:val="26"/>
        <w:lang w:val="en-US" w:eastAsia="zh-CN" w:bidi="ar-SA"/>
      </w:rPr>
    </w:lvl>
    <w:lvl w:ilvl="1">
      <w:start w:val="0"/>
      <w:numFmt w:val="bullet"/>
      <w:lvlText w:val="•"/>
      <w:lvlJc w:val="left"/>
      <w:pPr>
        <w:ind w:left="2048" w:hanging="421"/>
      </w:pPr>
      <w:rPr>
        <w:rFonts w:hint="default"/>
        <w:lang w:val="en-US" w:eastAsia="zh-CN" w:bidi="ar-SA"/>
      </w:rPr>
    </w:lvl>
    <w:lvl w:ilvl="2">
      <w:start w:val="0"/>
      <w:numFmt w:val="bullet"/>
      <w:lvlText w:val="•"/>
      <w:lvlJc w:val="left"/>
      <w:pPr>
        <w:ind w:left="2897" w:hanging="421"/>
      </w:pPr>
      <w:rPr>
        <w:rFonts w:hint="default"/>
        <w:lang w:val="en-US" w:eastAsia="zh-CN" w:bidi="ar-SA"/>
      </w:rPr>
    </w:lvl>
    <w:lvl w:ilvl="3">
      <w:start w:val="0"/>
      <w:numFmt w:val="bullet"/>
      <w:lvlText w:val="•"/>
      <w:lvlJc w:val="left"/>
      <w:pPr>
        <w:ind w:left="3745" w:hanging="421"/>
      </w:pPr>
      <w:rPr>
        <w:rFonts w:hint="default"/>
        <w:lang w:val="en-US" w:eastAsia="zh-CN" w:bidi="ar-SA"/>
      </w:rPr>
    </w:lvl>
    <w:lvl w:ilvl="4">
      <w:start w:val="0"/>
      <w:numFmt w:val="bullet"/>
      <w:lvlText w:val="•"/>
      <w:lvlJc w:val="left"/>
      <w:pPr>
        <w:ind w:left="4594" w:hanging="421"/>
      </w:pPr>
      <w:rPr>
        <w:rFonts w:hint="default"/>
        <w:lang w:val="en-US" w:eastAsia="zh-CN" w:bidi="ar-SA"/>
      </w:rPr>
    </w:lvl>
    <w:lvl w:ilvl="5">
      <w:start w:val="0"/>
      <w:numFmt w:val="bullet"/>
      <w:lvlText w:val="•"/>
      <w:lvlJc w:val="left"/>
      <w:pPr>
        <w:ind w:left="5443" w:hanging="421"/>
      </w:pPr>
      <w:rPr>
        <w:rFonts w:hint="default"/>
        <w:lang w:val="en-US" w:eastAsia="zh-CN" w:bidi="ar-SA"/>
      </w:rPr>
    </w:lvl>
    <w:lvl w:ilvl="6">
      <w:start w:val="0"/>
      <w:numFmt w:val="bullet"/>
      <w:lvlText w:val="•"/>
      <w:lvlJc w:val="left"/>
      <w:pPr>
        <w:ind w:left="6291" w:hanging="421"/>
      </w:pPr>
      <w:rPr>
        <w:rFonts w:hint="default"/>
        <w:lang w:val="en-US" w:eastAsia="zh-CN" w:bidi="ar-SA"/>
      </w:rPr>
    </w:lvl>
    <w:lvl w:ilvl="7">
      <w:start w:val="0"/>
      <w:numFmt w:val="bullet"/>
      <w:lvlText w:val="•"/>
      <w:lvlJc w:val="left"/>
      <w:pPr>
        <w:ind w:left="7140" w:hanging="421"/>
      </w:pPr>
      <w:rPr>
        <w:rFonts w:hint="default"/>
        <w:lang w:val="en-US" w:eastAsia="zh-CN" w:bidi="ar-SA"/>
      </w:rPr>
    </w:lvl>
    <w:lvl w:ilvl="8">
      <w:start w:val="0"/>
      <w:numFmt w:val="bullet"/>
      <w:lvlText w:val="•"/>
      <w:lvlJc w:val="left"/>
      <w:pPr>
        <w:ind w:left="7989" w:hanging="421"/>
      </w:pPr>
      <w:rPr>
        <w:rFonts w:hint="default"/>
        <w:lang w:val="en-US" w:eastAsia="zh-CN" w:bidi="ar-SA"/>
      </w:rPr>
    </w:lvl>
  </w:abstractNum>
  <w:abstractNum w:abstractNumId="7">
    <w:multiLevelType w:val="hybridMultilevel"/>
    <w:lvl w:ilvl="0">
      <w:start w:val="1"/>
      <w:numFmt w:val="decimal"/>
      <w:lvlText w:val="%1."/>
      <w:lvlJc w:val="left"/>
      <w:pPr>
        <w:ind w:left="1199" w:hanging="421"/>
        <w:jc w:val="left"/>
      </w:pPr>
      <w:rPr>
        <w:rFonts w:hint="default" w:ascii="仿宋" w:hAnsi="仿宋" w:eastAsia="仿宋" w:cs="仿宋"/>
        <w:b w:val="0"/>
        <w:bCs w:val="0"/>
        <w:i w:val="0"/>
        <w:iCs w:val="0"/>
        <w:spacing w:val="-2"/>
        <w:w w:val="100"/>
        <w:sz w:val="26"/>
        <w:szCs w:val="26"/>
        <w:lang w:val="en-US" w:eastAsia="zh-CN" w:bidi="ar-SA"/>
      </w:rPr>
    </w:lvl>
    <w:lvl w:ilvl="1">
      <w:start w:val="0"/>
      <w:numFmt w:val="bullet"/>
      <w:lvlText w:val="•"/>
      <w:lvlJc w:val="left"/>
      <w:pPr>
        <w:ind w:left="2048" w:hanging="421"/>
      </w:pPr>
      <w:rPr>
        <w:rFonts w:hint="default"/>
        <w:lang w:val="en-US" w:eastAsia="zh-CN" w:bidi="ar-SA"/>
      </w:rPr>
    </w:lvl>
    <w:lvl w:ilvl="2">
      <w:start w:val="0"/>
      <w:numFmt w:val="bullet"/>
      <w:lvlText w:val="•"/>
      <w:lvlJc w:val="left"/>
      <w:pPr>
        <w:ind w:left="2897" w:hanging="421"/>
      </w:pPr>
      <w:rPr>
        <w:rFonts w:hint="default"/>
        <w:lang w:val="en-US" w:eastAsia="zh-CN" w:bidi="ar-SA"/>
      </w:rPr>
    </w:lvl>
    <w:lvl w:ilvl="3">
      <w:start w:val="0"/>
      <w:numFmt w:val="bullet"/>
      <w:lvlText w:val="•"/>
      <w:lvlJc w:val="left"/>
      <w:pPr>
        <w:ind w:left="3745" w:hanging="421"/>
      </w:pPr>
      <w:rPr>
        <w:rFonts w:hint="default"/>
        <w:lang w:val="en-US" w:eastAsia="zh-CN" w:bidi="ar-SA"/>
      </w:rPr>
    </w:lvl>
    <w:lvl w:ilvl="4">
      <w:start w:val="0"/>
      <w:numFmt w:val="bullet"/>
      <w:lvlText w:val="•"/>
      <w:lvlJc w:val="left"/>
      <w:pPr>
        <w:ind w:left="4594" w:hanging="421"/>
      </w:pPr>
      <w:rPr>
        <w:rFonts w:hint="default"/>
        <w:lang w:val="en-US" w:eastAsia="zh-CN" w:bidi="ar-SA"/>
      </w:rPr>
    </w:lvl>
    <w:lvl w:ilvl="5">
      <w:start w:val="0"/>
      <w:numFmt w:val="bullet"/>
      <w:lvlText w:val="•"/>
      <w:lvlJc w:val="left"/>
      <w:pPr>
        <w:ind w:left="5443" w:hanging="421"/>
      </w:pPr>
      <w:rPr>
        <w:rFonts w:hint="default"/>
        <w:lang w:val="en-US" w:eastAsia="zh-CN" w:bidi="ar-SA"/>
      </w:rPr>
    </w:lvl>
    <w:lvl w:ilvl="6">
      <w:start w:val="0"/>
      <w:numFmt w:val="bullet"/>
      <w:lvlText w:val="•"/>
      <w:lvlJc w:val="left"/>
      <w:pPr>
        <w:ind w:left="6291" w:hanging="421"/>
      </w:pPr>
      <w:rPr>
        <w:rFonts w:hint="default"/>
        <w:lang w:val="en-US" w:eastAsia="zh-CN" w:bidi="ar-SA"/>
      </w:rPr>
    </w:lvl>
    <w:lvl w:ilvl="7">
      <w:start w:val="0"/>
      <w:numFmt w:val="bullet"/>
      <w:lvlText w:val="•"/>
      <w:lvlJc w:val="left"/>
      <w:pPr>
        <w:ind w:left="7140" w:hanging="421"/>
      </w:pPr>
      <w:rPr>
        <w:rFonts w:hint="default"/>
        <w:lang w:val="en-US" w:eastAsia="zh-CN" w:bidi="ar-SA"/>
      </w:rPr>
    </w:lvl>
    <w:lvl w:ilvl="8">
      <w:start w:val="0"/>
      <w:numFmt w:val="bullet"/>
      <w:lvlText w:val="•"/>
      <w:lvlJc w:val="left"/>
      <w:pPr>
        <w:ind w:left="7989" w:hanging="421"/>
      </w:pPr>
      <w:rPr>
        <w:rFonts w:hint="default"/>
        <w:lang w:val="en-US" w:eastAsia="zh-CN" w:bidi="ar-SA"/>
      </w:rPr>
    </w:lvl>
  </w:abstractNum>
  <w:abstractNum w:abstractNumId="6">
    <w:multiLevelType w:val="hybridMultilevel"/>
    <w:lvl w:ilvl="0">
      <w:start w:val="2"/>
      <w:numFmt w:val="decimal"/>
      <w:lvlText w:val="%1."/>
      <w:lvlJc w:val="left"/>
      <w:pPr>
        <w:ind w:left="1199" w:hanging="421"/>
        <w:jc w:val="left"/>
      </w:pPr>
      <w:rPr>
        <w:rFonts w:hint="default" w:ascii="仿宋" w:hAnsi="仿宋" w:eastAsia="仿宋" w:cs="仿宋"/>
        <w:b w:val="0"/>
        <w:bCs w:val="0"/>
        <w:i w:val="0"/>
        <w:iCs w:val="0"/>
        <w:spacing w:val="-2"/>
        <w:w w:val="100"/>
        <w:sz w:val="26"/>
        <w:szCs w:val="26"/>
        <w:lang w:val="en-US" w:eastAsia="zh-CN" w:bidi="ar-SA"/>
      </w:rPr>
    </w:lvl>
    <w:lvl w:ilvl="1">
      <w:start w:val="0"/>
      <w:numFmt w:val="bullet"/>
      <w:lvlText w:val="•"/>
      <w:lvlJc w:val="left"/>
      <w:pPr>
        <w:ind w:left="2048" w:hanging="421"/>
      </w:pPr>
      <w:rPr>
        <w:rFonts w:hint="default"/>
        <w:lang w:val="en-US" w:eastAsia="zh-CN" w:bidi="ar-SA"/>
      </w:rPr>
    </w:lvl>
    <w:lvl w:ilvl="2">
      <w:start w:val="0"/>
      <w:numFmt w:val="bullet"/>
      <w:lvlText w:val="•"/>
      <w:lvlJc w:val="left"/>
      <w:pPr>
        <w:ind w:left="2897" w:hanging="421"/>
      </w:pPr>
      <w:rPr>
        <w:rFonts w:hint="default"/>
        <w:lang w:val="en-US" w:eastAsia="zh-CN" w:bidi="ar-SA"/>
      </w:rPr>
    </w:lvl>
    <w:lvl w:ilvl="3">
      <w:start w:val="0"/>
      <w:numFmt w:val="bullet"/>
      <w:lvlText w:val="•"/>
      <w:lvlJc w:val="left"/>
      <w:pPr>
        <w:ind w:left="3745" w:hanging="421"/>
      </w:pPr>
      <w:rPr>
        <w:rFonts w:hint="default"/>
        <w:lang w:val="en-US" w:eastAsia="zh-CN" w:bidi="ar-SA"/>
      </w:rPr>
    </w:lvl>
    <w:lvl w:ilvl="4">
      <w:start w:val="0"/>
      <w:numFmt w:val="bullet"/>
      <w:lvlText w:val="•"/>
      <w:lvlJc w:val="left"/>
      <w:pPr>
        <w:ind w:left="4594" w:hanging="421"/>
      </w:pPr>
      <w:rPr>
        <w:rFonts w:hint="default"/>
        <w:lang w:val="en-US" w:eastAsia="zh-CN" w:bidi="ar-SA"/>
      </w:rPr>
    </w:lvl>
    <w:lvl w:ilvl="5">
      <w:start w:val="0"/>
      <w:numFmt w:val="bullet"/>
      <w:lvlText w:val="•"/>
      <w:lvlJc w:val="left"/>
      <w:pPr>
        <w:ind w:left="5443" w:hanging="421"/>
      </w:pPr>
      <w:rPr>
        <w:rFonts w:hint="default"/>
        <w:lang w:val="en-US" w:eastAsia="zh-CN" w:bidi="ar-SA"/>
      </w:rPr>
    </w:lvl>
    <w:lvl w:ilvl="6">
      <w:start w:val="0"/>
      <w:numFmt w:val="bullet"/>
      <w:lvlText w:val="•"/>
      <w:lvlJc w:val="left"/>
      <w:pPr>
        <w:ind w:left="6291" w:hanging="421"/>
      </w:pPr>
      <w:rPr>
        <w:rFonts w:hint="default"/>
        <w:lang w:val="en-US" w:eastAsia="zh-CN" w:bidi="ar-SA"/>
      </w:rPr>
    </w:lvl>
    <w:lvl w:ilvl="7">
      <w:start w:val="0"/>
      <w:numFmt w:val="bullet"/>
      <w:lvlText w:val="•"/>
      <w:lvlJc w:val="left"/>
      <w:pPr>
        <w:ind w:left="7140" w:hanging="421"/>
      </w:pPr>
      <w:rPr>
        <w:rFonts w:hint="default"/>
        <w:lang w:val="en-US" w:eastAsia="zh-CN" w:bidi="ar-SA"/>
      </w:rPr>
    </w:lvl>
    <w:lvl w:ilvl="8">
      <w:start w:val="0"/>
      <w:numFmt w:val="bullet"/>
      <w:lvlText w:val="•"/>
      <w:lvlJc w:val="left"/>
      <w:pPr>
        <w:ind w:left="7989" w:hanging="421"/>
      </w:pPr>
      <w:rPr>
        <w:rFonts w:hint="default"/>
        <w:lang w:val="en-US" w:eastAsia="zh-CN" w:bidi="ar-SA"/>
      </w:rPr>
    </w:lvl>
  </w:abstractNum>
  <w:abstractNum w:abstractNumId="5">
    <w:multiLevelType w:val="hybridMultilevel"/>
    <w:lvl w:ilvl="0">
      <w:start w:val="1"/>
      <w:numFmt w:val="decimal"/>
      <w:lvlText w:val="（%1）"/>
      <w:lvlJc w:val="left"/>
      <w:pPr>
        <w:ind w:left="1484" w:hanging="705"/>
        <w:jc w:val="left"/>
      </w:pPr>
      <w:rPr>
        <w:rFonts w:hint="default" w:ascii="仿宋" w:hAnsi="仿宋" w:eastAsia="仿宋" w:cs="仿宋"/>
        <w:b/>
        <w:bCs/>
        <w:i w:val="0"/>
        <w:iCs w:val="0"/>
        <w:spacing w:val="-2"/>
        <w:w w:val="99"/>
        <w:sz w:val="26"/>
        <w:szCs w:val="26"/>
        <w:lang w:val="en-US" w:eastAsia="zh-CN" w:bidi="ar-SA"/>
      </w:rPr>
    </w:lvl>
    <w:lvl w:ilvl="1">
      <w:start w:val="0"/>
      <w:numFmt w:val="bullet"/>
      <w:lvlText w:val="•"/>
      <w:lvlJc w:val="left"/>
      <w:pPr>
        <w:ind w:left="2300" w:hanging="705"/>
      </w:pPr>
      <w:rPr>
        <w:rFonts w:hint="default"/>
        <w:lang w:val="en-US" w:eastAsia="zh-CN" w:bidi="ar-SA"/>
      </w:rPr>
    </w:lvl>
    <w:lvl w:ilvl="2">
      <w:start w:val="0"/>
      <w:numFmt w:val="bullet"/>
      <w:lvlText w:val="•"/>
      <w:lvlJc w:val="left"/>
      <w:pPr>
        <w:ind w:left="3121" w:hanging="705"/>
      </w:pPr>
      <w:rPr>
        <w:rFonts w:hint="default"/>
        <w:lang w:val="en-US" w:eastAsia="zh-CN" w:bidi="ar-SA"/>
      </w:rPr>
    </w:lvl>
    <w:lvl w:ilvl="3">
      <w:start w:val="0"/>
      <w:numFmt w:val="bullet"/>
      <w:lvlText w:val="•"/>
      <w:lvlJc w:val="left"/>
      <w:pPr>
        <w:ind w:left="3941" w:hanging="705"/>
      </w:pPr>
      <w:rPr>
        <w:rFonts w:hint="default"/>
        <w:lang w:val="en-US" w:eastAsia="zh-CN" w:bidi="ar-SA"/>
      </w:rPr>
    </w:lvl>
    <w:lvl w:ilvl="4">
      <w:start w:val="0"/>
      <w:numFmt w:val="bullet"/>
      <w:lvlText w:val="•"/>
      <w:lvlJc w:val="left"/>
      <w:pPr>
        <w:ind w:left="4762" w:hanging="705"/>
      </w:pPr>
      <w:rPr>
        <w:rFonts w:hint="default"/>
        <w:lang w:val="en-US" w:eastAsia="zh-CN" w:bidi="ar-SA"/>
      </w:rPr>
    </w:lvl>
    <w:lvl w:ilvl="5">
      <w:start w:val="0"/>
      <w:numFmt w:val="bullet"/>
      <w:lvlText w:val="•"/>
      <w:lvlJc w:val="left"/>
      <w:pPr>
        <w:ind w:left="5583" w:hanging="705"/>
      </w:pPr>
      <w:rPr>
        <w:rFonts w:hint="default"/>
        <w:lang w:val="en-US" w:eastAsia="zh-CN" w:bidi="ar-SA"/>
      </w:rPr>
    </w:lvl>
    <w:lvl w:ilvl="6">
      <w:start w:val="0"/>
      <w:numFmt w:val="bullet"/>
      <w:lvlText w:val="•"/>
      <w:lvlJc w:val="left"/>
      <w:pPr>
        <w:ind w:left="6403" w:hanging="705"/>
      </w:pPr>
      <w:rPr>
        <w:rFonts w:hint="default"/>
        <w:lang w:val="en-US" w:eastAsia="zh-CN" w:bidi="ar-SA"/>
      </w:rPr>
    </w:lvl>
    <w:lvl w:ilvl="7">
      <w:start w:val="0"/>
      <w:numFmt w:val="bullet"/>
      <w:lvlText w:val="•"/>
      <w:lvlJc w:val="left"/>
      <w:pPr>
        <w:ind w:left="7224" w:hanging="705"/>
      </w:pPr>
      <w:rPr>
        <w:rFonts w:hint="default"/>
        <w:lang w:val="en-US" w:eastAsia="zh-CN" w:bidi="ar-SA"/>
      </w:rPr>
    </w:lvl>
    <w:lvl w:ilvl="8">
      <w:start w:val="0"/>
      <w:numFmt w:val="bullet"/>
      <w:lvlText w:val="•"/>
      <w:lvlJc w:val="left"/>
      <w:pPr>
        <w:ind w:left="8045" w:hanging="705"/>
      </w:pPr>
      <w:rPr>
        <w:rFonts w:hint="default"/>
        <w:lang w:val="en-US" w:eastAsia="zh-CN" w:bidi="ar-SA"/>
      </w:rPr>
    </w:lvl>
  </w:abstractNum>
  <w:abstractNum w:abstractNumId="4">
    <w:multiLevelType w:val="hybridMultilevel"/>
    <w:lvl w:ilvl="0">
      <w:start w:val="1"/>
      <w:numFmt w:val="decimal"/>
      <w:lvlText w:val="%1."/>
      <w:lvlJc w:val="left"/>
      <w:pPr>
        <w:ind w:left="1199" w:hanging="421"/>
        <w:jc w:val="left"/>
      </w:pPr>
      <w:rPr>
        <w:rFonts w:hint="default" w:ascii="仿宋" w:hAnsi="仿宋" w:eastAsia="仿宋" w:cs="仿宋"/>
        <w:b w:val="0"/>
        <w:bCs w:val="0"/>
        <w:i w:val="0"/>
        <w:iCs w:val="0"/>
        <w:spacing w:val="-2"/>
        <w:w w:val="100"/>
        <w:sz w:val="26"/>
        <w:szCs w:val="26"/>
        <w:lang w:val="en-US" w:eastAsia="zh-CN" w:bidi="ar-SA"/>
      </w:rPr>
    </w:lvl>
    <w:lvl w:ilvl="1">
      <w:start w:val="0"/>
      <w:numFmt w:val="bullet"/>
      <w:lvlText w:val="•"/>
      <w:lvlJc w:val="left"/>
      <w:pPr>
        <w:ind w:left="2048" w:hanging="421"/>
      </w:pPr>
      <w:rPr>
        <w:rFonts w:hint="default"/>
        <w:lang w:val="en-US" w:eastAsia="zh-CN" w:bidi="ar-SA"/>
      </w:rPr>
    </w:lvl>
    <w:lvl w:ilvl="2">
      <w:start w:val="0"/>
      <w:numFmt w:val="bullet"/>
      <w:lvlText w:val="•"/>
      <w:lvlJc w:val="left"/>
      <w:pPr>
        <w:ind w:left="2897" w:hanging="421"/>
      </w:pPr>
      <w:rPr>
        <w:rFonts w:hint="default"/>
        <w:lang w:val="en-US" w:eastAsia="zh-CN" w:bidi="ar-SA"/>
      </w:rPr>
    </w:lvl>
    <w:lvl w:ilvl="3">
      <w:start w:val="0"/>
      <w:numFmt w:val="bullet"/>
      <w:lvlText w:val="•"/>
      <w:lvlJc w:val="left"/>
      <w:pPr>
        <w:ind w:left="3745" w:hanging="421"/>
      </w:pPr>
      <w:rPr>
        <w:rFonts w:hint="default"/>
        <w:lang w:val="en-US" w:eastAsia="zh-CN" w:bidi="ar-SA"/>
      </w:rPr>
    </w:lvl>
    <w:lvl w:ilvl="4">
      <w:start w:val="0"/>
      <w:numFmt w:val="bullet"/>
      <w:lvlText w:val="•"/>
      <w:lvlJc w:val="left"/>
      <w:pPr>
        <w:ind w:left="4594" w:hanging="421"/>
      </w:pPr>
      <w:rPr>
        <w:rFonts w:hint="default"/>
        <w:lang w:val="en-US" w:eastAsia="zh-CN" w:bidi="ar-SA"/>
      </w:rPr>
    </w:lvl>
    <w:lvl w:ilvl="5">
      <w:start w:val="0"/>
      <w:numFmt w:val="bullet"/>
      <w:lvlText w:val="•"/>
      <w:lvlJc w:val="left"/>
      <w:pPr>
        <w:ind w:left="5443" w:hanging="421"/>
      </w:pPr>
      <w:rPr>
        <w:rFonts w:hint="default"/>
        <w:lang w:val="en-US" w:eastAsia="zh-CN" w:bidi="ar-SA"/>
      </w:rPr>
    </w:lvl>
    <w:lvl w:ilvl="6">
      <w:start w:val="0"/>
      <w:numFmt w:val="bullet"/>
      <w:lvlText w:val="•"/>
      <w:lvlJc w:val="left"/>
      <w:pPr>
        <w:ind w:left="6291" w:hanging="421"/>
      </w:pPr>
      <w:rPr>
        <w:rFonts w:hint="default"/>
        <w:lang w:val="en-US" w:eastAsia="zh-CN" w:bidi="ar-SA"/>
      </w:rPr>
    </w:lvl>
    <w:lvl w:ilvl="7">
      <w:start w:val="0"/>
      <w:numFmt w:val="bullet"/>
      <w:lvlText w:val="•"/>
      <w:lvlJc w:val="left"/>
      <w:pPr>
        <w:ind w:left="7140" w:hanging="421"/>
      </w:pPr>
      <w:rPr>
        <w:rFonts w:hint="default"/>
        <w:lang w:val="en-US" w:eastAsia="zh-CN" w:bidi="ar-SA"/>
      </w:rPr>
    </w:lvl>
    <w:lvl w:ilvl="8">
      <w:start w:val="0"/>
      <w:numFmt w:val="bullet"/>
      <w:lvlText w:val="•"/>
      <w:lvlJc w:val="left"/>
      <w:pPr>
        <w:ind w:left="7989" w:hanging="421"/>
      </w:pPr>
      <w:rPr>
        <w:rFonts w:hint="default"/>
        <w:lang w:val="en-US" w:eastAsia="zh-CN" w:bidi="ar-SA"/>
      </w:rPr>
    </w:lvl>
  </w:abstractNum>
  <w:abstractNum w:abstractNumId="3">
    <w:multiLevelType w:val="hybridMultilevel"/>
    <w:lvl w:ilvl="0">
      <w:start w:val="1"/>
      <w:numFmt w:val="decimal"/>
      <w:lvlText w:val="%1."/>
      <w:lvlJc w:val="left"/>
      <w:pPr>
        <w:ind w:left="1199" w:hanging="421"/>
        <w:jc w:val="left"/>
      </w:pPr>
      <w:rPr>
        <w:rFonts w:hint="default" w:ascii="仿宋" w:hAnsi="仿宋" w:eastAsia="仿宋" w:cs="仿宋"/>
        <w:b w:val="0"/>
        <w:bCs w:val="0"/>
        <w:i w:val="0"/>
        <w:iCs w:val="0"/>
        <w:spacing w:val="-2"/>
        <w:w w:val="100"/>
        <w:sz w:val="26"/>
        <w:szCs w:val="26"/>
        <w:lang w:val="en-US" w:eastAsia="zh-CN" w:bidi="ar-SA"/>
      </w:rPr>
    </w:lvl>
    <w:lvl w:ilvl="1">
      <w:start w:val="0"/>
      <w:numFmt w:val="bullet"/>
      <w:lvlText w:val="•"/>
      <w:lvlJc w:val="left"/>
      <w:pPr>
        <w:ind w:left="2048" w:hanging="421"/>
      </w:pPr>
      <w:rPr>
        <w:rFonts w:hint="default"/>
        <w:lang w:val="en-US" w:eastAsia="zh-CN" w:bidi="ar-SA"/>
      </w:rPr>
    </w:lvl>
    <w:lvl w:ilvl="2">
      <w:start w:val="0"/>
      <w:numFmt w:val="bullet"/>
      <w:lvlText w:val="•"/>
      <w:lvlJc w:val="left"/>
      <w:pPr>
        <w:ind w:left="2897" w:hanging="421"/>
      </w:pPr>
      <w:rPr>
        <w:rFonts w:hint="default"/>
        <w:lang w:val="en-US" w:eastAsia="zh-CN" w:bidi="ar-SA"/>
      </w:rPr>
    </w:lvl>
    <w:lvl w:ilvl="3">
      <w:start w:val="0"/>
      <w:numFmt w:val="bullet"/>
      <w:lvlText w:val="•"/>
      <w:lvlJc w:val="left"/>
      <w:pPr>
        <w:ind w:left="3745" w:hanging="421"/>
      </w:pPr>
      <w:rPr>
        <w:rFonts w:hint="default"/>
        <w:lang w:val="en-US" w:eastAsia="zh-CN" w:bidi="ar-SA"/>
      </w:rPr>
    </w:lvl>
    <w:lvl w:ilvl="4">
      <w:start w:val="0"/>
      <w:numFmt w:val="bullet"/>
      <w:lvlText w:val="•"/>
      <w:lvlJc w:val="left"/>
      <w:pPr>
        <w:ind w:left="4594" w:hanging="421"/>
      </w:pPr>
      <w:rPr>
        <w:rFonts w:hint="default"/>
        <w:lang w:val="en-US" w:eastAsia="zh-CN" w:bidi="ar-SA"/>
      </w:rPr>
    </w:lvl>
    <w:lvl w:ilvl="5">
      <w:start w:val="0"/>
      <w:numFmt w:val="bullet"/>
      <w:lvlText w:val="•"/>
      <w:lvlJc w:val="left"/>
      <w:pPr>
        <w:ind w:left="5443" w:hanging="421"/>
      </w:pPr>
      <w:rPr>
        <w:rFonts w:hint="default"/>
        <w:lang w:val="en-US" w:eastAsia="zh-CN" w:bidi="ar-SA"/>
      </w:rPr>
    </w:lvl>
    <w:lvl w:ilvl="6">
      <w:start w:val="0"/>
      <w:numFmt w:val="bullet"/>
      <w:lvlText w:val="•"/>
      <w:lvlJc w:val="left"/>
      <w:pPr>
        <w:ind w:left="6291" w:hanging="421"/>
      </w:pPr>
      <w:rPr>
        <w:rFonts w:hint="default"/>
        <w:lang w:val="en-US" w:eastAsia="zh-CN" w:bidi="ar-SA"/>
      </w:rPr>
    </w:lvl>
    <w:lvl w:ilvl="7">
      <w:start w:val="0"/>
      <w:numFmt w:val="bullet"/>
      <w:lvlText w:val="•"/>
      <w:lvlJc w:val="left"/>
      <w:pPr>
        <w:ind w:left="7140" w:hanging="421"/>
      </w:pPr>
      <w:rPr>
        <w:rFonts w:hint="default"/>
        <w:lang w:val="en-US" w:eastAsia="zh-CN" w:bidi="ar-SA"/>
      </w:rPr>
    </w:lvl>
    <w:lvl w:ilvl="8">
      <w:start w:val="0"/>
      <w:numFmt w:val="bullet"/>
      <w:lvlText w:val="•"/>
      <w:lvlJc w:val="left"/>
      <w:pPr>
        <w:ind w:left="7989" w:hanging="421"/>
      </w:pPr>
      <w:rPr>
        <w:rFonts w:hint="default"/>
        <w:lang w:val="en-US" w:eastAsia="zh-CN" w:bidi="ar-SA"/>
      </w:rPr>
    </w:lvl>
  </w:abstractNum>
  <w:abstractNum w:abstractNumId="2">
    <w:multiLevelType w:val="hybridMultilevel"/>
    <w:lvl w:ilvl="0">
      <w:start w:val="1"/>
      <w:numFmt w:val="decimal"/>
      <w:lvlText w:val="（%1）"/>
      <w:lvlJc w:val="left"/>
      <w:pPr>
        <w:ind w:left="218" w:hanging="702"/>
        <w:jc w:val="left"/>
      </w:pPr>
      <w:rPr>
        <w:rFonts w:hint="default" w:ascii="仿宋" w:hAnsi="仿宋" w:eastAsia="仿宋" w:cs="仿宋"/>
        <w:b w:val="0"/>
        <w:bCs w:val="0"/>
        <w:i w:val="0"/>
        <w:iCs w:val="0"/>
        <w:spacing w:val="-8"/>
        <w:w w:val="100"/>
        <w:sz w:val="26"/>
        <w:szCs w:val="26"/>
        <w:lang w:val="en-US" w:eastAsia="zh-CN" w:bidi="ar-SA"/>
      </w:rPr>
    </w:lvl>
    <w:lvl w:ilvl="1">
      <w:start w:val="1"/>
      <w:numFmt w:val="decimal"/>
      <w:lvlText w:val="%2."/>
      <w:lvlJc w:val="left"/>
      <w:pPr>
        <w:ind w:left="1199" w:hanging="421"/>
        <w:jc w:val="left"/>
      </w:pPr>
      <w:rPr>
        <w:rFonts w:hint="default" w:ascii="仿宋" w:hAnsi="仿宋" w:eastAsia="仿宋" w:cs="仿宋"/>
        <w:b w:val="0"/>
        <w:bCs w:val="0"/>
        <w:i w:val="0"/>
        <w:iCs w:val="0"/>
        <w:spacing w:val="-2"/>
        <w:w w:val="100"/>
        <w:sz w:val="26"/>
        <w:szCs w:val="26"/>
        <w:lang w:val="en-US" w:eastAsia="zh-CN" w:bidi="ar-SA"/>
      </w:rPr>
    </w:lvl>
    <w:lvl w:ilvl="2">
      <w:start w:val="0"/>
      <w:numFmt w:val="bullet"/>
      <w:lvlText w:val="•"/>
      <w:lvlJc w:val="left"/>
      <w:pPr>
        <w:ind w:left="2142" w:hanging="421"/>
      </w:pPr>
      <w:rPr>
        <w:rFonts w:hint="default"/>
        <w:lang w:val="en-US" w:eastAsia="zh-CN" w:bidi="ar-SA"/>
      </w:rPr>
    </w:lvl>
    <w:lvl w:ilvl="3">
      <w:start w:val="0"/>
      <w:numFmt w:val="bullet"/>
      <w:lvlText w:val="•"/>
      <w:lvlJc w:val="left"/>
      <w:pPr>
        <w:ind w:left="3085" w:hanging="421"/>
      </w:pPr>
      <w:rPr>
        <w:rFonts w:hint="default"/>
        <w:lang w:val="en-US" w:eastAsia="zh-CN" w:bidi="ar-SA"/>
      </w:rPr>
    </w:lvl>
    <w:lvl w:ilvl="4">
      <w:start w:val="0"/>
      <w:numFmt w:val="bullet"/>
      <w:lvlText w:val="•"/>
      <w:lvlJc w:val="left"/>
      <w:pPr>
        <w:ind w:left="4028" w:hanging="421"/>
      </w:pPr>
      <w:rPr>
        <w:rFonts w:hint="default"/>
        <w:lang w:val="en-US" w:eastAsia="zh-CN" w:bidi="ar-SA"/>
      </w:rPr>
    </w:lvl>
    <w:lvl w:ilvl="5">
      <w:start w:val="0"/>
      <w:numFmt w:val="bullet"/>
      <w:lvlText w:val="•"/>
      <w:lvlJc w:val="left"/>
      <w:pPr>
        <w:ind w:left="4971" w:hanging="421"/>
      </w:pPr>
      <w:rPr>
        <w:rFonts w:hint="default"/>
        <w:lang w:val="en-US" w:eastAsia="zh-CN" w:bidi="ar-SA"/>
      </w:rPr>
    </w:lvl>
    <w:lvl w:ilvl="6">
      <w:start w:val="0"/>
      <w:numFmt w:val="bullet"/>
      <w:lvlText w:val="•"/>
      <w:lvlJc w:val="left"/>
      <w:pPr>
        <w:ind w:left="5914" w:hanging="421"/>
      </w:pPr>
      <w:rPr>
        <w:rFonts w:hint="default"/>
        <w:lang w:val="en-US" w:eastAsia="zh-CN" w:bidi="ar-SA"/>
      </w:rPr>
    </w:lvl>
    <w:lvl w:ilvl="7">
      <w:start w:val="0"/>
      <w:numFmt w:val="bullet"/>
      <w:lvlText w:val="•"/>
      <w:lvlJc w:val="left"/>
      <w:pPr>
        <w:ind w:left="6857" w:hanging="421"/>
      </w:pPr>
      <w:rPr>
        <w:rFonts w:hint="default"/>
        <w:lang w:val="en-US" w:eastAsia="zh-CN" w:bidi="ar-SA"/>
      </w:rPr>
    </w:lvl>
    <w:lvl w:ilvl="8">
      <w:start w:val="0"/>
      <w:numFmt w:val="bullet"/>
      <w:lvlText w:val="•"/>
      <w:lvlJc w:val="left"/>
      <w:pPr>
        <w:ind w:left="7800" w:hanging="421"/>
      </w:pPr>
      <w:rPr>
        <w:rFonts w:hint="default"/>
        <w:lang w:val="en-US" w:eastAsia="zh-CN" w:bidi="ar-SA"/>
      </w:rPr>
    </w:lvl>
  </w:abstractNum>
  <w:abstractNum w:abstractNumId="1">
    <w:multiLevelType w:val="hybridMultilevel"/>
    <w:lvl w:ilvl="0">
      <w:start w:val="1"/>
      <w:numFmt w:val="lowerLetter"/>
      <w:lvlText w:val="%1."/>
      <w:lvlJc w:val="left"/>
      <w:pPr>
        <w:ind w:left="218" w:hanging="284"/>
        <w:jc w:val="left"/>
      </w:pPr>
      <w:rPr>
        <w:rFonts w:hint="default" w:ascii="仿宋" w:hAnsi="仿宋" w:eastAsia="仿宋" w:cs="仿宋"/>
        <w:b/>
        <w:bCs/>
        <w:i w:val="0"/>
        <w:iCs w:val="0"/>
        <w:spacing w:val="1"/>
        <w:w w:val="99"/>
        <w:sz w:val="26"/>
        <w:szCs w:val="26"/>
        <w:lang w:val="en-US" w:eastAsia="zh-CN" w:bidi="ar-SA"/>
      </w:rPr>
    </w:lvl>
    <w:lvl w:ilvl="1">
      <w:start w:val="0"/>
      <w:numFmt w:val="bullet"/>
      <w:lvlText w:val="•"/>
      <w:lvlJc w:val="left"/>
      <w:pPr>
        <w:ind w:left="1166" w:hanging="284"/>
      </w:pPr>
      <w:rPr>
        <w:rFonts w:hint="default"/>
        <w:lang w:val="en-US" w:eastAsia="zh-CN" w:bidi="ar-SA"/>
      </w:rPr>
    </w:lvl>
    <w:lvl w:ilvl="2">
      <w:start w:val="0"/>
      <w:numFmt w:val="bullet"/>
      <w:lvlText w:val="•"/>
      <w:lvlJc w:val="left"/>
      <w:pPr>
        <w:ind w:left="2113" w:hanging="284"/>
      </w:pPr>
      <w:rPr>
        <w:rFonts w:hint="default"/>
        <w:lang w:val="en-US" w:eastAsia="zh-CN" w:bidi="ar-SA"/>
      </w:rPr>
    </w:lvl>
    <w:lvl w:ilvl="3">
      <w:start w:val="0"/>
      <w:numFmt w:val="bullet"/>
      <w:lvlText w:val="•"/>
      <w:lvlJc w:val="left"/>
      <w:pPr>
        <w:ind w:left="3059" w:hanging="284"/>
      </w:pPr>
      <w:rPr>
        <w:rFonts w:hint="default"/>
        <w:lang w:val="en-US" w:eastAsia="zh-CN" w:bidi="ar-SA"/>
      </w:rPr>
    </w:lvl>
    <w:lvl w:ilvl="4">
      <w:start w:val="0"/>
      <w:numFmt w:val="bullet"/>
      <w:lvlText w:val="•"/>
      <w:lvlJc w:val="left"/>
      <w:pPr>
        <w:ind w:left="4006" w:hanging="284"/>
      </w:pPr>
      <w:rPr>
        <w:rFonts w:hint="default"/>
        <w:lang w:val="en-US" w:eastAsia="zh-CN" w:bidi="ar-SA"/>
      </w:rPr>
    </w:lvl>
    <w:lvl w:ilvl="5">
      <w:start w:val="0"/>
      <w:numFmt w:val="bullet"/>
      <w:lvlText w:val="•"/>
      <w:lvlJc w:val="left"/>
      <w:pPr>
        <w:ind w:left="4953" w:hanging="284"/>
      </w:pPr>
      <w:rPr>
        <w:rFonts w:hint="default"/>
        <w:lang w:val="en-US" w:eastAsia="zh-CN" w:bidi="ar-SA"/>
      </w:rPr>
    </w:lvl>
    <w:lvl w:ilvl="6">
      <w:start w:val="0"/>
      <w:numFmt w:val="bullet"/>
      <w:lvlText w:val="•"/>
      <w:lvlJc w:val="left"/>
      <w:pPr>
        <w:ind w:left="5899" w:hanging="284"/>
      </w:pPr>
      <w:rPr>
        <w:rFonts w:hint="default"/>
        <w:lang w:val="en-US" w:eastAsia="zh-CN" w:bidi="ar-SA"/>
      </w:rPr>
    </w:lvl>
    <w:lvl w:ilvl="7">
      <w:start w:val="0"/>
      <w:numFmt w:val="bullet"/>
      <w:lvlText w:val="•"/>
      <w:lvlJc w:val="left"/>
      <w:pPr>
        <w:ind w:left="6846" w:hanging="284"/>
      </w:pPr>
      <w:rPr>
        <w:rFonts w:hint="default"/>
        <w:lang w:val="en-US" w:eastAsia="zh-CN" w:bidi="ar-SA"/>
      </w:rPr>
    </w:lvl>
    <w:lvl w:ilvl="8">
      <w:start w:val="0"/>
      <w:numFmt w:val="bullet"/>
      <w:lvlText w:val="•"/>
      <w:lvlJc w:val="left"/>
      <w:pPr>
        <w:ind w:left="7793" w:hanging="284"/>
      </w:pPr>
      <w:rPr>
        <w:rFonts w:hint="default"/>
        <w:lang w:val="en-US" w:eastAsia="zh-CN" w:bidi="ar-SA"/>
      </w:rPr>
    </w:lvl>
  </w:abstractNum>
  <w:num w:numId="1">
    <w:abstractNumId w:val="0"/>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lang w:val="en-US" w:eastAsia="zh-CN" w:bidi="ar-SA"/>
    </w:rPr>
  </w:style>
  <w:style w:styleId="BodyText" w:type="paragraph">
    <w:name w:val="Body Text"/>
    <w:basedOn w:val="Normal"/>
    <w:uiPriority w:val="1"/>
    <w:qFormat/>
    <w:pPr/>
    <w:rPr>
      <w:rFonts w:ascii="仿宋" w:hAnsi="仿宋" w:eastAsia="仿宋" w:cs="仿宋"/>
      <w:sz w:val="28"/>
      <w:szCs w:val="28"/>
      <w:lang w:val="en-US" w:eastAsia="zh-CN" w:bidi="ar-SA"/>
    </w:rPr>
  </w:style>
  <w:style w:styleId="Title" w:type="paragraph">
    <w:name w:val="Title"/>
    <w:basedOn w:val="Normal"/>
    <w:uiPriority w:val="1"/>
    <w:qFormat/>
    <w:pPr>
      <w:spacing w:before="6"/>
      <w:ind w:left="1791" w:right="1971"/>
      <w:jc w:val="center"/>
    </w:pPr>
    <w:rPr>
      <w:rFonts w:ascii="仿宋" w:hAnsi="仿宋" w:eastAsia="仿宋" w:cs="仿宋"/>
      <w:b/>
      <w:bCs/>
      <w:sz w:val="32"/>
      <w:szCs w:val="32"/>
      <w:lang w:val="en-US" w:eastAsia="zh-CN" w:bidi="ar-SA"/>
    </w:rPr>
  </w:style>
  <w:style w:styleId="ListParagraph" w:type="paragraph">
    <w:name w:val="List Paragraph"/>
    <w:basedOn w:val="Normal"/>
    <w:uiPriority w:val="1"/>
    <w:qFormat/>
    <w:pPr>
      <w:ind w:left="218" w:hanging="421"/>
    </w:pPr>
    <w:rPr>
      <w:rFonts w:ascii="仿宋" w:hAnsi="仿宋" w:eastAsia="仿宋" w:cs="仿宋"/>
      <w:lang w:val="en-US" w:eastAsia="zh-CN" w:bidi="ar-SA"/>
    </w:rPr>
  </w:style>
  <w:style w:styleId="TableParagraph" w:type="paragraph">
    <w:name w:val="Table Paragraph"/>
    <w:basedOn w:val="Normal"/>
    <w:uiPriority w:val="1"/>
    <w:qFormat/>
    <w:pPr>
      <w:spacing w:before="91"/>
      <w:ind w:left="108"/>
    </w:pPr>
    <w:rPr>
      <w:rFonts w:ascii="仿宋" w:hAnsi="仿宋" w:eastAsia="仿宋" w:cs="仿宋"/>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2021-07-23T05:22:40Z</dcterms:created>
  <dcterms:modified xsi:type="dcterms:W3CDTF">2021-07-23T05:22:40Z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2021-07-23T00:00:00Z</vt:filetime>
  </property>
  <property fmtid="{D5CDD505-2E9C-101B-9397-08002B2CF9AE}" pid="3" name="Creator">
    <vt:lpwstr>Aspose Ltd.</vt:lpwstr>
  </property>
  <property fmtid="{D5CDD505-2E9C-101B-9397-08002B2CF9AE}" pid="4" name="LastSaved">
    <vt:filetime>2021-07-23T00:00:00Z</vt:filetime>
  </property>
</Properties>
</file>