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258" w:right="0"/>
        <w:jc w:val="left"/>
        <w:rPr>
          <w:rFonts w:ascii="Times New Roman"/>
          <w:sz w:val="20"/>
        </w:rPr>
      </w:pPr>
      <w:r>
        <w:rPr>
          <w:rFonts w:ascii="Times New Roman"/>
          <w:sz w:val="20"/>
        </w:rPr>
        <w:drawing>
          <wp:inline distT="0" distB="0" distL="0" distR="0">
            <wp:extent cx="1413510" cy="3835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1413776" cy="384048"/>
                    </a:xfrm>
                    <a:prstGeom prst="rect">
                      <a:avLst/>
                    </a:prstGeom>
                  </pic:spPr>
                </pic:pic>
              </a:graphicData>
            </a:graphic>
          </wp:inline>
        </w:drawing>
      </w:r>
    </w:p>
    <w:p>
      <w:pPr>
        <w:spacing w:before="0" w:line="630" w:lineRule="exact"/>
        <w:ind w:left="82" w:right="0" w:firstLine="0"/>
        <w:jc w:val="center"/>
        <w:rPr>
          <w:rFonts w:hint="eastAsia" w:ascii="Microsoft JhengHei" w:eastAsia="Microsoft JhengHei"/>
          <w:b/>
          <w:sz w:val="21"/>
        </w:rPr>
      </w:pPr>
      <w:r>
        <w:rPr>
          <w:rFonts w:hint="eastAsia" w:ascii="Microsoft JhengHei" w:eastAsia="Microsoft JhengHei"/>
          <w:b/>
          <w:w w:val="199"/>
          <w:sz w:val="44"/>
        </w:rPr>
        <w:t xml:space="preserve"> </w:t>
      </w:r>
      <w:r>
        <w:rPr>
          <w:rFonts w:hint="eastAsia" w:ascii="Microsoft JhengHei" w:eastAsia="Microsoft JhengHei"/>
          <w:b/>
          <w:sz w:val="44"/>
        </w:rPr>
        <w:t>人身保险投保提示书</w:t>
      </w:r>
      <w:r>
        <w:rPr>
          <w:rFonts w:hint="eastAsia" w:ascii="Microsoft JhengHei" w:eastAsia="Microsoft JhengHei"/>
          <w:b/>
          <w:w w:val="201"/>
          <w:sz w:val="21"/>
        </w:rPr>
        <w:t xml:space="preserve"> </w:t>
      </w:r>
    </w:p>
    <w:p>
      <w:pPr>
        <w:pStyle w:val="2"/>
        <w:spacing w:before="205" w:line="240" w:lineRule="auto"/>
      </w:pPr>
      <w:r>
        <w:t>尊敬的客户：</w:t>
      </w:r>
      <w:r>
        <w:rPr>
          <w:w w:val="201"/>
        </w:rPr>
        <w:t xml:space="preserve"> </w:t>
      </w:r>
    </w:p>
    <w:p>
      <w:pPr>
        <w:pStyle w:val="3"/>
        <w:spacing w:before="92" w:line="213" w:lineRule="auto"/>
        <w:ind w:firstLine="420"/>
      </w:pPr>
      <w:r>
        <w:rPr>
          <w:spacing w:val="-6"/>
        </w:rPr>
        <w:t>人身保险是以人的寿命和身体为保险标的的保险。当被保险人发生死亡、伤残、疾病等风险事故时或</w:t>
      </w:r>
      <w:r>
        <w:rPr>
          <w:spacing w:val="-7"/>
        </w:rPr>
        <w:t>者达到合同约定的年龄、期限时，保险公司按照保险合同约定给付保险金。人身保险具有保障和长期储蓄功能，可以用于为人们的生活进行长期财务规划。为帮助您更好地认识和购买人身保险产品，保护您的合</w:t>
      </w:r>
      <w:r>
        <w:rPr>
          <w:w w:val="100"/>
        </w:rPr>
        <w:t>法权益，按照中国银行保险监督管理部门规定，华贵人寿保险股份有限公司</w:t>
      </w:r>
      <w:r>
        <w:rPr>
          <w:spacing w:val="2"/>
          <w:w w:val="100"/>
        </w:rPr>
        <w:t>（</w:t>
      </w:r>
      <w:r>
        <w:rPr>
          <w:spacing w:val="-12"/>
          <w:w w:val="100"/>
        </w:rPr>
        <w:t>以下简称“我公司”</w:t>
      </w:r>
      <w:r>
        <w:rPr>
          <w:spacing w:val="2"/>
          <w:w w:val="100"/>
        </w:rPr>
        <w:t>）</w:t>
      </w:r>
      <w:r>
        <w:rPr>
          <w:w w:val="100"/>
        </w:rPr>
        <w:t>请您</w:t>
      </w:r>
      <w:r>
        <w:rPr>
          <w:spacing w:val="-3"/>
        </w:rPr>
        <w:t xml:space="preserve">在填写投保书之前认真阅读以下内容： </w:t>
      </w:r>
    </w:p>
    <w:p>
      <w:pPr>
        <w:pStyle w:val="2"/>
        <w:spacing w:line="373" w:lineRule="exact"/>
      </w:pPr>
      <w:r>
        <w:rPr>
          <w:w w:val="201"/>
        </w:rPr>
        <w:t xml:space="preserve">    </w:t>
      </w:r>
      <w:r>
        <w:t>一、请您确认保险机构和销售人员的合法资格</w:t>
      </w:r>
      <w:r>
        <w:rPr>
          <w:w w:val="201"/>
        </w:rPr>
        <w:t xml:space="preserve"> </w:t>
      </w:r>
    </w:p>
    <w:p>
      <w:pPr>
        <w:pStyle w:val="3"/>
        <w:spacing w:before="87" w:line="208" w:lineRule="auto"/>
      </w:pPr>
      <w:r>
        <w:rPr>
          <w:w w:val="100"/>
        </w:rPr>
        <w:t xml:space="preserve">    </w:t>
      </w:r>
      <w:r>
        <w:rPr>
          <w:spacing w:val="-7"/>
        </w:rPr>
        <w:t>请您从持有中国银行保险监督管理部门颁发《经营保险业务许可证》或《保险兼业代理许可证》的合</w:t>
      </w:r>
      <w:r>
        <w:rPr>
          <w:spacing w:val="-8"/>
        </w:rPr>
        <w:t>法机构或持有《保险销售从业人员执业证书》的销售人员处办理保险业务。如需要查询销售人员的销售资</w:t>
      </w:r>
      <w:r>
        <w:rPr>
          <w:spacing w:val="17"/>
        </w:rPr>
        <w:t>格， 您可以要求销售人员告知具体查询方式， 或登录保险中介监管信息系统查询</w:t>
      </w:r>
      <w:r>
        <w:t>（</w:t>
      </w:r>
      <w:r>
        <w:rPr>
          <w:spacing w:val="-54"/>
        </w:rPr>
        <w:t xml:space="preserve"> </w:t>
      </w:r>
      <w:r>
        <w:rPr>
          <w:spacing w:val="23"/>
          <w:sz w:val="22"/>
        </w:rPr>
        <w:t xml:space="preserve">网址： </w:t>
      </w:r>
      <w:r>
        <w:fldChar w:fldCharType="begin"/>
      </w:r>
      <w:r>
        <w:instrText xml:space="preserve"> HYPERLINK "http://iir.circ.gov.cn/" \h </w:instrText>
      </w:r>
      <w:r>
        <w:fldChar w:fldCharType="separate"/>
      </w:r>
      <w:r>
        <w:rPr>
          <w:spacing w:val="23"/>
          <w:w w:val="96"/>
          <w:sz w:val="22"/>
        </w:rPr>
        <w:t>http:</w:t>
      </w:r>
      <w:r>
        <w:rPr>
          <w:spacing w:val="-3"/>
          <w:w w:val="96"/>
          <w:sz w:val="22"/>
        </w:rPr>
        <w:t>/</w:t>
      </w:r>
      <w:r>
        <w:rPr>
          <w:w w:val="96"/>
          <w:sz w:val="22"/>
        </w:rPr>
        <w:t>/ii</w:t>
      </w:r>
      <w:r>
        <w:rPr>
          <w:spacing w:val="-3"/>
          <w:w w:val="96"/>
          <w:sz w:val="22"/>
        </w:rPr>
        <w:t>r</w:t>
      </w:r>
      <w:r>
        <w:rPr>
          <w:w w:val="96"/>
          <w:sz w:val="22"/>
        </w:rPr>
        <w:t>.ci</w:t>
      </w:r>
      <w:r>
        <w:rPr>
          <w:spacing w:val="-3"/>
          <w:w w:val="96"/>
          <w:sz w:val="22"/>
        </w:rPr>
        <w:t>r</w:t>
      </w:r>
      <w:r>
        <w:rPr>
          <w:w w:val="96"/>
          <w:sz w:val="22"/>
        </w:rPr>
        <w:t>c.g</w:t>
      </w:r>
      <w:r>
        <w:rPr>
          <w:spacing w:val="-3"/>
          <w:w w:val="96"/>
          <w:sz w:val="22"/>
        </w:rPr>
        <w:t>o</w:t>
      </w:r>
      <w:r>
        <w:rPr>
          <w:w w:val="96"/>
          <w:sz w:val="22"/>
        </w:rPr>
        <w:t>v.c</w:t>
      </w:r>
      <w:r>
        <w:rPr>
          <w:spacing w:val="-3"/>
          <w:w w:val="96"/>
          <w:sz w:val="22"/>
        </w:rPr>
        <w:t>n</w:t>
      </w:r>
      <w:r>
        <w:rPr>
          <w:spacing w:val="-3"/>
          <w:w w:val="96"/>
          <w:sz w:val="22"/>
        </w:rPr>
        <w:fldChar w:fldCharType="end"/>
      </w:r>
      <w:r>
        <w:rPr>
          <w:spacing w:val="-108"/>
          <w:w w:val="100"/>
        </w:rPr>
        <w:t>）</w:t>
      </w:r>
      <w:r>
        <w:rPr>
          <w:w w:val="100"/>
        </w:rPr>
        <w:t xml:space="preserve">。 </w:t>
      </w:r>
    </w:p>
    <w:p>
      <w:pPr>
        <w:pStyle w:val="2"/>
        <w:spacing w:line="368" w:lineRule="exact"/>
      </w:pPr>
      <w:r>
        <w:rPr>
          <w:w w:val="201"/>
        </w:rPr>
        <w:t xml:space="preserve">    </w:t>
      </w:r>
      <w:r>
        <w:t>二、 请您根据实际保险需求和支付能力选择人身保险产品</w:t>
      </w:r>
      <w:r>
        <w:rPr>
          <w:w w:val="201"/>
        </w:rPr>
        <w:t xml:space="preserve"> </w:t>
      </w:r>
    </w:p>
    <w:p>
      <w:pPr>
        <w:pStyle w:val="3"/>
        <w:spacing w:before="81" w:line="213" w:lineRule="auto"/>
      </w:pPr>
      <w:r>
        <w:rPr>
          <w:w w:val="100"/>
        </w:rPr>
        <w:t xml:space="preserve">    </w:t>
      </w:r>
      <w:r>
        <w:rPr>
          <w:spacing w:val="-5"/>
        </w:rPr>
        <w:t>请您根据自身已有的保障水平和经济实力等实际情况，选择适合自身需求的保险产品。多数人身保险</w:t>
      </w:r>
      <w:r>
        <w:rPr>
          <w:spacing w:val="-6"/>
        </w:rPr>
        <w:t>产品期限较长，如果需要分期交纳保费，请您充分考虑是否有足够、稳定的财力长期支付保费，不按时交</w:t>
      </w:r>
      <w:r>
        <w:rPr>
          <w:spacing w:val="-4"/>
        </w:rPr>
        <w:t xml:space="preserve">费可能会影响您的权益。建议您使用银行划账等非现金方式交纳保费。 </w:t>
      </w:r>
    </w:p>
    <w:p>
      <w:pPr>
        <w:pStyle w:val="2"/>
      </w:pPr>
      <w:r>
        <w:rPr>
          <w:w w:val="201"/>
        </w:rPr>
        <w:t xml:space="preserve">    </w:t>
      </w:r>
      <w:r>
        <w:t>三、请您详细了解保险合同的条款内容</w:t>
      </w:r>
      <w:r>
        <w:rPr>
          <w:w w:val="201"/>
        </w:rPr>
        <w:t xml:space="preserve"> </w:t>
      </w:r>
    </w:p>
    <w:p>
      <w:pPr>
        <w:pStyle w:val="3"/>
        <w:spacing w:before="81" w:line="213" w:lineRule="auto"/>
      </w:pPr>
      <w:r>
        <w:rPr>
          <w:w w:val="100"/>
        </w:rPr>
        <w:t xml:space="preserve">    </w:t>
      </w:r>
      <w:r>
        <w:rPr>
          <w:spacing w:val="-6"/>
        </w:rPr>
        <w:t>请您不要将保险产品的广告、公告、招贴画等宣传材料视同为保险合同，应当要求销售人员向您提供</w:t>
      </w:r>
      <w:r>
        <w:rPr>
          <w:spacing w:val="-8"/>
        </w:rPr>
        <w:t>相关保险产品的条款。请您认真阅读条款内容，重点关注保险责任、责任免除、投保人及被保险人权利和</w:t>
      </w:r>
      <w:r>
        <w:rPr>
          <w:spacing w:val="-5"/>
        </w:rPr>
        <w:t>义务、免赔额或免赔率的计算、申请赔款的手续、退保相关约定、费用扣除、产品期限等内容。您若对条</w:t>
      </w:r>
      <w:r>
        <w:rPr>
          <w:spacing w:val="-4"/>
        </w:rPr>
        <w:t>款内容有疑问，您可以要求销售人员进行解释。</w:t>
      </w:r>
      <w:r>
        <w:t xml:space="preserve"> </w:t>
      </w:r>
    </w:p>
    <w:p>
      <w:pPr>
        <w:pStyle w:val="2"/>
        <w:spacing w:line="373" w:lineRule="exact"/>
      </w:pPr>
      <w:r>
        <w:rPr>
          <w:w w:val="201"/>
        </w:rPr>
        <w:t xml:space="preserve">    </w:t>
      </w:r>
      <w:r>
        <w:t>四、请您了解“犹豫期”的有关约定</w:t>
      </w:r>
      <w:r>
        <w:rPr>
          <w:w w:val="201"/>
        </w:rPr>
        <w:t xml:space="preserve"> </w:t>
      </w:r>
    </w:p>
    <w:p>
      <w:pPr>
        <w:pStyle w:val="3"/>
        <w:spacing w:before="60" w:line="255" w:lineRule="exact"/>
        <w:ind w:right="0"/>
      </w:pPr>
      <w:r>
        <w:rPr>
          <w:w w:val="100"/>
        </w:rPr>
        <w:t xml:space="preserve">    </w:t>
      </w:r>
      <w:r>
        <w:t>一年期以上的人身保险产品一般有犹豫期（电子保险合同承保日起 20 日内）的有关约定。除合同另</w:t>
      </w:r>
    </w:p>
    <w:p>
      <w:pPr>
        <w:pStyle w:val="3"/>
        <w:spacing w:before="9" w:line="213" w:lineRule="auto"/>
      </w:pPr>
      <w:r>
        <w:rPr>
          <w:spacing w:val="-3"/>
        </w:rPr>
        <w:t xml:space="preserve">有约定外，在犹豫期内，您可以无条件解除保险合同，但应退还保单，我公司除扣除不超过 </w:t>
      </w:r>
      <w:r>
        <w:t>10 元的成本</w:t>
      </w:r>
      <w:r>
        <w:rPr>
          <w:spacing w:val="-3"/>
        </w:rPr>
        <w:t>费以外，退还您全部保费并不对此收取其他任何费用。</w:t>
      </w:r>
      <w:r>
        <w:t xml:space="preserve"> </w:t>
      </w:r>
    </w:p>
    <w:p>
      <w:pPr>
        <w:pStyle w:val="2"/>
      </w:pPr>
      <w:r>
        <w:rPr>
          <w:w w:val="201"/>
        </w:rPr>
        <w:t xml:space="preserve">    </w:t>
      </w:r>
      <w:r>
        <w:t>五、“犹豫期”后解除保险合同请您慎重</w:t>
      </w:r>
      <w:r>
        <w:rPr>
          <w:w w:val="201"/>
        </w:rPr>
        <w:t xml:space="preserve"> </w:t>
      </w:r>
    </w:p>
    <w:p>
      <w:pPr>
        <w:pStyle w:val="3"/>
        <w:spacing w:before="80" w:line="213" w:lineRule="auto"/>
      </w:pPr>
      <w:r>
        <w:rPr>
          <w:w w:val="100"/>
        </w:rPr>
        <w:t xml:space="preserve">    </w:t>
      </w:r>
      <w:r>
        <w:rPr>
          <w:spacing w:val="-3"/>
        </w:rPr>
        <w:t xml:space="preserve">若您在犹豫期过后解除保险合同，您会有一定的损失。我公司自收到解除合同通知之日起 </w:t>
      </w:r>
      <w:r>
        <w:t xml:space="preserve">30 日内， </w:t>
      </w:r>
      <w:r>
        <w:rPr>
          <w:spacing w:val="-4"/>
        </w:rPr>
        <w:t>将按照合同约定退还保险单的现金价值</w:t>
      </w:r>
      <w:r>
        <w:rPr>
          <w:spacing w:val="-3"/>
        </w:rPr>
        <w:t>（</w:t>
      </w:r>
      <w:r>
        <w:rPr>
          <w:spacing w:val="-5"/>
        </w:rPr>
        <w:t>现金价值表附在正式保险合同之中，您若存在疑问，可要求我公</w:t>
      </w:r>
      <w:r>
        <w:rPr>
          <w:spacing w:val="-4"/>
        </w:rPr>
        <w:t>司予以解释</w:t>
      </w:r>
      <w:r>
        <w:rPr>
          <w:spacing w:val="-106"/>
        </w:rPr>
        <w:t>）</w:t>
      </w:r>
      <w:r>
        <w:rPr>
          <w:spacing w:val="-3"/>
        </w:rPr>
        <w:t>。</w:t>
      </w:r>
      <w:r>
        <w:t xml:space="preserve"> </w:t>
      </w:r>
    </w:p>
    <w:p>
      <w:pPr>
        <w:pStyle w:val="2"/>
        <w:spacing w:line="351" w:lineRule="exact"/>
      </w:pPr>
      <w:r>
        <w:rPr>
          <w:w w:val="201"/>
        </w:rPr>
        <w:t xml:space="preserve">    </w:t>
      </w:r>
      <w:r>
        <w:t>六、请您充分认识分红保险、投资连结保险、万能保险等人身保险新型产品的风险和特点</w:t>
      </w:r>
      <w:r>
        <w:rPr>
          <w:w w:val="201"/>
        </w:rPr>
        <w:t xml:space="preserve"> </w:t>
      </w:r>
    </w:p>
    <w:p>
      <w:pPr>
        <w:spacing w:before="0" w:line="365" w:lineRule="exact"/>
        <w:ind w:left="232" w:right="0" w:firstLine="0"/>
        <w:jc w:val="left"/>
        <w:rPr>
          <w:rFonts w:hint="eastAsia" w:ascii="Microsoft JhengHei" w:eastAsia="Microsoft JhengHei"/>
          <w:b/>
          <w:sz w:val="21"/>
        </w:rPr>
      </w:pPr>
      <w:r>
        <w:rPr>
          <w:rFonts w:hint="eastAsia" w:ascii="Microsoft JhengHei" w:eastAsia="Microsoft JhengHei"/>
          <w:b/>
          <w:w w:val="201"/>
          <w:sz w:val="21"/>
        </w:rPr>
        <w:t xml:space="preserve">    </w:t>
      </w:r>
      <w:r>
        <w:rPr>
          <w:rFonts w:hint="eastAsia" w:ascii="Microsoft JhengHei" w:eastAsia="Microsoft JhengHei"/>
          <w:b/>
          <w:sz w:val="21"/>
        </w:rPr>
        <w:t>（1）如果您选择购买分红保险产品，请您注意以下事项：</w:t>
      </w:r>
      <w:r>
        <w:rPr>
          <w:rFonts w:hint="eastAsia" w:ascii="Microsoft JhengHei" w:eastAsia="Microsoft JhengHei"/>
          <w:b/>
          <w:w w:val="201"/>
          <w:sz w:val="21"/>
        </w:rPr>
        <w:t xml:space="preserve"> </w:t>
      </w:r>
    </w:p>
    <w:p>
      <w:pPr>
        <w:pStyle w:val="3"/>
        <w:spacing w:before="95" w:line="213" w:lineRule="auto"/>
        <w:ind w:firstLine="420"/>
      </w:pPr>
      <w:r>
        <w:rPr>
          <w:spacing w:val="-5"/>
        </w:rPr>
        <w:t>分红水平主要取决于我公司的实际经营成果。如果实际经营成果优于定价假设，我公司会将部分盈余</w:t>
      </w:r>
      <w:r>
        <w:rPr>
          <w:spacing w:val="-7"/>
        </w:rPr>
        <w:t>分配给您。如果实际经营成果差于定价假设，我公司可能不会派发红利。产品说明书或保险利益测算书中</w:t>
      </w:r>
      <w:r>
        <w:rPr>
          <w:spacing w:val="-5"/>
        </w:rPr>
        <w:t xml:space="preserve">关于未来保险合同利益的预测是基于公司精算假设，不能理解为对未来的预期，红利分配是不确定的。 </w:t>
      </w:r>
    </w:p>
    <w:p>
      <w:pPr>
        <w:pStyle w:val="2"/>
        <w:spacing w:before="18" w:line="240" w:lineRule="auto"/>
      </w:pPr>
      <w:r>
        <w:rPr>
          <w:w w:val="201"/>
        </w:rPr>
        <w:t xml:space="preserve">    </w:t>
      </w:r>
      <w:r>
        <w:t>（2）如果您购买投资连结保险产品，请您注意以下事项：</w:t>
      </w:r>
      <w:r>
        <w:rPr>
          <w:w w:val="201"/>
        </w:rPr>
        <w:t xml:space="preserve"> </w:t>
      </w:r>
    </w:p>
    <w:p>
      <w:pPr>
        <w:pStyle w:val="3"/>
        <w:spacing w:before="90" w:line="213" w:lineRule="auto"/>
        <w:ind w:firstLine="420"/>
      </w:pPr>
      <w:r>
        <w:rPr>
          <w:spacing w:val="-7"/>
        </w:rPr>
        <w:t>您应当详细了解投资连结保险的费用扣除情况，包括初始费用、买入卖出差价、死亡风险保险费、保</w:t>
      </w:r>
      <w:r>
        <w:rPr>
          <w:spacing w:val="-8"/>
        </w:rPr>
        <w:t>单管理费、资产管理费、手续费、退保费用等。您应当要求销售人员将投资连结保险账户价值的详细计算方法对您进行解释。投资连结保险产品的投资回报具有不确定性，投资风险完全由您承担。产品说明书或</w:t>
      </w:r>
      <w:r>
        <w:rPr>
          <w:spacing w:val="-7"/>
        </w:rPr>
        <w:t>保险利益测算书中关于未来保险合同利益的预测是基于公司精算假设，不能理解为对未来的预期，实际投资可能赢利或者出现亏损。如果您选择灵活交费方式的，您应当要求销售人员将您停止交费可能产生的风</w:t>
      </w:r>
      <w:r>
        <w:rPr>
          <w:spacing w:val="-5"/>
        </w:rPr>
        <w:t>险和不利后果对您进行解释。</w:t>
      </w:r>
      <w:r>
        <w:t xml:space="preserve"> </w:t>
      </w:r>
    </w:p>
    <w:p>
      <w:pPr>
        <w:pStyle w:val="2"/>
        <w:spacing w:before="19" w:line="240" w:lineRule="auto"/>
      </w:pPr>
      <w:r>
        <w:rPr>
          <w:w w:val="201"/>
        </w:rPr>
        <w:t xml:space="preserve">    </w:t>
      </w:r>
      <w:r>
        <w:t>（3）如果您选择购买万能保险产品，请您注意以下事项：</w:t>
      </w:r>
      <w:r>
        <w:rPr>
          <w:w w:val="201"/>
        </w:rPr>
        <w:t xml:space="preserve"> </w:t>
      </w:r>
    </w:p>
    <w:p>
      <w:pPr>
        <w:pStyle w:val="3"/>
        <w:spacing w:before="90" w:line="213" w:lineRule="auto"/>
        <w:ind w:right="225" w:firstLine="420"/>
      </w:pPr>
      <w:r>
        <w:rPr>
          <w:spacing w:val="-5"/>
        </w:rPr>
        <w:t>万能保险产品通常有最低保证利率的约定，最低保证利率仅针对投资账户中资金。您应当详细了解万能保险的费用扣除情况，包括初始费用、死亡风险保险费、保单管理费、手续费、退保费用等。您应当要</w:t>
      </w:r>
      <w:r>
        <w:rPr>
          <w:spacing w:val="-4"/>
        </w:rPr>
        <w:t xml:space="preserve">求销售人员将万能保险账户价值的详细计算方法对您进行解释。万能保险产品的投资回报具有不确定性， </w:t>
      </w:r>
      <w:r>
        <w:rPr>
          <w:spacing w:val="-5"/>
        </w:rPr>
        <w:t>您要承担部分投资风险。我公司每月公布的结算利率只能代表一个月的投资情况，不能理解为对全年的预</w:t>
      </w:r>
      <w:r>
        <w:rPr>
          <w:spacing w:val="-7"/>
        </w:rPr>
        <w:t>期，结算利率仅针对投资账户中的资金，不针对全部保险费。产品说明书或保险利益测算书中关于未来保</w:t>
      </w:r>
    </w:p>
    <w:p>
      <w:pPr>
        <w:spacing w:after="0" w:line="213" w:lineRule="auto"/>
        <w:sectPr>
          <w:type w:val="continuous"/>
          <w:pgSz w:w="11910" w:h="16840"/>
          <w:pgMar w:top="920" w:right="880" w:bottom="280" w:left="900" w:header="720" w:footer="720" w:gutter="0"/>
          <w:cols w:space="720" w:num="1"/>
        </w:sectPr>
      </w:pPr>
    </w:p>
    <w:p>
      <w:pPr>
        <w:pStyle w:val="3"/>
        <w:spacing w:before="84" w:line="213" w:lineRule="auto"/>
      </w:pPr>
      <w:r>
        <w:rPr>
          <w:spacing w:val="-5"/>
        </w:rPr>
        <w:t>险合同利益的预测是基于公司精算假设，最低保证利率之上的投资收益是不确定的，不能理解为对未来的</w:t>
      </w:r>
      <w:r>
        <w:rPr>
          <w:spacing w:val="-6"/>
        </w:rPr>
        <w:t xml:space="preserve">预期。如果您选择灵活交费方式，您应当要求销售人员将您停止交费可能产生的风险和不利后果对您进行解释。 </w:t>
      </w:r>
    </w:p>
    <w:p>
      <w:pPr>
        <w:pStyle w:val="2"/>
        <w:spacing w:line="373" w:lineRule="exact"/>
      </w:pPr>
      <w:r>
        <w:rPr>
          <w:w w:val="201"/>
        </w:rPr>
        <w:t xml:space="preserve">   </w:t>
      </w:r>
      <w:r>
        <w:t>七、请您正确认识人身保险新型产品与其他金融产品</w:t>
      </w:r>
      <w:r>
        <w:rPr>
          <w:w w:val="201"/>
        </w:rPr>
        <w:t xml:space="preserve"> </w:t>
      </w:r>
    </w:p>
    <w:p>
      <w:pPr>
        <w:pStyle w:val="3"/>
        <w:spacing w:before="81" w:line="213" w:lineRule="auto"/>
        <w:ind w:right="145"/>
      </w:pPr>
      <w:r>
        <w:rPr>
          <w:w w:val="100"/>
        </w:rPr>
        <w:t xml:space="preserve">    </w:t>
      </w:r>
      <w:r>
        <w:rPr>
          <w:spacing w:val="-7"/>
        </w:rPr>
        <w:t>分红保险、投资连结保险、万能保险等人身保险新型产品兼具保险保障功能和投资功能，不同保险产</w:t>
      </w:r>
      <w:r>
        <w:rPr>
          <w:spacing w:val="-8"/>
        </w:rPr>
        <w:t>品对于保障功能和投资功能侧重不同，但本质上属于保险产品，产品经营主体是保险公司。您不宜将人身</w:t>
      </w:r>
      <w:r>
        <w:rPr>
          <w:spacing w:val="-6"/>
        </w:rPr>
        <w:t>保险新型产品与银行存款、国债、基金等金融产品进行片面比较，更不要仅把它作为银行存款的替代品。</w:t>
      </w:r>
      <w:r>
        <w:t xml:space="preserve"> </w:t>
      </w:r>
    </w:p>
    <w:p>
      <w:pPr>
        <w:pStyle w:val="2"/>
      </w:pPr>
      <w:r>
        <w:rPr>
          <w:w w:val="201"/>
        </w:rPr>
        <w:t xml:space="preserve">   </w:t>
      </w:r>
      <w:r>
        <w:t>八、选择健康保险产品时请您注意产品特性和条款具体约定</w:t>
      </w:r>
      <w:r>
        <w:rPr>
          <w:w w:val="201"/>
        </w:rPr>
        <w:t xml:space="preserve"> </w:t>
      </w:r>
    </w:p>
    <w:p>
      <w:pPr>
        <w:pStyle w:val="3"/>
        <w:spacing w:before="80" w:line="213" w:lineRule="auto"/>
      </w:pPr>
      <w:r>
        <w:rPr>
          <w:w w:val="100"/>
        </w:rPr>
        <w:t xml:space="preserve">    </w:t>
      </w:r>
      <w:r>
        <w:rPr>
          <w:spacing w:val="-6"/>
        </w:rPr>
        <w:t>健康保险产品是具有较强风险保障功能的产品，既有定额给付性质的，也有费用补偿性质的。定额给付性质的健康保险按约定给付保险金，与被保险人是否获得其他医疗费用补偿无关；对于费用补偿性质的</w:t>
      </w:r>
      <w:r>
        <w:rPr>
          <w:spacing w:val="-7"/>
        </w:rPr>
        <w:t>健康保险，我公司给付的保险金会相应扣除被保险人从其他渠道所获的医疗费用补偿。请您注意条款中有关免赔额或赔付比例的约定、疾病观察期约定。如果投保我公司以附加险形式销售无保证续保条款的健康</w:t>
      </w:r>
      <w:r>
        <w:rPr>
          <w:spacing w:val="-5"/>
        </w:rPr>
        <w:t>保险产品，其保险期限不小于主险保险期限。</w:t>
      </w:r>
      <w:r>
        <w:t xml:space="preserve"> </w:t>
      </w:r>
    </w:p>
    <w:p>
      <w:pPr>
        <w:pStyle w:val="2"/>
        <w:spacing w:line="373" w:lineRule="exact"/>
      </w:pPr>
      <w:r>
        <w:rPr>
          <w:w w:val="201"/>
        </w:rPr>
        <w:t xml:space="preserve">   </w:t>
      </w:r>
      <w:r>
        <w:t>九、为未成年子女选择保险产品时保险金额应适当</w:t>
      </w:r>
      <w:r>
        <w:rPr>
          <w:w w:val="201"/>
        </w:rPr>
        <w:t xml:space="preserve"> </w:t>
      </w:r>
    </w:p>
    <w:p>
      <w:pPr>
        <w:pStyle w:val="3"/>
        <w:spacing w:before="84" w:line="213" w:lineRule="auto"/>
      </w:pPr>
      <w:r>
        <w:rPr>
          <w:w w:val="100"/>
        </w:rPr>
        <w:t xml:space="preserve">    </w:t>
      </w:r>
      <w:r>
        <w:rPr>
          <w:spacing w:val="-5"/>
        </w:rPr>
        <w:t>如果您为未成年子女购买保险产品，因被保险人死亡给付的保险金总和应符合中国银行保险监督管理</w:t>
      </w:r>
      <w:r>
        <w:rPr>
          <w:spacing w:val="-6"/>
        </w:rPr>
        <w:t>部门的有关规定。其主要目的是为了保护未成年人权益，防止道德风险；同时，从整个家庭看，父母是家</w:t>
      </w:r>
      <w:r>
        <w:rPr>
          <w:spacing w:val="-4"/>
        </w:rPr>
        <w:t xml:space="preserve">庭的主要经济来源和支柱，以父母为被保险人购买保险，可以使整个家庭获得更加全面的保险保障。 </w:t>
      </w:r>
    </w:p>
    <w:p>
      <w:pPr>
        <w:pStyle w:val="2"/>
      </w:pPr>
      <w:r>
        <w:rPr>
          <w:w w:val="201"/>
        </w:rPr>
        <w:t xml:space="preserve">   </w:t>
      </w:r>
      <w:r>
        <w:t>十、请您如实填写投保资料、如实告知有关情况并亲笔签名</w:t>
      </w:r>
      <w:r>
        <w:rPr>
          <w:w w:val="201"/>
        </w:rPr>
        <w:t xml:space="preserve"> </w:t>
      </w:r>
    </w:p>
    <w:p>
      <w:pPr>
        <w:pStyle w:val="3"/>
        <w:spacing w:before="81" w:line="213" w:lineRule="auto"/>
      </w:pPr>
      <w:r>
        <w:rPr>
          <w:w w:val="100"/>
        </w:rPr>
        <w:t xml:space="preserve">    </w:t>
      </w:r>
      <w:r>
        <w:rPr>
          <w:spacing w:val="-5"/>
        </w:rPr>
        <w:t>我国《中华人民共和国保险法》对投保人的如实告知行为进行了明确的规定。投保时，您填写的投保</w:t>
      </w:r>
      <w:r>
        <w:rPr>
          <w:spacing w:val="-7"/>
        </w:rPr>
        <w:t>书应当属实；对于销售人员询问的有关被保险人的问题，您也应当如实回答，否则可能影响您和被保险人</w:t>
      </w:r>
      <w:r>
        <w:rPr>
          <w:spacing w:val="-5"/>
        </w:rPr>
        <w:t>的权益。为了有效保障自身权益，请您在投保提示书、投保书等相关文件亲笔签名。</w:t>
      </w:r>
      <w:r>
        <w:t xml:space="preserve"> </w:t>
      </w:r>
    </w:p>
    <w:p>
      <w:pPr>
        <w:pStyle w:val="2"/>
      </w:pPr>
      <w:r>
        <w:rPr>
          <w:w w:val="201"/>
        </w:rPr>
        <w:t xml:space="preserve">   </w:t>
      </w:r>
      <w:r>
        <w:t>十一、请您配合我公司做好客户回访工作</w:t>
      </w:r>
      <w:r>
        <w:rPr>
          <w:w w:val="201"/>
        </w:rPr>
        <w:t xml:space="preserve"> </w:t>
      </w:r>
    </w:p>
    <w:p>
      <w:pPr>
        <w:pStyle w:val="3"/>
        <w:spacing w:before="80" w:line="213" w:lineRule="auto"/>
      </w:pPr>
      <w:r>
        <w:rPr>
          <w:w w:val="100"/>
        </w:rPr>
        <w:t xml:space="preserve">    </w:t>
      </w:r>
      <w:r>
        <w:rPr>
          <w:spacing w:val="-6"/>
        </w:rPr>
        <w:t>我公司按规定开展客户回访工作，一般通过电话、信函和上门回访等形式进行。为确保您的权益得到</w:t>
      </w:r>
      <w:r>
        <w:rPr>
          <w:spacing w:val="-8"/>
        </w:rPr>
        <w:t>切实保障，您应对回访问题进行如实答复，不清楚的地方可以立即提出，要求我公司进行详细解释。请您</w:t>
      </w:r>
      <w:r>
        <w:rPr>
          <w:spacing w:val="-5"/>
        </w:rPr>
        <w:t xml:space="preserve">投保时准确、完整填写家庭住址、邮编、常用联系电话等个人信息，以便我公司能够对您及时回访。 </w:t>
      </w:r>
    </w:p>
    <w:p>
      <w:pPr>
        <w:pStyle w:val="2"/>
        <w:ind w:left="655"/>
      </w:pPr>
      <w:r>
        <w:t>十二、请您注意保护自身的合法权益</w:t>
      </w:r>
      <w:r>
        <w:rPr>
          <w:w w:val="201"/>
        </w:rPr>
        <w:t xml:space="preserve"> </w:t>
      </w:r>
    </w:p>
    <w:p>
      <w:pPr>
        <w:pStyle w:val="3"/>
        <w:spacing w:before="84" w:line="213" w:lineRule="auto"/>
        <w:ind w:right="247" w:firstLine="360"/>
      </w:pPr>
      <w:r>
        <w:rPr>
          <w:spacing w:val="-4"/>
        </w:rPr>
        <w:t>如果您发现销售人员在保险销售过程中存在误导销售行为，或认为自身权益受到侵犯，请注意保留书</w:t>
      </w:r>
      <w:r>
        <w:rPr>
          <w:spacing w:val="-3"/>
          <w:w w:val="100"/>
        </w:rPr>
        <w:t>面证据或其他证据，可向我公司反映</w:t>
      </w:r>
      <w:r>
        <w:rPr>
          <w:w w:val="100"/>
        </w:rPr>
        <w:t>（</w:t>
      </w:r>
      <w:r>
        <w:rPr>
          <w:spacing w:val="-3"/>
          <w:w w:val="100"/>
        </w:rPr>
        <w:t>公司投诉电话</w:t>
      </w:r>
      <w:r>
        <w:rPr>
          <w:spacing w:val="-3"/>
        </w:rPr>
        <w:t xml:space="preserve"> </w:t>
      </w:r>
      <w:r>
        <w:rPr>
          <w:w w:val="100"/>
        </w:rPr>
        <w:t>400</w:t>
      </w:r>
      <w:r>
        <w:rPr>
          <w:spacing w:val="-3"/>
          <w:w w:val="100"/>
        </w:rPr>
        <w:t>-</w:t>
      </w:r>
      <w:r>
        <w:rPr>
          <w:w w:val="100"/>
        </w:rPr>
        <w:t>684</w:t>
      </w:r>
      <w:r>
        <w:rPr>
          <w:spacing w:val="-3"/>
          <w:w w:val="100"/>
        </w:rPr>
        <w:t>-</w:t>
      </w:r>
      <w:r>
        <w:rPr>
          <w:w w:val="100"/>
        </w:rPr>
        <w:t>188</w:t>
      </w:r>
      <w:r>
        <w:rPr>
          <w:spacing w:val="-3"/>
          <w:w w:val="100"/>
        </w:rPr>
        <w:t>8</w:t>
      </w:r>
      <w:r>
        <w:rPr>
          <w:w w:val="100"/>
        </w:rPr>
        <w:t>/08</w:t>
      </w:r>
      <w:r>
        <w:rPr>
          <w:spacing w:val="-3"/>
          <w:w w:val="100"/>
        </w:rPr>
        <w:t>5</w:t>
      </w:r>
      <w:r>
        <w:rPr>
          <w:spacing w:val="-1"/>
          <w:w w:val="100"/>
        </w:rPr>
        <w:t>1</w:t>
      </w:r>
      <w:r>
        <w:rPr>
          <w:w w:val="100"/>
        </w:rPr>
        <w:t>-8</w:t>
      </w:r>
      <w:r>
        <w:rPr>
          <w:spacing w:val="-3"/>
          <w:w w:val="100"/>
        </w:rPr>
        <w:t>8</w:t>
      </w:r>
      <w:r>
        <w:rPr>
          <w:w w:val="100"/>
        </w:rPr>
        <w:t>57400</w:t>
      </w:r>
      <w:r>
        <w:rPr>
          <w:spacing w:val="-3"/>
          <w:w w:val="100"/>
        </w:rPr>
        <w:t>1</w:t>
      </w:r>
      <w:r>
        <w:rPr>
          <w:spacing w:val="-106"/>
          <w:w w:val="100"/>
        </w:rPr>
        <w:t>）</w:t>
      </w:r>
      <w:r>
        <w:rPr>
          <w:spacing w:val="-4"/>
          <w:w w:val="100"/>
        </w:rPr>
        <w:t>；也可以向您所在地</w:t>
      </w:r>
      <w:r>
        <w:rPr>
          <w:spacing w:val="-5"/>
        </w:rPr>
        <w:t>银保监局</w:t>
      </w:r>
      <w:r>
        <w:t>（</w:t>
      </w:r>
      <w:r>
        <w:rPr>
          <w:spacing w:val="-3"/>
        </w:rPr>
        <w:t>或保险行业协会</w:t>
      </w:r>
      <w:r>
        <w:rPr>
          <w:spacing w:val="-8"/>
        </w:rPr>
        <w:t>）</w:t>
      </w:r>
      <w:r>
        <w:rPr>
          <w:spacing w:val="-4"/>
        </w:rPr>
        <w:t>投诉，投诉电话已打印在您的保单正页或投保书上；必要时还可以根据合同</w:t>
      </w:r>
      <w:r>
        <w:rPr>
          <w:spacing w:val="-3"/>
        </w:rPr>
        <w:t xml:space="preserve">约定，申请仲裁或向法院起诉。 </w:t>
      </w:r>
    </w:p>
    <w:p>
      <w:pPr>
        <w:pStyle w:val="2"/>
        <w:spacing w:before="19" w:line="187" w:lineRule="auto"/>
        <w:ind w:right="246" w:firstLine="358"/>
        <w:jc w:val="both"/>
        <w:rPr>
          <w:rFonts w:hint="eastAsia" w:ascii="宋体" w:eastAsia="宋体"/>
          <w:b w:val="0"/>
        </w:rPr>
      </w:pPr>
      <w:r>
        <w:rPr>
          <w:spacing w:val="-4"/>
        </w:rPr>
        <w:t xml:space="preserve">十三、您投保保单利益不确定的保险产品，包括分红型、万能型等人身保险产品，存在以下情况的， </w:t>
      </w:r>
      <w:r>
        <w:rPr>
          <w:spacing w:val="-2"/>
        </w:rPr>
        <w:t>请您签名确认投保声明后我公司方可承保：</w:t>
      </w:r>
      <w:r>
        <w:rPr>
          <w:rFonts w:hint="eastAsia" w:ascii="宋体" w:eastAsia="宋体"/>
          <w:b w:val="0"/>
          <w:spacing w:val="-2"/>
        </w:rPr>
        <w:t xml:space="preserve"> </w:t>
      </w:r>
      <w:r>
        <w:rPr>
          <w:rFonts w:hint="eastAsia" w:ascii="宋体" w:eastAsia="宋体"/>
          <w:b w:val="0"/>
          <w:spacing w:val="-5"/>
        </w:rPr>
        <w:t xml:space="preserve"> </w:t>
      </w:r>
      <w:r>
        <w:rPr>
          <w:rFonts w:hint="eastAsia" w:ascii="宋体" w:eastAsia="宋体"/>
          <w:b w:val="0"/>
          <w:w w:val="100"/>
        </w:rPr>
        <w:t xml:space="preserve"> </w:t>
      </w:r>
    </w:p>
    <w:p>
      <w:pPr>
        <w:pStyle w:val="3"/>
        <w:spacing w:before="22" w:line="262" w:lineRule="exact"/>
        <w:ind w:left="590" w:right="0"/>
        <w:jc w:val="left"/>
      </w:pPr>
      <w:r>
        <w:rPr>
          <w:w w:val="100"/>
        </w:rPr>
        <w:t xml:space="preserve"> </w:t>
      </w:r>
      <w:r>
        <w:t xml:space="preserve"> 1.趸交保费超过投保人家庭年收入的 4 倍； </w:t>
      </w:r>
    </w:p>
    <w:p>
      <w:pPr>
        <w:pStyle w:val="3"/>
        <w:spacing w:line="247" w:lineRule="exact"/>
        <w:ind w:left="593" w:right="0"/>
        <w:jc w:val="left"/>
      </w:pPr>
      <w:r>
        <w:rPr>
          <w:w w:val="100"/>
        </w:rPr>
        <w:t xml:space="preserve"> </w:t>
      </w:r>
      <w:r>
        <w:t xml:space="preserve"> 2.年期交保费超过投保人家庭年收入的 20%，或月期交保费超过投保人家庭月收入的 20%； </w:t>
      </w:r>
    </w:p>
    <w:p>
      <w:pPr>
        <w:pStyle w:val="3"/>
        <w:spacing w:line="240" w:lineRule="exact"/>
        <w:ind w:left="593" w:right="0"/>
        <w:jc w:val="left"/>
      </w:pPr>
      <w:r>
        <w:rPr>
          <w:w w:val="100"/>
        </w:rPr>
        <w:t xml:space="preserve"> </w:t>
      </w:r>
      <w:r>
        <w:t xml:space="preserve"> 3.保费交费年限与投保人年龄数字之和达到或超过 60； </w:t>
      </w:r>
    </w:p>
    <w:p>
      <w:pPr>
        <w:spacing w:before="28" w:line="192" w:lineRule="auto"/>
        <w:ind w:left="590" w:right="4752" w:firstLine="2"/>
        <w:jc w:val="left"/>
        <w:rPr>
          <w:rFonts w:hint="eastAsia" w:ascii="Microsoft JhengHei" w:eastAsia="Microsoft JhengHei"/>
          <w:b/>
          <w:sz w:val="21"/>
        </w:rPr>
      </w:pPr>
      <w:r>
        <w:rPr>
          <w:w w:val="100"/>
          <w:sz w:val="21"/>
        </w:rPr>
        <w:t xml:space="preserve"> </w:t>
      </w:r>
      <w:r>
        <w:rPr>
          <w:sz w:val="21"/>
        </w:rPr>
        <w:t xml:space="preserve"> 4.保费额度大于或等于投保人保费预算的 150%。</w:t>
      </w:r>
      <w:bookmarkStart w:id="0" w:name="_GoBack"/>
      <w:bookmarkEnd w:id="0"/>
      <w:r>
        <w:rPr>
          <w:rFonts w:hint="eastAsia" w:ascii="Microsoft JhengHei" w:eastAsia="Microsoft JhengHei"/>
          <w:b/>
          <w:sz w:val="21"/>
        </w:rPr>
        <w:t>十四、请您了解公司偿付能力状况</w:t>
      </w:r>
      <w:r>
        <w:rPr>
          <w:rFonts w:hint="eastAsia" w:ascii="Microsoft JhengHei" w:eastAsia="Microsoft JhengHei"/>
          <w:b/>
          <w:w w:val="201"/>
          <w:sz w:val="21"/>
        </w:rPr>
        <w:t xml:space="preserve"> </w:t>
      </w:r>
    </w:p>
    <w:p>
      <w:pPr>
        <w:pStyle w:val="3"/>
        <w:spacing w:before="19" w:line="285" w:lineRule="auto"/>
        <w:ind w:firstLine="358"/>
        <w:jc w:val="left"/>
      </w:pPr>
      <w:r>
        <w:rPr>
          <w:spacing w:val="-4"/>
        </w:rPr>
        <w:t>请您阅读以下有关我公司偿付能力的相关信息，在及时、充分了解我公司偿付能力的状况下进行投保</w:t>
      </w:r>
      <w:r>
        <w:rPr>
          <w:spacing w:val="-3"/>
        </w:rPr>
        <w:t>或续保决策：</w:t>
      </w:r>
      <w:r>
        <w:t xml:space="preserve"> </w:t>
      </w:r>
    </w:p>
    <w:p>
      <w:pPr>
        <w:pStyle w:val="3"/>
        <w:spacing w:line="285" w:lineRule="auto"/>
        <w:ind w:right="248" w:firstLine="358"/>
      </w:pPr>
      <w:r>
        <w:rPr>
          <w:spacing w:val="-13"/>
        </w:rPr>
        <w:t xml:space="preserve">我公司 </w:t>
      </w:r>
      <w:r>
        <w:t>2021</w:t>
      </w:r>
      <w:r>
        <w:rPr>
          <w:spacing w:val="-10"/>
        </w:rPr>
        <w:t xml:space="preserve"> 年第一季度的综合偿付能力充足率为 </w:t>
      </w:r>
      <w:r>
        <w:t>168.37</w:t>
      </w:r>
      <w:r>
        <w:rPr>
          <w:spacing w:val="-4"/>
        </w:rPr>
        <w:t>%，该偿付能力充足率已达到监管要求；最近</w:t>
      </w:r>
      <w:r>
        <w:rPr>
          <w:spacing w:val="-3"/>
        </w:rPr>
        <w:t xml:space="preserve">一期风险综合评级结果为 </w:t>
      </w:r>
      <w:r>
        <w:t>B</w:t>
      </w:r>
      <w:r>
        <w:rPr>
          <w:spacing w:val="-3"/>
        </w:rPr>
        <w:t xml:space="preserve"> 类。我公司最近一期偿付能力报告已经公布在官网</w:t>
      </w:r>
      <w:r>
        <w:t>（</w:t>
      </w:r>
      <w:r>
        <w:fldChar w:fldCharType="begin"/>
      </w:r>
      <w:r>
        <w:instrText xml:space="preserve"> HYPERLINK "http://www.huaguilife.cn/" \h </w:instrText>
      </w:r>
      <w:r>
        <w:fldChar w:fldCharType="separate"/>
      </w:r>
      <w:r>
        <w:t>www.huaguilife.cn</w:t>
      </w:r>
      <w:r>
        <w:fldChar w:fldCharType="end"/>
      </w:r>
      <w:r>
        <w:t>）</w:t>
      </w:r>
      <w:r>
        <w:rPr>
          <w:spacing w:val="-3"/>
        </w:rPr>
        <w:t xml:space="preserve">公开信息披露栏目中，请您及时查阅。 </w:t>
      </w:r>
    </w:p>
    <w:p>
      <w:pPr>
        <w:pStyle w:val="3"/>
        <w:spacing w:line="204" w:lineRule="exact"/>
        <w:ind w:left="593" w:right="0"/>
        <w:jc w:val="left"/>
      </w:pPr>
      <w:r>
        <mc:AlternateContent>
          <mc:Choice Requires="wps">
            <w:drawing>
              <wp:anchor distT="0" distB="0" distL="0" distR="0" simplePos="0" relativeHeight="251659264" behindDoc="1" locked="0" layoutInCell="1" allowOverlap="1">
                <wp:simplePos x="0" y="0"/>
                <wp:positionH relativeFrom="page">
                  <wp:posOffset>701040</wp:posOffset>
                </wp:positionH>
                <wp:positionV relativeFrom="paragraph">
                  <wp:posOffset>166370</wp:posOffset>
                </wp:positionV>
                <wp:extent cx="6158230" cy="0"/>
                <wp:effectExtent l="0" t="19050" r="13970" b="19050"/>
                <wp:wrapTopAndBottom/>
                <wp:docPr id="2" name="直线 2"/>
                <wp:cNvGraphicFramePr/>
                <a:graphic xmlns:a="http://schemas.openxmlformats.org/drawingml/2006/main">
                  <a:graphicData uri="http://schemas.microsoft.com/office/word/2010/wordprocessingShape">
                    <wps:wsp>
                      <wps:cNvCnPr/>
                      <wps:spPr>
                        <a:xfrm>
                          <a:off x="0" y="0"/>
                          <a:ext cx="6158230" cy="0"/>
                        </a:xfrm>
                        <a:prstGeom prst="line">
                          <a:avLst/>
                        </a:prstGeom>
                        <a:ln w="38100" cap="flat" cmpd="sng">
                          <a:solidFill>
                            <a:srgbClr val="000000"/>
                          </a:solidFill>
                          <a:prstDash val="dash"/>
                          <a:headEnd type="none" w="med" len="med"/>
                          <a:tailEnd type="none" w="med" len="med"/>
                        </a:ln>
                      </wps:spPr>
                      <wps:bodyPr upright="1"/>
                    </wps:wsp>
                  </a:graphicData>
                </a:graphic>
              </wp:anchor>
            </w:drawing>
          </mc:Choice>
          <mc:Fallback>
            <w:pict>
              <v:line id="直线 2" o:spid="_x0000_s1026" o:spt="20" style="position:absolute;left:0pt;margin-left:55.2pt;margin-top:13.1pt;height:0pt;width:484.9pt;mso-position-horizontal-relative:page;mso-wrap-distance-bottom:0pt;mso-wrap-distance-top:0pt;z-index:-251657216;mso-width-relative:page;mso-height-relative:page;" filled="f" stroked="t" coordsize="21600,21600" o:gfxdata="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YjSuXX&#10;AAAACgEAAA8AAAAAAAAAAQAgAAAAIgAAAGRycy9kb3ducmV2LnhtbFBLAQIUABQAAAAIAIdO4kAJ&#10;MaGx6AEAANsDAAAOAAAAAAAAAAEAIAAAACYBAABkcnMvZTJvRG9jLnhtbFBLBQYAAAAABgAGAFkB&#10;AACABQAAAAA=&#10;">
                <v:fill on="f" focussize="0,0"/>
                <v:stroke weight="3pt" color="#000000" joinstyle="round" dashstyle="dash"/>
                <v:imagedata o:title=""/>
                <o:lock v:ext="edit" aspectratio="f"/>
                <w10:wrap type="topAndBottom"/>
              </v:line>
            </w:pict>
          </mc:Fallback>
        </mc:AlternateContent>
      </w:r>
      <w:r>
        <w:rPr>
          <w:w w:val="100"/>
        </w:rPr>
        <w:t xml:space="preserve"> </w:t>
      </w:r>
    </w:p>
    <w:p>
      <w:pPr>
        <w:pStyle w:val="2"/>
        <w:spacing w:before="9" w:line="240" w:lineRule="auto"/>
        <w:ind w:left="82"/>
        <w:jc w:val="center"/>
      </w:pPr>
      <w:r>
        <w:t>客户确认栏</w:t>
      </w:r>
      <w:r>
        <w:rPr>
          <w:w w:val="201"/>
        </w:rPr>
        <w:t xml:space="preserve"> </w:t>
      </w:r>
    </w:p>
    <w:p>
      <w:pPr>
        <w:pStyle w:val="3"/>
        <w:spacing w:before="70" w:line="220" w:lineRule="exact"/>
        <w:ind w:right="0"/>
        <w:jc w:val="left"/>
      </w:pPr>
      <w:r>
        <w:rPr>
          <w:w w:val="100"/>
        </w:rPr>
        <w:t xml:space="preserve">       </w:t>
      </w:r>
      <w:r>
        <w:t xml:space="preserve">本人已阅读人身保险投保提示书，对所述内容已完全理解，特此确认。 </w:t>
      </w:r>
    </w:p>
    <w:p>
      <w:pPr>
        <w:pStyle w:val="2"/>
        <w:spacing w:line="257" w:lineRule="exact"/>
      </w:pPr>
      <w:r>
        <w:rPr>
          <w:w w:val="201"/>
        </w:rPr>
        <w:t xml:space="preserve"> </w:t>
      </w:r>
    </w:p>
    <w:p>
      <w:pPr>
        <w:spacing w:before="0" w:line="289" w:lineRule="exact"/>
        <w:ind w:left="3651" w:right="0" w:firstLine="0"/>
        <w:jc w:val="left"/>
        <w:rPr>
          <w:rFonts w:hint="eastAsia" w:ascii="Microsoft JhengHei" w:eastAsia="Microsoft JhengHei"/>
          <w:b/>
          <w:sz w:val="21"/>
        </w:rPr>
      </w:pPr>
      <w:r>
        <mc:AlternateContent>
          <mc:Choice Requires="wps">
            <w:drawing>
              <wp:anchor distT="0" distB="0" distL="114300" distR="114300" simplePos="0" relativeHeight="251660288" behindDoc="0" locked="0" layoutInCell="1" allowOverlap="1">
                <wp:simplePos x="0" y="0"/>
                <wp:positionH relativeFrom="page">
                  <wp:posOffset>641350</wp:posOffset>
                </wp:positionH>
                <wp:positionV relativeFrom="paragraph">
                  <wp:posOffset>140970</wp:posOffset>
                </wp:positionV>
                <wp:extent cx="6286500" cy="50609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286500" cy="506095"/>
                        </a:xfrm>
                        <a:prstGeom prst="rect">
                          <a:avLst/>
                        </a:prstGeom>
                        <a:noFill/>
                        <a:ln>
                          <a:noFill/>
                        </a:ln>
                      </wps:spPr>
                      <wps:txbx>
                        <w:txbxContent>
                          <w:tbl>
                            <w:tblPr>
                              <w:tblStyle w:val="4"/>
                              <w:tblW w:w="0" w:type="auto"/>
                              <w:tblInd w:w="1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162"/>
                              <w:gridCol w:w="3044"/>
                              <w:gridCol w:w="3651"/>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39" w:hRule="atLeast"/>
                              </w:trPr>
                              <w:tc>
                                <w:tcPr>
                                  <w:tcW w:w="3162" w:type="dxa"/>
                                  <w:tcBorders>
                                    <w:bottom w:val="single" w:color="000000" w:sz="4" w:space="0"/>
                                    <w:right w:val="single" w:color="000000" w:sz="4" w:space="0"/>
                                  </w:tcBorders>
                                </w:tcPr>
                                <w:p>
                                  <w:pPr>
                                    <w:pStyle w:val="8"/>
                                    <w:ind w:left="1403" w:right="1279"/>
                                    <w:rPr>
                                      <w:sz w:val="21"/>
                                    </w:rPr>
                                  </w:pPr>
                                  <w:r>
                                    <w:rPr>
                                      <w:sz w:val="21"/>
                                    </w:rPr>
                                    <w:t xml:space="preserve">序号 </w:t>
                                  </w:r>
                                </w:p>
                              </w:tc>
                              <w:tc>
                                <w:tcPr>
                                  <w:tcW w:w="3044" w:type="dxa"/>
                                  <w:tcBorders>
                                    <w:left w:val="single" w:color="000000" w:sz="4" w:space="0"/>
                                    <w:bottom w:val="single" w:color="000000" w:sz="4" w:space="0"/>
                                    <w:right w:val="single" w:color="000000" w:sz="4" w:space="0"/>
                                  </w:tcBorders>
                                </w:tcPr>
                                <w:p>
                                  <w:pPr>
                                    <w:pStyle w:val="8"/>
                                    <w:ind w:left="934" w:right="799"/>
                                    <w:rPr>
                                      <w:sz w:val="21"/>
                                    </w:rPr>
                                  </w:pPr>
                                  <w:r>
                                    <w:rPr>
                                      <w:sz w:val="21"/>
                                    </w:rPr>
                                    <w:t xml:space="preserve">投保所在地区 </w:t>
                                  </w:r>
                                </w:p>
                              </w:tc>
                              <w:tc>
                                <w:tcPr>
                                  <w:tcW w:w="3651" w:type="dxa"/>
                                  <w:tcBorders>
                                    <w:left w:val="single" w:color="000000" w:sz="4" w:space="0"/>
                                    <w:bottom w:val="single" w:color="000000" w:sz="4" w:space="0"/>
                                  </w:tcBorders>
                                </w:tcPr>
                                <w:p>
                                  <w:pPr>
                                    <w:pStyle w:val="8"/>
                                    <w:rPr>
                                      <w:sz w:val="21"/>
                                    </w:rPr>
                                  </w:pPr>
                                  <w:r>
                                    <w:rPr>
                                      <w:sz w:val="21"/>
                                    </w:rPr>
                                    <w:t xml:space="preserve">所在地银保监局和保险行业协会电话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39" w:hRule="atLeast"/>
                              </w:trPr>
                              <w:tc>
                                <w:tcPr>
                                  <w:tcW w:w="3162" w:type="dxa"/>
                                  <w:tcBorders>
                                    <w:top w:val="single" w:color="000000" w:sz="4" w:space="0"/>
                                    <w:bottom w:val="single" w:color="000000" w:sz="4" w:space="0"/>
                                    <w:right w:val="single" w:color="000000" w:sz="4" w:space="0"/>
                                  </w:tcBorders>
                                </w:tcPr>
                                <w:p>
                                  <w:pPr>
                                    <w:pStyle w:val="8"/>
                                    <w:spacing w:line="220" w:lineRule="exact"/>
                                    <w:ind w:left="1400" w:right="1279"/>
                                    <w:rPr>
                                      <w:sz w:val="21"/>
                                    </w:rPr>
                                  </w:pPr>
                                  <w:r>
                                    <w:rPr>
                                      <w:sz w:val="21"/>
                                    </w:rPr>
                                    <w:t xml:space="preserve">1 </w:t>
                                  </w:r>
                                </w:p>
                              </w:tc>
                              <w:tc>
                                <w:tcPr>
                                  <w:tcW w:w="3044" w:type="dxa"/>
                                  <w:tcBorders>
                                    <w:top w:val="single" w:color="000000" w:sz="4" w:space="0"/>
                                    <w:left w:val="single" w:color="000000" w:sz="4" w:space="0"/>
                                    <w:bottom w:val="single" w:color="000000" w:sz="4" w:space="0"/>
                                    <w:right w:val="single" w:color="000000" w:sz="4" w:space="0"/>
                                  </w:tcBorders>
                                </w:tcPr>
                                <w:p>
                                  <w:pPr>
                                    <w:pStyle w:val="8"/>
                                    <w:spacing w:line="220" w:lineRule="exact"/>
                                    <w:ind w:left="934" w:right="799"/>
                                    <w:rPr>
                                      <w:sz w:val="21"/>
                                    </w:rPr>
                                  </w:pPr>
                                  <w:r>
                                    <w:rPr>
                                      <w:sz w:val="21"/>
                                    </w:rPr>
                                    <w:t xml:space="preserve">贵州 </w:t>
                                  </w:r>
                                </w:p>
                              </w:tc>
                              <w:tc>
                                <w:tcPr>
                                  <w:tcW w:w="3651" w:type="dxa"/>
                                  <w:tcBorders>
                                    <w:top w:val="single" w:color="000000" w:sz="4" w:space="0"/>
                                    <w:left w:val="single" w:color="000000" w:sz="4" w:space="0"/>
                                    <w:bottom w:val="single" w:color="000000" w:sz="4" w:space="0"/>
                                  </w:tcBorders>
                                </w:tcPr>
                                <w:p>
                                  <w:pPr>
                                    <w:pStyle w:val="8"/>
                                    <w:spacing w:line="220" w:lineRule="exact"/>
                                    <w:rPr>
                                      <w:sz w:val="21"/>
                                    </w:rPr>
                                  </w:pPr>
                                  <w:r>
                                    <w:rPr>
                                      <w:sz w:val="21"/>
                                    </w:rPr>
                                    <w:t xml:space="preserve">12378/ 0851-85878315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39" w:hRule="atLeast"/>
                              </w:trPr>
                              <w:tc>
                                <w:tcPr>
                                  <w:tcW w:w="3162" w:type="dxa"/>
                                  <w:tcBorders>
                                    <w:top w:val="single" w:color="000000" w:sz="4" w:space="0"/>
                                    <w:right w:val="single" w:color="000000" w:sz="4" w:space="0"/>
                                  </w:tcBorders>
                                </w:tcPr>
                                <w:p>
                                  <w:pPr>
                                    <w:pStyle w:val="8"/>
                                    <w:ind w:left="1400" w:right="1279"/>
                                    <w:rPr>
                                      <w:sz w:val="21"/>
                                    </w:rPr>
                                  </w:pPr>
                                  <w:r>
                                    <w:rPr>
                                      <w:sz w:val="21"/>
                                    </w:rPr>
                                    <w:t xml:space="preserve">2 </w:t>
                                  </w:r>
                                </w:p>
                              </w:tc>
                              <w:tc>
                                <w:tcPr>
                                  <w:tcW w:w="3044" w:type="dxa"/>
                                  <w:tcBorders>
                                    <w:top w:val="single" w:color="000000" w:sz="4" w:space="0"/>
                                    <w:left w:val="single" w:color="000000" w:sz="4" w:space="0"/>
                                    <w:right w:val="single" w:color="000000" w:sz="4" w:space="0"/>
                                  </w:tcBorders>
                                </w:tcPr>
                                <w:p>
                                  <w:pPr>
                                    <w:pStyle w:val="8"/>
                                    <w:ind w:left="934" w:right="799"/>
                                    <w:rPr>
                                      <w:sz w:val="21"/>
                                    </w:rPr>
                                  </w:pPr>
                                  <w:r>
                                    <w:rPr>
                                      <w:sz w:val="21"/>
                                    </w:rPr>
                                    <w:t xml:space="preserve">河北 </w:t>
                                  </w:r>
                                </w:p>
                              </w:tc>
                              <w:tc>
                                <w:tcPr>
                                  <w:tcW w:w="3651" w:type="dxa"/>
                                  <w:tcBorders>
                                    <w:top w:val="single" w:color="000000" w:sz="4" w:space="0"/>
                                    <w:left w:val="single" w:color="000000" w:sz="4" w:space="0"/>
                                  </w:tcBorders>
                                </w:tcPr>
                                <w:p>
                                  <w:pPr>
                                    <w:pStyle w:val="8"/>
                                    <w:rPr>
                                      <w:sz w:val="21"/>
                                    </w:rPr>
                                  </w:pPr>
                                  <w:r>
                                    <w:rPr>
                                      <w:sz w:val="21"/>
                                    </w:rPr>
                                    <w:t xml:space="preserve">12378/ 0311-66007872 </w:t>
                                  </w:r>
                                </w:p>
                              </w:tc>
                            </w:tr>
                          </w:tbl>
                          <w:p>
                            <w:pPr>
                              <w:pStyle w:val="3"/>
                              <w:ind w:left="0" w:right="0"/>
                              <w:jc w:val="left"/>
                            </w:pPr>
                          </w:p>
                        </w:txbxContent>
                      </wps:txbx>
                      <wps:bodyPr lIns="0" tIns="0" rIns="0" bIns="0" upright="1"/>
                    </wps:wsp>
                  </a:graphicData>
                </a:graphic>
              </wp:anchor>
            </w:drawing>
          </mc:Choice>
          <mc:Fallback>
            <w:pict>
              <v:shape id="_x0000_s1026" o:spid="_x0000_s1026" o:spt="202" type="#_x0000_t202" style="position:absolute;left:0pt;margin-left:50.5pt;margin-top:11.1pt;height:39.85pt;width:495pt;mso-position-horizontal-relative:page;z-index:251660288;mso-width-relative:page;mso-height-relative:page;" filled="f" stroked="f" coordsize="21600,21600" o:gfxdata="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F0BMx1gAAAAsBAAAPAAAAAAAAAAEAIAAAACIAAABkcnMvZG93bnJldi54bWxQSwECFAAU&#10;AAAACACHTuJAJS5hwroBAAByAwAADgAAAAAAAAABACAAAAAlAQAAZHJzL2Uyb0RvYy54bWxQSwUG&#10;AAAAAAYABgBZAQAAUQUAAAAA&#10;">
                <v:fill on="f" focussize="0,0"/>
                <v:stroke on="f"/>
                <v:imagedata o:title=""/>
                <o:lock v:ext="edit" aspectratio="f"/>
                <v:textbox inset="0mm,0mm,0mm,0mm">
                  <w:txbxContent>
                    <w:tbl>
                      <w:tblPr>
                        <w:tblStyle w:val="4"/>
                        <w:tblW w:w="0" w:type="auto"/>
                        <w:tblInd w:w="1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162"/>
                        <w:gridCol w:w="3044"/>
                        <w:gridCol w:w="3651"/>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39" w:hRule="atLeast"/>
                        </w:trPr>
                        <w:tc>
                          <w:tcPr>
                            <w:tcW w:w="3162" w:type="dxa"/>
                            <w:tcBorders>
                              <w:bottom w:val="single" w:color="000000" w:sz="4" w:space="0"/>
                              <w:right w:val="single" w:color="000000" w:sz="4" w:space="0"/>
                            </w:tcBorders>
                          </w:tcPr>
                          <w:p>
                            <w:pPr>
                              <w:pStyle w:val="8"/>
                              <w:ind w:left="1403" w:right="1279"/>
                              <w:rPr>
                                <w:sz w:val="21"/>
                              </w:rPr>
                            </w:pPr>
                            <w:r>
                              <w:rPr>
                                <w:sz w:val="21"/>
                              </w:rPr>
                              <w:t xml:space="preserve">序号 </w:t>
                            </w:r>
                          </w:p>
                        </w:tc>
                        <w:tc>
                          <w:tcPr>
                            <w:tcW w:w="3044" w:type="dxa"/>
                            <w:tcBorders>
                              <w:left w:val="single" w:color="000000" w:sz="4" w:space="0"/>
                              <w:bottom w:val="single" w:color="000000" w:sz="4" w:space="0"/>
                              <w:right w:val="single" w:color="000000" w:sz="4" w:space="0"/>
                            </w:tcBorders>
                          </w:tcPr>
                          <w:p>
                            <w:pPr>
                              <w:pStyle w:val="8"/>
                              <w:ind w:left="934" w:right="799"/>
                              <w:rPr>
                                <w:sz w:val="21"/>
                              </w:rPr>
                            </w:pPr>
                            <w:r>
                              <w:rPr>
                                <w:sz w:val="21"/>
                              </w:rPr>
                              <w:t xml:space="preserve">投保所在地区 </w:t>
                            </w:r>
                          </w:p>
                        </w:tc>
                        <w:tc>
                          <w:tcPr>
                            <w:tcW w:w="3651" w:type="dxa"/>
                            <w:tcBorders>
                              <w:left w:val="single" w:color="000000" w:sz="4" w:space="0"/>
                              <w:bottom w:val="single" w:color="000000" w:sz="4" w:space="0"/>
                            </w:tcBorders>
                          </w:tcPr>
                          <w:p>
                            <w:pPr>
                              <w:pStyle w:val="8"/>
                              <w:rPr>
                                <w:sz w:val="21"/>
                              </w:rPr>
                            </w:pPr>
                            <w:r>
                              <w:rPr>
                                <w:sz w:val="21"/>
                              </w:rPr>
                              <w:t xml:space="preserve">所在地银保监局和保险行业协会电话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39" w:hRule="atLeast"/>
                        </w:trPr>
                        <w:tc>
                          <w:tcPr>
                            <w:tcW w:w="3162" w:type="dxa"/>
                            <w:tcBorders>
                              <w:top w:val="single" w:color="000000" w:sz="4" w:space="0"/>
                              <w:bottom w:val="single" w:color="000000" w:sz="4" w:space="0"/>
                              <w:right w:val="single" w:color="000000" w:sz="4" w:space="0"/>
                            </w:tcBorders>
                          </w:tcPr>
                          <w:p>
                            <w:pPr>
                              <w:pStyle w:val="8"/>
                              <w:spacing w:line="220" w:lineRule="exact"/>
                              <w:ind w:left="1400" w:right="1279"/>
                              <w:rPr>
                                <w:sz w:val="21"/>
                              </w:rPr>
                            </w:pPr>
                            <w:r>
                              <w:rPr>
                                <w:sz w:val="21"/>
                              </w:rPr>
                              <w:t xml:space="preserve">1 </w:t>
                            </w:r>
                          </w:p>
                        </w:tc>
                        <w:tc>
                          <w:tcPr>
                            <w:tcW w:w="3044" w:type="dxa"/>
                            <w:tcBorders>
                              <w:top w:val="single" w:color="000000" w:sz="4" w:space="0"/>
                              <w:left w:val="single" w:color="000000" w:sz="4" w:space="0"/>
                              <w:bottom w:val="single" w:color="000000" w:sz="4" w:space="0"/>
                              <w:right w:val="single" w:color="000000" w:sz="4" w:space="0"/>
                            </w:tcBorders>
                          </w:tcPr>
                          <w:p>
                            <w:pPr>
                              <w:pStyle w:val="8"/>
                              <w:spacing w:line="220" w:lineRule="exact"/>
                              <w:ind w:left="934" w:right="799"/>
                              <w:rPr>
                                <w:sz w:val="21"/>
                              </w:rPr>
                            </w:pPr>
                            <w:r>
                              <w:rPr>
                                <w:sz w:val="21"/>
                              </w:rPr>
                              <w:t xml:space="preserve">贵州 </w:t>
                            </w:r>
                          </w:p>
                        </w:tc>
                        <w:tc>
                          <w:tcPr>
                            <w:tcW w:w="3651" w:type="dxa"/>
                            <w:tcBorders>
                              <w:top w:val="single" w:color="000000" w:sz="4" w:space="0"/>
                              <w:left w:val="single" w:color="000000" w:sz="4" w:space="0"/>
                              <w:bottom w:val="single" w:color="000000" w:sz="4" w:space="0"/>
                            </w:tcBorders>
                          </w:tcPr>
                          <w:p>
                            <w:pPr>
                              <w:pStyle w:val="8"/>
                              <w:spacing w:line="220" w:lineRule="exact"/>
                              <w:rPr>
                                <w:sz w:val="21"/>
                              </w:rPr>
                            </w:pPr>
                            <w:r>
                              <w:rPr>
                                <w:sz w:val="21"/>
                              </w:rPr>
                              <w:t xml:space="preserve">12378/ 0851-85878315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39" w:hRule="atLeast"/>
                        </w:trPr>
                        <w:tc>
                          <w:tcPr>
                            <w:tcW w:w="3162" w:type="dxa"/>
                            <w:tcBorders>
                              <w:top w:val="single" w:color="000000" w:sz="4" w:space="0"/>
                              <w:right w:val="single" w:color="000000" w:sz="4" w:space="0"/>
                            </w:tcBorders>
                          </w:tcPr>
                          <w:p>
                            <w:pPr>
                              <w:pStyle w:val="8"/>
                              <w:ind w:left="1400" w:right="1279"/>
                              <w:rPr>
                                <w:sz w:val="21"/>
                              </w:rPr>
                            </w:pPr>
                            <w:r>
                              <w:rPr>
                                <w:sz w:val="21"/>
                              </w:rPr>
                              <w:t xml:space="preserve">2 </w:t>
                            </w:r>
                          </w:p>
                        </w:tc>
                        <w:tc>
                          <w:tcPr>
                            <w:tcW w:w="3044" w:type="dxa"/>
                            <w:tcBorders>
                              <w:top w:val="single" w:color="000000" w:sz="4" w:space="0"/>
                              <w:left w:val="single" w:color="000000" w:sz="4" w:space="0"/>
                              <w:right w:val="single" w:color="000000" w:sz="4" w:space="0"/>
                            </w:tcBorders>
                          </w:tcPr>
                          <w:p>
                            <w:pPr>
                              <w:pStyle w:val="8"/>
                              <w:ind w:left="934" w:right="799"/>
                              <w:rPr>
                                <w:sz w:val="21"/>
                              </w:rPr>
                            </w:pPr>
                            <w:r>
                              <w:rPr>
                                <w:sz w:val="21"/>
                              </w:rPr>
                              <w:t xml:space="preserve">河北 </w:t>
                            </w:r>
                          </w:p>
                        </w:tc>
                        <w:tc>
                          <w:tcPr>
                            <w:tcW w:w="3651" w:type="dxa"/>
                            <w:tcBorders>
                              <w:top w:val="single" w:color="000000" w:sz="4" w:space="0"/>
                              <w:left w:val="single" w:color="000000" w:sz="4" w:space="0"/>
                            </w:tcBorders>
                          </w:tcPr>
                          <w:p>
                            <w:pPr>
                              <w:pStyle w:val="8"/>
                              <w:rPr>
                                <w:sz w:val="21"/>
                              </w:rPr>
                            </w:pPr>
                            <w:r>
                              <w:rPr>
                                <w:sz w:val="21"/>
                              </w:rPr>
                              <w:t xml:space="preserve">12378/ 0311-66007872 </w:t>
                            </w:r>
                          </w:p>
                        </w:tc>
                      </w:tr>
                    </w:tbl>
                    <w:p>
                      <w:pPr>
                        <w:pStyle w:val="3"/>
                        <w:ind w:left="0" w:right="0"/>
                        <w:jc w:val="left"/>
                      </w:pPr>
                    </w:p>
                  </w:txbxContent>
                </v:textbox>
              </v:shape>
            </w:pict>
          </mc:Fallback>
        </mc:AlternateContent>
      </w:r>
      <w:r>
        <w:rPr>
          <w:rFonts w:hint="eastAsia" w:ascii="Microsoft JhengHei" w:eastAsia="Microsoft JhengHei"/>
          <w:b/>
          <w:sz w:val="21"/>
        </w:rPr>
        <w:t>银保监局和保险行业协会电话列表</w:t>
      </w:r>
      <w:r>
        <w:rPr>
          <w:rFonts w:hint="eastAsia" w:ascii="Microsoft JhengHei" w:eastAsia="Microsoft JhengHei"/>
          <w:b/>
          <w:w w:val="201"/>
          <w:sz w:val="21"/>
        </w:rPr>
        <w:t xml:space="preserve"> </w:t>
      </w:r>
    </w:p>
    <w:p>
      <w:pPr>
        <w:pStyle w:val="3"/>
        <w:ind w:left="0" w:right="0"/>
        <w:jc w:val="left"/>
        <w:rPr>
          <w:rFonts w:ascii="Microsoft JhengHei"/>
          <w:b/>
          <w:sz w:val="20"/>
        </w:rPr>
      </w:pPr>
    </w:p>
    <w:p>
      <w:pPr>
        <w:pStyle w:val="3"/>
        <w:spacing w:before="17"/>
        <w:ind w:left="0" w:right="0"/>
        <w:jc w:val="left"/>
        <w:rPr>
          <w:rFonts w:ascii="Microsoft JhengHei"/>
          <w:b/>
          <w:sz w:val="20"/>
        </w:rPr>
      </w:pPr>
    </w:p>
    <w:p>
      <w:pPr>
        <w:spacing w:before="0"/>
        <w:ind w:left="593" w:right="0" w:firstLine="0"/>
        <w:jc w:val="left"/>
        <w:rPr>
          <w:rFonts w:hint="eastAsia" w:ascii="Microsoft JhengHei" w:eastAsia="Microsoft JhengHei"/>
          <w:b/>
          <w:sz w:val="13"/>
        </w:rPr>
      </w:pPr>
      <w:r>
        <w:rPr>
          <w:rFonts w:hint="eastAsia" w:ascii="Microsoft JhengHei" w:eastAsia="Microsoft JhengHei"/>
          <w:b/>
          <w:sz w:val="13"/>
        </w:rPr>
        <w:t>注：若我公司在其他地区新开设机构或以上列表中银保监局电话有所变动，请以所在地银保监局和保险行业协会网站上列示的投诉电话为准。</w:t>
      </w:r>
      <w:r>
        <w:rPr>
          <w:rFonts w:hint="eastAsia" w:ascii="Microsoft JhengHei" w:eastAsia="Microsoft JhengHei"/>
          <w:b/>
          <w:w w:val="199"/>
          <w:sz w:val="13"/>
        </w:rPr>
        <w:t xml:space="preserve"> </w:t>
      </w:r>
    </w:p>
    <w:sectPr>
      <w:pgSz w:w="11910" w:h="16840"/>
      <w:pgMar w:top="980" w:right="880" w:bottom="280" w:left="9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715DCB"/>
    <w:rsid w:val="4F7345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line="372" w:lineRule="exact"/>
      <w:ind w:left="232"/>
      <w:outlineLvl w:val="1"/>
    </w:pPr>
    <w:rPr>
      <w:rFonts w:ascii="Microsoft JhengHei" w:hAnsi="Microsoft JhengHei" w:eastAsia="Microsoft JhengHei" w:cs="Microsoft JhengHei"/>
      <w:b/>
      <w:bCs/>
      <w:sz w:val="21"/>
      <w:szCs w:val="21"/>
      <w:lang w:val="zh-CN" w:eastAsia="zh-CN" w:bidi="zh-CN"/>
    </w:rPr>
  </w:style>
  <w:style w:type="character" w:default="1" w:styleId="5">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232" w:right="246"/>
      <w:jc w:val="both"/>
    </w:pPr>
    <w:rPr>
      <w:rFonts w:ascii="宋体" w:hAnsi="宋体" w:eastAsia="宋体" w:cs="宋体"/>
      <w:sz w:val="21"/>
      <w:szCs w:val="21"/>
      <w:lang w:val="zh-CN" w:eastAsia="zh-CN" w:bidi="zh-CN"/>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zh-CN" w:eastAsia="zh-CN" w:bidi="zh-CN"/>
    </w:rPr>
  </w:style>
  <w:style w:type="paragraph" w:customStyle="1" w:styleId="8">
    <w:name w:val="Table Paragraph"/>
    <w:basedOn w:val="1"/>
    <w:qFormat/>
    <w:uiPriority w:val="1"/>
    <w:pPr>
      <w:spacing w:line="219" w:lineRule="exact"/>
      <w:ind w:left="187" w:right="44"/>
      <w:jc w:val="center"/>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2021-05-13T08:47:00Z</dcterms:created>
  <dc:creator>wangzhu</dc:creator>
  <cp:lastModifiedBy>xjlgood</cp:lastModifiedBy>
  <dcterms:modified xsi:type="dcterms:W3CDTF">2021-05-13T08:54:01Z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2021-05-08T00:00:00Z</vt:filetime>
  </property>
  <property fmtid="{D5CDD505-2E9C-101B-9397-08002B2CF9AE}" pid="3" name="Creator">
    <vt:lpwstr>Microsoft® Word 2016</vt:lpwstr>
  </property>
  <property fmtid="{D5CDD505-2E9C-101B-9397-08002B2CF9AE}" pid="4" name="LastSaved">
    <vt:filetime>2021-05-13T00:00:00Z</vt:filetime>
  </property>
  <property fmtid="{D5CDD505-2E9C-101B-9397-08002B2CF9AE}" pid="5" name="KSOProductBuildVer">
    <vt:lpwstr>2052-11.1.0.10314</vt:lpwstr>
  </property>
  <property fmtid="{D5CDD505-2E9C-101B-9397-08002B2CF9AE}" pid="6" name="ICV">
    <vt:lpwstr>CE2B02BBEFA14019A8E3033DF475F956</vt:lpwstr>
  </property>
</Properties>
</file>