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48" w:lineRule="auto" w:before="46"/>
        <w:ind w:left="2160" w:right="2174" w:firstLine="372"/>
        <w:jc w:val="left"/>
        <w:rPr>
          <w:b/>
          <w:sz w:val="28"/>
        </w:rPr>
      </w:pPr>
      <w:r>
        <w:rPr>
          <w:b/>
          <w:spacing w:val="19"/>
          <w:sz w:val="28"/>
        </w:rPr>
        <w:t>中国平安财产保险股份有限公司 </w:t>
      </w:r>
      <w:r>
        <w:rPr>
          <w:b/>
          <w:spacing w:val="21"/>
          <w:sz w:val="28"/>
        </w:rPr>
        <w:t>平安公众责任保险</w:t>
      </w:r>
      <w:r>
        <w:rPr>
          <w:b/>
          <w:sz w:val="28"/>
        </w:rPr>
        <w:t>（</w:t>
      </w:r>
      <w:r>
        <w:rPr>
          <w:b/>
          <w:spacing w:val="-93"/>
          <w:sz w:val="28"/>
        </w:rPr>
        <w:t> </w:t>
      </w:r>
      <w:r>
        <w:rPr>
          <w:b/>
          <w:spacing w:val="16"/>
          <w:sz w:val="28"/>
        </w:rPr>
        <w:t>1994</w:t>
      </w:r>
      <w:r>
        <w:rPr>
          <w:b/>
          <w:spacing w:val="-8"/>
          <w:sz w:val="28"/>
        </w:rPr>
        <w:t> 版</w:t>
      </w:r>
      <w:r>
        <w:rPr>
          <w:b/>
          <w:spacing w:val="21"/>
          <w:sz w:val="28"/>
        </w:rPr>
        <w:t>）</w:t>
      </w:r>
      <w:r>
        <w:rPr>
          <w:b/>
          <w:spacing w:val="11"/>
          <w:sz w:val="28"/>
        </w:rPr>
        <w:t>条款</w:t>
      </w:r>
      <w:r>
        <w:rPr>
          <w:b/>
          <w:spacing w:val="21"/>
          <w:w w:val="95"/>
          <w:sz w:val="28"/>
        </w:rPr>
        <w:t>注</w:t>
      </w:r>
      <w:r>
        <w:rPr>
          <w:b/>
          <w:spacing w:val="23"/>
          <w:w w:val="95"/>
          <w:sz w:val="28"/>
        </w:rPr>
        <w:t>册号</w:t>
      </w:r>
      <w:r>
        <w:rPr>
          <w:b/>
          <w:spacing w:val="21"/>
          <w:w w:val="95"/>
          <w:sz w:val="28"/>
        </w:rPr>
        <w:t>:C00001730912019122509401</w:t>
      </w:r>
    </w:p>
    <w:p>
      <w:pPr>
        <w:spacing w:line="240" w:lineRule="auto" w:before="0"/>
        <w:rPr>
          <w:b/>
          <w:sz w:val="40"/>
        </w:rPr>
      </w:pPr>
    </w:p>
    <w:p>
      <w:pPr>
        <w:pStyle w:val="Heading1"/>
        <w:spacing w:before="1"/>
        <w:ind w:left="482" w:right="486"/>
        <w:jc w:val="center"/>
      </w:pPr>
      <w:r>
        <w:rPr/>
        <w:t>总则</w:t>
      </w:r>
    </w:p>
    <w:p>
      <w:pPr>
        <w:pStyle w:val="BodyText"/>
        <w:spacing w:line="244" w:lineRule="auto" w:before="161"/>
        <w:ind w:left="501" w:right="497" w:firstLine="422"/>
        <w:jc w:val="both"/>
      </w:pPr>
      <w:r>
        <w:rPr>
          <w:b/>
        </w:rPr>
        <w:t>第一条 </w:t>
      </w:r>
      <w:r>
        <w:rPr/>
        <w:t>本保险合同由保险条款、投保单、保险单、保险凭证以及批单组成。凡涉及本保险合同的约定，均应采用书面形式。</w:t>
      </w:r>
    </w:p>
    <w:p>
      <w:pPr>
        <w:pStyle w:val="BodyText"/>
        <w:spacing w:line="244" w:lineRule="auto" w:before="155"/>
        <w:ind w:left="501" w:right="514" w:firstLine="422"/>
        <w:jc w:val="both"/>
      </w:pPr>
      <w:r>
        <w:rPr>
          <w:b/>
        </w:rPr>
        <w:t>第二条 </w:t>
      </w:r>
      <w:r>
        <w:rPr/>
        <w:t>中华人民共和国境内（不包括香港、澳门和台湾地区）的各类机关、企事业单位、个体经济组织以及其他组织，均可作为本保险合同的投保人、被保险人。</w:t>
      </w:r>
    </w:p>
    <w:p>
      <w:pPr>
        <w:spacing w:line="240" w:lineRule="auto" w:before="0"/>
        <w:rPr>
          <w:sz w:val="20"/>
        </w:rPr>
      </w:pPr>
    </w:p>
    <w:p>
      <w:pPr>
        <w:spacing w:line="240" w:lineRule="auto" w:before="8"/>
        <w:rPr>
          <w:sz w:val="25"/>
        </w:rPr>
      </w:pPr>
    </w:p>
    <w:p>
      <w:pPr>
        <w:pStyle w:val="Heading1"/>
        <w:spacing w:before="0"/>
        <w:ind w:left="482" w:right="488"/>
        <w:jc w:val="center"/>
      </w:pPr>
      <w:r>
        <w:rPr/>
        <w:t>保险责任</w:t>
      </w:r>
    </w:p>
    <w:p>
      <w:pPr>
        <w:pStyle w:val="BodyText"/>
        <w:spacing w:line="244" w:lineRule="auto" w:before="161"/>
        <w:ind w:left="501" w:right="491" w:firstLine="422"/>
        <w:jc w:val="both"/>
      </w:pPr>
      <w:r>
        <w:rPr>
          <w:b/>
        </w:rPr>
        <w:t>第三条 </w:t>
      </w:r>
      <w:r>
        <w:rPr/>
        <w:t>在保险期间内，被保险人在保险单明细表列明的范围内，因在其经营业务范围内的经营行为发生意外事故，造成第三者的人身伤亡和财产损失，依照中华人民共和国法律（不包括港澳台地区法律）应由被保险人承担的经济赔偿责任，保险人按本保险合同约定负责赔偿。</w:t>
      </w:r>
    </w:p>
    <w:p>
      <w:pPr>
        <w:pStyle w:val="BodyText"/>
        <w:spacing w:line="244" w:lineRule="auto" w:before="154"/>
        <w:ind w:left="501" w:right="514" w:firstLine="422"/>
        <w:jc w:val="both"/>
      </w:pPr>
      <w:r>
        <w:rPr>
          <w:b/>
        </w:rPr>
        <w:t>第四条 </w:t>
      </w:r>
      <w:r>
        <w:rPr/>
        <w:t>对被保险人因保险事故而支付的诉讼费用以及事先经保险人书面同意而支付的其他法律费用，保险人也负责赔偿。</w:t>
      </w:r>
    </w:p>
    <w:p>
      <w:pPr>
        <w:spacing w:line="244" w:lineRule="auto" w:before="156"/>
        <w:ind w:left="501" w:right="514" w:firstLine="422"/>
        <w:jc w:val="both"/>
        <w:rPr>
          <w:b/>
          <w:sz w:val="21"/>
        </w:rPr>
      </w:pPr>
      <w:r>
        <w:rPr>
          <w:b/>
          <w:sz w:val="21"/>
        </w:rPr>
        <w:t>第五条 </w:t>
      </w:r>
      <w:r>
        <w:rPr>
          <w:sz w:val="21"/>
        </w:rPr>
        <w:t>保险人对每次事故引起的赔偿金额以法院或政府有关部门根据现行法律裁定的应由被保险人偿付的金额为准。但在任何情况下， </w:t>
      </w:r>
      <w:r>
        <w:rPr>
          <w:b/>
          <w:sz w:val="21"/>
        </w:rPr>
        <w:t>均不得超过保险单明细表中对应列明的每次事故赔偿限额。在保险期间内， 保险人在本保险合同项下对上述经济赔偿的最高赔偿责任不得超过保险单明细表中列明的累计赔偿限额。</w:t>
      </w:r>
    </w:p>
    <w:p>
      <w:pPr>
        <w:spacing w:line="240" w:lineRule="auto" w:before="0"/>
        <w:rPr>
          <w:b/>
          <w:sz w:val="20"/>
        </w:rPr>
      </w:pPr>
    </w:p>
    <w:p>
      <w:pPr>
        <w:spacing w:line="240" w:lineRule="auto" w:before="7"/>
        <w:rPr>
          <w:b/>
          <w:sz w:val="25"/>
        </w:rPr>
      </w:pPr>
    </w:p>
    <w:p>
      <w:pPr>
        <w:pStyle w:val="Heading1"/>
        <w:tabs>
          <w:tab w:pos="1851" w:val="left" w:leader="none"/>
        </w:tabs>
        <w:spacing w:line="384" w:lineRule="auto" w:before="0"/>
        <w:ind w:left="924" w:right="4055" w:firstLine="3276"/>
      </w:pPr>
      <w:r>
        <w:rPr>
          <w:spacing w:val="17"/>
        </w:rPr>
        <w:t>责任</w:t>
      </w:r>
      <w:r>
        <w:rPr>
          <w:spacing w:val="15"/>
        </w:rPr>
        <w:t>免</w:t>
      </w:r>
      <w:r>
        <w:rPr/>
        <w:t>除</w:t>
      </w:r>
      <w:r>
        <w:rPr>
          <w:spacing w:val="17"/>
        </w:rPr>
        <w:t>第六</w:t>
      </w:r>
      <w:r>
        <w:rPr/>
        <w:t>条</w:t>
        <w:tab/>
      </w:r>
      <w:r>
        <w:rPr>
          <w:spacing w:val="17"/>
          <w:w w:val="95"/>
        </w:rPr>
        <w:t>保</w:t>
      </w:r>
      <w:r>
        <w:rPr>
          <w:spacing w:val="15"/>
          <w:w w:val="95"/>
        </w:rPr>
        <w:t>险</w:t>
      </w:r>
      <w:r>
        <w:rPr>
          <w:spacing w:val="17"/>
          <w:w w:val="95"/>
        </w:rPr>
        <w:t>人对下</w:t>
      </w:r>
      <w:r>
        <w:rPr>
          <w:spacing w:val="15"/>
          <w:w w:val="95"/>
        </w:rPr>
        <w:t>列</w:t>
      </w:r>
      <w:r>
        <w:rPr>
          <w:spacing w:val="17"/>
          <w:w w:val="95"/>
        </w:rPr>
        <w:t>各项不</w:t>
      </w:r>
      <w:r>
        <w:rPr>
          <w:spacing w:val="15"/>
          <w:w w:val="95"/>
        </w:rPr>
        <w:t>负</w:t>
      </w:r>
      <w:r>
        <w:rPr>
          <w:spacing w:val="17"/>
          <w:w w:val="95"/>
        </w:rPr>
        <w:t>赔偿责</w:t>
      </w:r>
      <w:r>
        <w:rPr>
          <w:spacing w:val="15"/>
          <w:w w:val="95"/>
        </w:rPr>
        <w:t>任</w:t>
      </w:r>
      <w:r>
        <w:rPr>
          <w:w w:val="95"/>
        </w:rPr>
        <w:t>：</w:t>
      </w:r>
    </w:p>
    <w:p>
      <w:pPr>
        <w:spacing w:line="244" w:lineRule="auto" w:before="0"/>
        <w:ind w:left="501" w:right="530" w:firstLine="422"/>
        <w:jc w:val="left"/>
        <w:rPr>
          <w:b/>
          <w:sz w:val="21"/>
        </w:rPr>
      </w:pPr>
      <w:r>
        <w:rPr>
          <w:b/>
          <w:sz w:val="21"/>
        </w:rPr>
        <w:t>（ 一） 被保险人根据与他人的协议应承担的责任， 但即使没有这种协议， 被保险人仍应承担的责任不在此限。</w:t>
      </w:r>
    </w:p>
    <w:p>
      <w:pPr>
        <w:spacing w:before="154"/>
        <w:ind w:left="482" w:right="450" w:firstLine="0"/>
        <w:jc w:val="center"/>
        <w:rPr>
          <w:b/>
          <w:sz w:val="21"/>
        </w:rPr>
      </w:pPr>
      <w:r>
        <w:rPr>
          <w:b/>
          <w:sz w:val="21"/>
        </w:rPr>
        <w:t>（二）对于为被保险人服务的任何人所遭受的人身伤亡或财产损失的责任。</w:t>
      </w:r>
    </w:p>
    <w:p>
      <w:pPr>
        <w:spacing w:before="161"/>
        <w:ind w:left="924" w:right="0" w:firstLine="0"/>
        <w:jc w:val="left"/>
        <w:rPr>
          <w:b/>
          <w:sz w:val="21"/>
        </w:rPr>
      </w:pPr>
      <w:r>
        <w:rPr>
          <w:b/>
          <w:sz w:val="21"/>
        </w:rPr>
        <w:t>（三）对下列财产损失的责任：</w:t>
      </w:r>
    </w:p>
    <w:p>
      <w:pPr>
        <w:pStyle w:val="ListParagraph"/>
        <w:numPr>
          <w:ilvl w:val="0"/>
          <w:numId w:val="1"/>
        </w:numPr>
        <w:tabs>
          <w:tab w:pos="1274" w:val="left" w:leader="none"/>
        </w:tabs>
        <w:spacing w:line="240" w:lineRule="auto" w:before="161" w:after="0"/>
        <w:ind w:left="1273" w:right="0" w:hanging="350"/>
        <w:jc w:val="left"/>
        <w:rPr>
          <w:b/>
          <w:sz w:val="21"/>
        </w:rPr>
      </w:pPr>
      <w:r>
        <w:rPr>
          <w:b/>
          <w:spacing w:val="14"/>
          <w:sz w:val="21"/>
        </w:rPr>
        <w:t>．被保险人或其代表或其雇佣人员所有的财产或由其保管或由其控制的财产；</w:t>
      </w:r>
    </w:p>
    <w:p>
      <w:pPr>
        <w:pStyle w:val="ListParagraph"/>
        <w:numPr>
          <w:ilvl w:val="0"/>
          <w:numId w:val="1"/>
        </w:numPr>
        <w:tabs>
          <w:tab w:pos="1274" w:val="left" w:leader="none"/>
        </w:tabs>
        <w:spacing w:line="244" w:lineRule="auto" w:before="161" w:after="0"/>
        <w:ind w:left="501" w:right="539" w:firstLine="422"/>
        <w:jc w:val="left"/>
        <w:rPr>
          <w:b/>
          <w:sz w:val="21"/>
        </w:rPr>
      </w:pPr>
      <w:r>
        <w:rPr>
          <w:b/>
          <w:spacing w:val="15"/>
          <w:w w:val="95"/>
          <w:sz w:val="21"/>
        </w:rPr>
        <w:t>．被保险人或其代表或其雇佣人员因经营业务一直使用和占用的任何物品、  </w:t>
      </w:r>
      <w:r>
        <w:rPr>
          <w:b/>
          <w:spacing w:val="11"/>
          <w:sz w:val="21"/>
        </w:rPr>
        <w:t>土地、房屋或建筑。</w:t>
      </w:r>
    </w:p>
    <w:p>
      <w:pPr>
        <w:spacing w:before="155"/>
        <w:ind w:left="924" w:right="0" w:firstLine="0"/>
        <w:jc w:val="left"/>
        <w:rPr>
          <w:b/>
          <w:sz w:val="21"/>
        </w:rPr>
      </w:pPr>
      <w:r>
        <w:rPr>
          <w:b/>
          <w:sz w:val="21"/>
        </w:rPr>
        <w:t>（四）由于下列各项引起的损失或伤害责任：</w:t>
      </w:r>
    </w:p>
    <w:p>
      <w:pPr>
        <w:pStyle w:val="ListParagraph"/>
        <w:numPr>
          <w:ilvl w:val="0"/>
          <w:numId w:val="2"/>
        </w:numPr>
        <w:tabs>
          <w:tab w:pos="1274" w:val="left" w:leader="none"/>
        </w:tabs>
        <w:spacing w:line="244" w:lineRule="auto" w:before="161" w:after="0"/>
        <w:ind w:left="501" w:right="526" w:firstLine="422"/>
        <w:jc w:val="both"/>
        <w:rPr>
          <w:b/>
          <w:sz w:val="21"/>
        </w:rPr>
      </w:pPr>
      <w:r>
        <w:rPr>
          <w:b/>
          <w:spacing w:val="15"/>
          <w:w w:val="95"/>
          <w:sz w:val="21"/>
        </w:rPr>
        <w:t>．对于未载入保险单明细表而属于被保险人的或其所占有的或以其名义使用  的任何牲畜、脚踏车、车辆、火车头、各类船只、飞机、电梯、升降机、自动梯、  </w:t>
      </w:r>
      <w:r>
        <w:rPr>
          <w:b/>
          <w:spacing w:val="12"/>
          <w:sz w:val="21"/>
        </w:rPr>
        <w:t>起重机、吊车或其他升降装置；</w:t>
      </w:r>
    </w:p>
    <w:p>
      <w:pPr>
        <w:pStyle w:val="ListParagraph"/>
        <w:numPr>
          <w:ilvl w:val="0"/>
          <w:numId w:val="2"/>
        </w:numPr>
        <w:tabs>
          <w:tab w:pos="1274" w:val="left" w:leader="none"/>
        </w:tabs>
        <w:spacing w:line="240" w:lineRule="auto" w:before="155" w:after="0"/>
        <w:ind w:left="1273" w:right="0" w:hanging="350"/>
        <w:jc w:val="left"/>
        <w:rPr>
          <w:b/>
          <w:sz w:val="21"/>
        </w:rPr>
      </w:pPr>
      <w:r>
        <w:rPr>
          <w:b/>
          <w:spacing w:val="14"/>
          <w:sz w:val="21"/>
        </w:rPr>
        <w:t>．火灾、地震、爆炸、洪水、烟熏；</w:t>
      </w:r>
    </w:p>
    <w:p>
      <w:pPr>
        <w:spacing w:after="0" w:line="240" w:lineRule="auto"/>
        <w:jc w:val="left"/>
        <w:rPr>
          <w:sz w:val="21"/>
        </w:rPr>
        <w:sectPr>
          <w:type w:val="continuous"/>
          <w:pgSz w:w="11900" w:h="16840"/>
          <w:pgMar w:top="1420" w:bottom="280" w:left="1300" w:right="1300"/>
        </w:sectPr>
      </w:pPr>
    </w:p>
    <w:p>
      <w:pPr>
        <w:pStyle w:val="ListParagraph"/>
        <w:numPr>
          <w:ilvl w:val="0"/>
          <w:numId w:val="2"/>
        </w:numPr>
        <w:tabs>
          <w:tab w:pos="1274" w:val="left" w:leader="none"/>
        </w:tabs>
        <w:spacing w:line="240" w:lineRule="auto" w:before="60" w:after="0"/>
        <w:ind w:left="1274" w:right="0" w:hanging="350"/>
        <w:jc w:val="left"/>
        <w:rPr>
          <w:b/>
          <w:sz w:val="21"/>
        </w:rPr>
      </w:pPr>
      <w:r>
        <w:rPr>
          <w:b/>
          <w:spacing w:val="14"/>
          <w:sz w:val="21"/>
        </w:rPr>
        <w:t>．大气、土地、水污染及其他污染；</w:t>
      </w:r>
    </w:p>
    <w:p>
      <w:pPr>
        <w:pStyle w:val="ListParagraph"/>
        <w:numPr>
          <w:ilvl w:val="0"/>
          <w:numId w:val="2"/>
        </w:numPr>
        <w:tabs>
          <w:tab w:pos="1274" w:val="left" w:leader="none"/>
        </w:tabs>
        <w:spacing w:line="240" w:lineRule="auto" w:before="161" w:after="0"/>
        <w:ind w:left="1273" w:right="0" w:hanging="350"/>
        <w:jc w:val="left"/>
        <w:rPr>
          <w:b/>
          <w:sz w:val="21"/>
        </w:rPr>
      </w:pPr>
      <w:r>
        <w:rPr>
          <w:b/>
          <w:spacing w:val="14"/>
          <w:sz w:val="21"/>
        </w:rPr>
        <w:t>有缺陷的卫生装置或任何类型的中毒或任何不洁或有害的食物或饮料；</w:t>
      </w:r>
    </w:p>
    <w:p>
      <w:pPr>
        <w:pStyle w:val="ListParagraph"/>
        <w:numPr>
          <w:ilvl w:val="0"/>
          <w:numId w:val="2"/>
        </w:numPr>
        <w:tabs>
          <w:tab w:pos="1274" w:val="left" w:leader="none"/>
        </w:tabs>
        <w:spacing w:line="240" w:lineRule="auto" w:before="161" w:after="0"/>
        <w:ind w:left="1273" w:right="0" w:hanging="350"/>
        <w:jc w:val="left"/>
        <w:rPr>
          <w:b/>
          <w:sz w:val="21"/>
        </w:rPr>
      </w:pPr>
      <w:r>
        <w:rPr>
          <w:b/>
          <w:spacing w:val="14"/>
          <w:sz w:val="21"/>
        </w:rPr>
        <w:t>．由被保险人作出的或认可的医疗措施或医疗建议。</w:t>
      </w:r>
    </w:p>
    <w:p>
      <w:pPr>
        <w:spacing w:before="161"/>
        <w:ind w:left="924" w:right="0" w:firstLine="0"/>
        <w:jc w:val="left"/>
        <w:rPr>
          <w:b/>
          <w:sz w:val="21"/>
        </w:rPr>
      </w:pPr>
      <w:r>
        <w:rPr>
          <w:b/>
          <w:sz w:val="21"/>
        </w:rPr>
        <w:t>（五）由于震动、移动或减弱支撑引起任何土地、财产、建筑物的损坏责任。</w:t>
      </w:r>
    </w:p>
    <w:p>
      <w:pPr>
        <w:spacing w:before="160"/>
        <w:ind w:left="924" w:right="0" w:firstLine="0"/>
        <w:jc w:val="left"/>
        <w:rPr>
          <w:b/>
          <w:sz w:val="21"/>
        </w:rPr>
      </w:pPr>
      <w:r>
        <w:rPr>
          <w:b/>
          <w:sz w:val="21"/>
        </w:rPr>
        <w:t>（ 六） 由于战争、类似战争行为、敌对行为、武装冲突、恐怖活动、谋反、政</w:t>
      </w:r>
    </w:p>
    <w:p>
      <w:pPr>
        <w:spacing w:before="5"/>
        <w:ind w:left="482" w:right="4470" w:firstLine="0"/>
        <w:jc w:val="center"/>
        <w:rPr>
          <w:b/>
          <w:sz w:val="21"/>
        </w:rPr>
      </w:pPr>
      <w:r>
        <w:rPr>
          <w:b/>
          <w:sz w:val="21"/>
        </w:rPr>
        <w:t>变直接或间接引起的任何后果所致的责任。</w:t>
      </w:r>
    </w:p>
    <w:p>
      <w:pPr>
        <w:spacing w:line="244" w:lineRule="auto" w:before="161"/>
        <w:ind w:left="501" w:right="525" w:firstLine="422"/>
        <w:jc w:val="left"/>
        <w:rPr>
          <w:b/>
          <w:sz w:val="21"/>
        </w:rPr>
      </w:pPr>
      <w:r>
        <w:rPr>
          <w:b/>
          <w:sz w:val="21"/>
        </w:rPr>
        <w:t>（ 七） 由于罢工、暴动、民众骚乱或恶意行为直接或间接引起的任何后果所致的责任。</w:t>
      </w:r>
    </w:p>
    <w:p>
      <w:pPr>
        <w:spacing w:before="155"/>
        <w:ind w:left="924" w:right="0" w:firstLine="0"/>
        <w:jc w:val="left"/>
        <w:rPr>
          <w:b/>
          <w:sz w:val="21"/>
        </w:rPr>
      </w:pPr>
      <w:r>
        <w:rPr>
          <w:b/>
          <w:sz w:val="21"/>
        </w:rPr>
        <w:t>（</w:t>
      </w:r>
      <w:r>
        <w:rPr>
          <w:b/>
          <w:spacing w:val="-36"/>
          <w:sz w:val="21"/>
        </w:rPr>
        <w:t> 八</w:t>
      </w:r>
      <w:r>
        <w:rPr>
          <w:b/>
          <w:spacing w:val="15"/>
          <w:sz w:val="21"/>
        </w:rPr>
        <w:t>）</w:t>
      </w:r>
      <w:r>
        <w:rPr>
          <w:b/>
          <w:spacing w:val="14"/>
          <w:sz w:val="21"/>
        </w:rPr>
        <w:t>被保险人及其代表的故意行为或重大过失。</w:t>
      </w:r>
    </w:p>
    <w:p>
      <w:pPr>
        <w:spacing w:line="244" w:lineRule="auto" w:before="161"/>
        <w:ind w:left="501" w:right="524" w:firstLine="422"/>
        <w:jc w:val="left"/>
        <w:rPr>
          <w:b/>
          <w:sz w:val="21"/>
        </w:rPr>
      </w:pPr>
      <w:r>
        <w:rPr>
          <w:b/>
          <w:sz w:val="21"/>
        </w:rPr>
        <w:t>（ 九） 由于核裂变、核聚变、核武器、核材料、核辐射及放射性污染所引起的直接或间接责任。</w:t>
      </w:r>
    </w:p>
    <w:p>
      <w:pPr>
        <w:spacing w:before="155"/>
        <w:ind w:left="482" w:right="4536" w:firstLine="0"/>
        <w:jc w:val="center"/>
        <w:rPr>
          <w:b/>
          <w:sz w:val="21"/>
        </w:rPr>
      </w:pPr>
      <w:r>
        <w:rPr>
          <w:b/>
          <w:sz w:val="21"/>
        </w:rPr>
        <w:t>（</w:t>
      </w:r>
      <w:r>
        <w:rPr>
          <w:b/>
          <w:spacing w:val="-36"/>
          <w:sz w:val="21"/>
        </w:rPr>
        <w:t> 十</w:t>
      </w:r>
      <w:r>
        <w:rPr>
          <w:b/>
          <w:spacing w:val="16"/>
          <w:sz w:val="21"/>
        </w:rPr>
        <w:t>）</w:t>
      </w:r>
      <w:r>
        <w:rPr>
          <w:b/>
          <w:spacing w:val="13"/>
          <w:sz w:val="21"/>
        </w:rPr>
        <w:t>罚款、罚金或惩罚性赔款。</w:t>
      </w:r>
    </w:p>
    <w:p>
      <w:pPr>
        <w:spacing w:line="244" w:lineRule="auto" w:before="161"/>
        <w:ind w:left="501" w:right="526" w:firstLine="422"/>
        <w:jc w:val="left"/>
        <w:rPr>
          <w:b/>
          <w:sz w:val="21"/>
        </w:rPr>
      </w:pPr>
      <w:r>
        <w:rPr>
          <w:b/>
          <w:sz w:val="21"/>
        </w:rPr>
        <w:t>（ 十一） 保险单明细表或有关条款中规定的应由被保险人自行负担的免赔额、按免赔率折算的免赔额。</w:t>
      </w:r>
    </w:p>
    <w:p>
      <w:pPr>
        <w:spacing w:line="240" w:lineRule="auto" w:before="0"/>
        <w:rPr>
          <w:b/>
          <w:sz w:val="20"/>
        </w:rPr>
      </w:pPr>
    </w:p>
    <w:p>
      <w:pPr>
        <w:spacing w:line="240" w:lineRule="auto" w:before="9"/>
        <w:rPr>
          <w:b/>
          <w:sz w:val="25"/>
        </w:rPr>
      </w:pPr>
    </w:p>
    <w:p>
      <w:pPr>
        <w:spacing w:before="0"/>
        <w:ind w:left="482" w:right="487" w:firstLine="0"/>
        <w:jc w:val="center"/>
        <w:rPr>
          <w:b/>
          <w:sz w:val="21"/>
        </w:rPr>
      </w:pPr>
      <w:r>
        <w:rPr>
          <w:b/>
          <w:sz w:val="21"/>
        </w:rPr>
        <w:t>赔偿限额与免赔额（ 率）</w:t>
      </w:r>
    </w:p>
    <w:p>
      <w:pPr>
        <w:pStyle w:val="BodyText"/>
        <w:spacing w:line="244" w:lineRule="auto" w:before="161"/>
        <w:ind w:left="501" w:right="492" w:firstLine="422"/>
        <w:jc w:val="both"/>
      </w:pPr>
      <w:r>
        <w:rPr>
          <w:b/>
        </w:rPr>
        <w:t>第七条 </w:t>
      </w:r>
      <w:r>
        <w:rPr/>
        <w:t>赔偿限额包括每次事故赔偿限额、每次事故每人赔偿限额、每次事故人身伤亡赔偿限额、每次事故财产损失赔偿限额、累计赔偿限额，由投保人与保险人协商确定， 并在保险合同中载明。</w:t>
      </w:r>
    </w:p>
    <w:p>
      <w:pPr>
        <w:pStyle w:val="Heading1"/>
        <w:tabs>
          <w:tab w:pos="1867" w:val="left" w:leader="none"/>
        </w:tabs>
        <w:ind w:left="924"/>
      </w:pPr>
      <w:r>
        <w:rPr>
          <w:spacing w:val="20"/>
        </w:rPr>
        <w:t>第</w:t>
      </w:r>
      <w:r>
        <w:rPr>
          <w:spacing w:val="22"/>
        </w:rPr>
        <w:t>八</w:t>
      </w:r>
      <w:r>
        <w:rPr/>
        <w:t>条</w:t>
        <w:tab/>
      </w:r>
      <w:r>
        <w:rPr>
          <w:spacing w:val="19"/>
        </w:rPr>
        <w:t>每次事故</w:t>
      </w:r>
      <w:r>
        <w:rPr>
          <w:spacing w:val="21"/>
        </w:rPr>
        <w:t>免</w:t>
      </w:r>
      <w:r>
        <w:rPr>
          <w:spacing w:val="19"/>
        </w:rPr>
        <w:t>赔额</w:t>
      </w:r>
      <w:r>
        <w:rPr/>
        <w:t>（</w:t>
      </w:r>
      <w:r>
        <w:rPr>
          <w:spacing w:val="-86"/>
        </w:rPr>
        <w:t> </w:t>
      </w:r>
      <w:r>
        <w:rPr>
          <w:spacing w:val="22"/>
        </w:rPr>
        <w:t>率</w:t>
      </w:r>
      <w:r>
        <w:rPr/>
        <w:t>）</w:t>
      </w:r>
      <w:r>
        <w:rPr>
          <w:spacing w:val="-89"/>
        </w:rPr>
        <w:t> </w:t>
      </w:r>
      <w:r>
        <w:rPr>
          <w:spacing w:val="19"/>
        </w:rPr>
        <w:t>由投</w:t>
      </w:r>
      <w:r>
        <w:rPr>
          <w:spacing w:val="21"/>
        </w:rPr>
        <w:t>保</w:t>
      </w:r>
      <w:r>
        <w:rPr>
          <w:spacing w:val="19"/>
        </w:rPr>
        <w:t>人与保</w:t>
      </w:r>
      <w:r>
        <w:rPr>
          <w:spacing w:val="21"/>
        </w:rPr>
        <w:t>险</w:t>
      </w:r>
      <w:r>
        <w:rPr>
          <w:spacing w:val="19"/>
        </w:rPr>
        <w:t>人</w:t>
      </w:r>
      <w:r>
        <w:rPr>
          <w:spacing w:val="22"/>
        </w:rPr>
        <w:t>在</w:t>
      </w:r>
      <w:r>
        <w:rPr>
          <w:spacing w:val="19"/>
        </w:rPr>
        <w:t>签</w:t>
      </w:r>
      <w:r>
        <w:rPr>
          <w:spacing w:val="22"/>
        </w:rPr>
        <w:t>订</w:t>
      </w:r>
      <w:r>
        <w:rPr>
          <w:spacing w:val="19"/>
        </w:rPr>
        <w:t>保险合</w:t>
      </w:r>
      <w:r>
        <w:rPr>
          <w:spacing w:val="22"/>
        </w:rPr>
        <w:t>同</w:t>
      </w:r>
      <w:r>
        <w:rPr>
          <w:spacing w:val="20"/>
        </w:rPr>
        <w:t>时协</w:t>
      </w:r>
      <w:r>
        <w:rPr>
          <w:spacing w:val="19"/>
        </w:rPr>
        <w:t>商</w:t>
      </w:r>
      <w:r>
        <w:rPr>
          <w:spacing w:val="22"/>
        </w:rPr>
        <w:t>确</w:t>
      </w:r>
      <w:r>
        <w:rPr>
          <w:spacing w:val="46"/>
        </w:rPr>
        <w:t>定</w:t>
      </w:r>
      <w:r>
        <w:rPr/>
        <w:t>，</w:t>
      </w:r>
    </w:p>
    <w:p>
      <w:pPr>
        <w:spacing w:before="5"/>
        <w:ind w:left="501" w:right="0" w:firstLine="0"/>
        <w:jc w:val="left"/>
        <w:rPr>
          <w:b/>
          <w:sz w:val="21"/>
        </w:rPr>
      </w:pPr>
      <w:r>
        <w:rPr>
          <w:b/>
          <w:sz w:val="21"/>
        </w:rPr>
        <w:t>并在保险合同中载明。</w:t>
      </w:r>
    </w:p>
    <w:p>
      <w:pPr>
        <w:spacing w:line="240" w:lineRule="auto" w:before="0"/>
        <w:rPr>
          <w:b/>
          <w:sz w:val="20"/>
        </w:rPr>
      </w:pPr>
    </w:p>
    <w:p>
      <w:pPr>
        <w:spacing w:line="240" w:lineRule="auto" w:before="1"/>
        <w:rPr>
          <w:b/>
          <w:sz w:val="26"/>
        </w:rPr>
      </w:pPr>
    </w:p>
    <w:p>
      <w:pPr>
        <w:spacing w:before="0"/>
        <w:ind w:left="482" w:right="488" w:firstLine="0"/>
        <w:jc w:val="center"/>
        <w:rPr>
          <w:b/>
          <w:sz w:val="21"/>
        </w:rPr>
      </w:pPr>
      <w:r>
        <w:rPr>
          <w:b/>
          <w:sz w:val="21"/>
        </w:rPr>
        <w:t>保险期间</w:t>
      </w:r>
    </w:p>
    <w:p>
      <w:pPr>
        <w:pStyle w:val="BodyText"/>
        <w:tabs>
          <w:tab w:pos="1817" w:val="left" w:leader="none"/>
        </w:tabs>
        <w:spacing w:before="161"/>
        <w:ind w:left="924"/>
      </w:pPr>
      <w:r>
        <w:rPr>
          <w:b/>
          <w:spacing w:val="18"/>
        </w:rPr>
        <w:t>第九</w:t>
      </w:r>
      <w:r>
        <w:rPr>
          <w:b/>
        </w:rPr>
        <w:t>条</w:t>
        <w:tab/>
      </w:r>
      <w:r>
        <w:rPr/>
        <w:t>除另有约定外，保险期间为一年，以保险单载明的起讫时间为准。</w:t>
      </w:r>
    </w:p>
    <w:p>
      <w:pPr>
        <w:spacing w:line="240" w:lineRule="auto" w:before="0"/>
        <w:rPr>
          <w:sz w:val="20"/>
        </w:rPr>
      </w:pPr>
    </w:p>
    <w:p>
      <w:pPr>
        <w:spacing w:line="240" w:lineRule="auto" w:before="1"/>
        <w:rPr>
          <w:sz w:val="26"/>
        </w:rPr>
      </w:pPr>
    </w:p>
    <w:p>
      <w:pPr>
        <w:pStyle w:val="Heading1"/>
        <w:spacing w:before="1"/>
        <w:ind w:left="482" w:right="488"/>
        <w:jc w:val="center"/>
      </w:pPr>
      <w:r>
        <w:rPr/>
        <w:t>保险人义务</w:t>
      </w:r>
    </w:p>
    <w:p>
      <w:pPr>
        <w:pStyle w:val="BodyText"/>
        <w:tabs>
          <w:tab w:pos="1811" w:val="left" w:leader="none"/>
          <w:tab w:pos="2065" w:val="left" w:leader="none"/>
        </w:tabs>
        <w:spacing w:line="430" w:lineRule="atLeast"/>
        <w:ind w:left="923" w:right="513" w:hanging="22"/>
        <w:jc w:val="center"/>
      </w:pPr>
      <w:bookmarkStart w:name="第十条 本保险合同成立后，保险人应当及时向投保人签发保险单或其他保险凭证。" w:id="1"/>
      <w:bookmarkEnd w:id="1"/>
      <w:r>
        <w:rPr/>
      </w:r>
      <w:r>
        <w:rPr>
          <w:b/>
          <w:spacing w:val="18"/>
        </w:rPr>
        <w:t>第十</w:t>
      </w:r>
      <w:r>
        <w:rPr>
          <w:b/>
        </w:rPr>
        <w:t>条</w:t>
        <w:tab/>
      </w:r>
      <w:r>
        <w:rPr/>
        <w:t>本保险合同成立后，保险人应当及时向投保人签发保险单或其他保险凭证。</w:t>
      </w:r>
      <w:bookmarkStart w:name="第十一条 保险人按照本保险合同的约定，认为被保险人提供的有关索赔的证明和资料不完" w:id="2"/>
      <w:bookmarkEnd w:id="2"/>
      <w:r>
        <w:rPr/>
      </w:r>
      <w:r>
        <w:rPr>
          <w:b/>
          <w:spacing w:val="18"/>
        </w:rPr>
        <w:t>第十</w:t>
      </w:r>
      <w:r>
        <w:rPr>
          <w:b/>
          <w:spacing w:val="15"/>
        </w:rPr>
        <w:t>一</w:t>
      </w:r>
      <w:r>
        <w:rPr>
          <w:b/>
        </w:rPr>
        <w:t>条</w:t>
        <w:tab/>
      </w:r>
      <w:r>
        <w:rPr/>
        <w:t>保险人按照本保险合同的约定，认为被保险人提供的有关索赔的证明和</w:t>
      </w:r>
      <w:r>
        <w:rPr>
          <w:spacing w:val="-18"/>
        </w:rPr>
        <w:t>资</w:t>
      </w:r>
    </w:p>
    <w:p>
      <w:pPr>
        <w:pStyle w:val="BodyText"/>
        <w:spacing w:before="5"/>
        <w:ind w:left="482" w:right="2897"/>
        <w:jc w:val="center"/>
      </w:pPr>
      <w:r>
        <w:rPr/>
        <w:t>料不完整的，应当及时一次性通知投保人、被保险人补充提供。</w:t>
      </w:r>
    </w:p>
    <w:p>
      <w:pPr>
        <w:pStyle w:val="BodyText"/>
        <w:spacing w:line="244" w:lineRule="auto" w:before="160"/>
        <w:ind w:left="501" w:right="493" w:firstLine="422"/>
        <w:jc w:val="both"/>
      </w:pPr>
      <w:bookmarkStart w:name="第十二条 保险人收到被保险人的赔偿保险金的请求后，应当及时作出是否属于保险责任的" w:id="3"/>
      <w:bookmarkEnd w:id="3"/>
      <w:r>
        <w:rPr/>
      </w:r>
      <w:r>
        <w:rPr>
          <w:b/>
        </w:rPr>
        <w:t>第十二条 </w:t>
      </w:r>
      <w:r>
        <w:rPr/>
        <w:t>保险人收到被保险人的赔偿保险金的请求后，应当及时作出是否属于保险责任的核定；情形复杂的，保险人将在确定是否属于保险责任的基本材料收集齐全后，尽快做出核定。</w:t>
      </w:r>
    </w:p>
    <w:p>
      <w:pPr>
        <w:pStyle w:val="BodyText"/>
        <w:spacing w:line="244" w:lineRule="auto" w:before="155"/>
        <w:ind w:left="501" w:right="492" w:firstLine="420"/>
        <w:jc w:val="both"/>
      </w:pPr>
      <w:bookmarkStart w:name="保险人应当将核定结果通知被保险人；对属于保险责任的，在与被保险人达成赔偿保险金的" w:id="4"/>
      <w:bookmarkEnd w:id="4"/>
      <w:r>
        <w:rPr/>
      </w:r>
      <w:r>
        <w:rPr/>
        <w:t>保险人应当将核定结果通知被保险人；对属于保险责任的，在与被保险人达成赔偿保险金的协议后十日内，履行赔偿保险金义务。保险合同对赔偿保险金的期限有约定的，保险人应当按照约定履行赔偿保险金的义务。保险人依照前款的规定作出核定后，对不属于保险责任的，应当自作出核定之日起三日内向被保险人发出拒绝赔偿保险金通知书，并说明理由。</w:t>
      </w:r>
    </w:p>
    <w:p>
      <w:pPr>
        <w:spacing w:after="0" w:line="244" w:lineRule="auto"/>
        <w:jc w:val="both"/>
        <w:sectPr>
          <w:pgSz w:w="11900" w:h="16840"/>
          <w:pgMar w:top="1400" w:bottom="280" w:left="1300" w:right="1300"/>
        </w:sectPr>
      </w:pPr>
    </w:p>
    <w:p>
      <w:pPr>
        <w:pStyle w:val="BodyText"/>
        <w:spacing w:line="244" w:lineRule="auto" w:before="60"/>
        <w:ind w:left="501" w:right="492" w:firstLine="422"/>
        <w:jc w:val="both"/>
      </w:pPr>
      <w:bookmarkStart w:name="第十三条 保险人自收到赔偿保险金的请求和有关证明、资料之日起六十日内，对其赔偿保" w:id="5"/>
      <w:bookmarkEnd w:id="5"/>
      <w:r>
        <w:rPr/>
      </w:r>
      <w:r>
        <w:rPr>
          <w:b/>
        </w:rPr>
        <w:t>第十三条 </w:t>
      </w:r>
      <w:r>
        <w:rPr/>
        <w:t>保险人自收到赔偿保险金的请求和有关证明、资料之日起六十日内，对其赔偿保险金的数额不能确定的，应当根据已有证明和资料可以确定的数额先予支付；保险人最终确定赔偿的数额后，应当支付相应的差额。</w:t>
      </w:r>
    </w:p>
    <w:p>
      <w:pPr>
        <w:spacing w:line="240" w:lineRule="auto" w:before="0"/>
        <w:rPr>
          <w:sz w:val="20"/>
        </w:rPr>
      </w:pPr>
    </w:p>
    <w:p>
      <w:pPr>
        <w:spacing w:line="240" w:lineRule="auto" w:before="8"/>
        <w:rPr>
          <w:sz w:val="25"/>
        </w:rPr>
      </w:pPr>
    </w:p>
    <w:p>
      <w:pPr>
        <w:tabs>
          <w:tab w:pos="2079" w:val="left" w:leader="none"/>
        </w:tabs>
        <w:spacing w:line="384" w:lineRule="auto" w:before="0"/>
        <w:ind w:left="924" w:right="3439" w:firstLine="2594"/>
        <w:jc w:val="left"/>
        <w:rPr>
          <w:sz w:val="21"/>
        </w:rPr>
      </w:pPr>
      <w:r>
        <w:rPr>
          <w:b/>
          <w:spacing w:val="17"/>
          <w:sz w:val="21"/>
        </w:rPr>
        <w:t>投保</w:t>
      </w:r>
      <w:r>
        <w:rPr>
          <w:b/>
          <w:spacing w:val="15"/>
          <w:sz w:val="21"/>
        </w:rPr>
        <w:t>人</w:t>
      </w:r>
      <w:r>
        <w:rPr>
          <w:b/>
          <w:spacing w:val="17"/>
          <w:sz w:val="21"/>
        </w:rPr>
        <w:t>、被保</w:t>
      </w:r>
      <w:r>
        <w:rPr>
          <w:b/>
          <w:spacing w:val="15"/>
          <w:sz w:val="21"/>
        </w:rPr>
        <w:t>险</w:t>
      </w:r>
      <w:r>
        <w:rPr>
          <w:b/>
          <w:spacing w:val="17"/>
          <w:sz w:val="21"/>
        </w:rPr>
        <w:t>人义</w:t>
      </w:r>
      <w:r>
        <w:rPr>
          <w:b/>
          <w:sz w:val="21"/>
        </w:rPr>
        <w:t>务</w:t>
      </w:r>
      <w:r>
        <w:rPr>
          <w:b/>
          <w:spacing w:val="18"/>
          <w:sz w:val="21"/>
        </w:rPr>
        <w:t>第十</w:t>
      </w:r>
      <w:r>
        <w:rPr>
          <w:b/>
          <w:spacing w:val="15"/>
          <w:sz w:val="21"/>
        </w:rPr>
        <w:t>四</w:t>
      </w:r>
      <w:r>
        <w:rPr>
          <w:b/>
          <w:sz w:val="21"/>
        </w:rPr>
        <w:t>条</w:t>
        <w:tab/>
      </w:r>
      <w:r>
        <w:rPr>
          <w:sz w:val="21"/>
        </w:rPr>
        <w:t>被保险人及其代表应严格履行下列义务</w:t>
      </w:r>
      <w:r>
        <w:rPr>
          <w:spacing w:val="-18"/>
          <w:sz w:val="21"/>
        </w:rPr>
        <w:t>：</w:t>
      </w:r>
    </w:p>
    <w:p>
      <w:pPr>
        <w:pStyle w:val="BodyText"/>
        <w:spacing w:line="244" w:lineRule="auto"/>
        <w:ind w:left="501" w:right="491" w:firstLine="420"/>
      </w:pPr>
      <w:r>
        <w:rPr/>
        <w:t>订立保险合同，保险人就保险标的或者被保险人的有关情况提出询问的，投保人应当如实告知。</w:t>
      </w:r>
    </w:p>
    <w:p>
      <w:pPr>
        <w:pStyle w:val="Heading1"/>
        <w:spacing w:before="154"/>
        <w:ind w:left="924"/>
      </w:pPr>
      <w:r>
        <w:rPr/>
        <w:t>投保人故意或者因重大过失未履行前款规定的如实告知义务， 足以影响保险人</w:t>
      </w:r>
    </w:p>
    <w:p>
      <w:pPr>
        <w:spacing w:before="5"/>
        <w:ind w:left="501" w:right="0" w:firstLine="0"/>
        <w:jc w:val="left"/>
        <w:rPr>
          <w:b/>
          <w:sz w:val="21"/>
        </w:rPr>
      </w:pPr>
      <w:r>
        <w:rPr>
          <w:b/>
          <w:sz w:val="21"/>
        </w:rPr>
        <w:t>决定是否同意承保或者提高保险费率的，保险人有权解除保险合同。</w:t>
      </w:r>
    </w:p>
    <w:p>
      <w:pPr>
        <w:pStyle w:val="BodyText"/>
        <w:spacing w:line="244" w:lineRule="auto" w:before="161"/>
        <w:ind w:left="501" w:right="281" w:firstLine="420"/>
      </w:pPr>
      <w:r>
        <w:rPr/>
        <w:t>前款规定的合同解除权，自保险人知道有解除事由之日起，超过三十日不行使而消灭。自合同成立之日起超过二年的，保险人不得解除合同；发生保险事故的，保险人应当承担 赔偿保险金的责任。</w:t>
      </w:r>
    </w:p>
    <w:p>
      <w:pPr>
        <w:pStyle w:val="Heading1"/>
        <w:spacing w:line="244" w:lineRule="auto" w:before="154"/>
        <w:ind w:right="525" w:firstLine="422"/>
      </w:pPr>
      <w:r>
        <w:rPr>
          <w:spacing w:val="9"/>
        </w:rPr>
        <w:t>投保人故意不履行如实告知义务的， 保险人对于合同解除前发生的保险事故， </w:t>
      </w:r>
      <w:r>
        <w:rPr>
          <w:spacing w:val="4"/>
        </w:rPr>
        <w:t>不承担赔偿保险金的责任， 并不退还保险费。</w:t>
      </w:r>
    </w:p>
    <w:p>
      <w:pPr>
        <w:spacing w:line="244" w:lineRule="auto" w:before="156"/>
        <w:ind w:left="501" w:right="518" w:firstLine="422"/>
        <w:jc w:val="both"/>
        <w:rPr>
          <w:b/>
          <w:sz w:val="21"/>
        </w:rPr>
      </w:pPr>
      <w:r>
        <w:rPr>
          <w:b/>
          <w:sz w:val="21"/>
        </w:rPr>
        <w:t>投保人因重大过失未履行如实告知义务， 对保险事故的发生有严重影响的， 保险人对于合同解除前发生的保险事故， 不承担赔偿保险金的责任， 但应当退还保险费。</w:t>
      </w:r>
    </w:p>
    <w:p>
      <w:pPr>
        <w:spacing w:line="244" w:lineRule="auto" w:before="154"/>
        <w:ind w:left="501" w:right="524" w:firstLine="422"/>
        <w:jc w:val="left"/>
        <w:rPr>
          <w:b/>
          <w:sz w:val="21"/>
        </w:rPr>
      </w:pPr>
      <w:r>
        <w:rPr>
          <w:b/>
          <w:sz w:val="21"/>
        </w:rPr>
        <w:t>保险人在合同订立时已经知道投保人未如实告知的情况的， 保险人不得解除合同；发生保险事故的，保险人应当承担赔偿保险金的责任。</w:t>
      </w:r>
    </w:p>
    <w:p>
      <w:pPr>
        <w:tabs>
          <w:tab w:pos="2101" w:val="left" w:leader="none"/>
        </w:tabs>
        <w:spacing w:line="244" w:lineRule="auto" w:before="155"/>
        <w:ind w:left="501" w:right="532" w:firstLine="422"/>
        <w:jc w:val="left"/>
        <w:rPr>
          <w:b/>
          <w:sz w:val="21"/>
        </w:rPr>
      </w:pPr>
      <w:r>
        <w:rPr>
          <w:b/>
          <w:spacing w:val="20"/>
          <w:sz w:val="21"/>
        </w:rPr>
        <w:t>第</w:t>
      </w:r>
      <w:r>
        <w:rPr>
          <w:b/>
          <w:spacing w:val="22"/>
          <w:sz w:val="21"/>
        </w:rPr>
        <w:t>十</w:t>
      </w:r>
      <w:r>
        <w:rPr>
          <w:b/>
          <w:spacing w:val="19"/>
          <w:sz w:val="21"/>
        </w:rPr>
        <w:t>五</w:t>
      </w:r>
      <w:r>
        <w:rPr>
          <w:b/>
          <w:sz w:val="21"/>
        </w:rPr>
        <w:t>条</w:t>
        <w:tab/>
      </w:r>
      <w:r>
        <w:rPr>
          <w:b/>
          <w:spacing w:val="20"/>
          <w:sz w:val="21"/>
        </w:rPr>
        <w:t>除</w:t>
      </w:r>
      <w:r>
        <w:rPr>
          <w:b/>
          <w:spacing w:val="22"/>
          <w:sz w:val="21"/>
        </w:rPr>
        <w:t>另</w:t>
      </w:r>
      <w:r>
        <w:rPr>
          <w:b/>
          <w:spacing w:val="19"/>
          <w:sz w:val="21"/>
        </w:rPr>
        <w:t>有约定</w:t>
      </w:r>
      <w:r>
        <w:rPr>
          <w:b/>
          <w:spacing w:val="21"/>
          <w:sz w:val="21"/>
        </w:rPr>
        <w:t>外</w:t>
      </w:r>
      <w:r>
        <w:rPr>
          <w:b/>
          <w:sz w:val="21"/>
        </w:rPr>
        <w:t>，</w:t>
      </w:r>
      <w:r>
        <w:rPr>
          <w:b/>
          <w:spacing w:val="-99"/>
          <w:sz w:val="21"/>
        </w:rPr>
        <w:t> </w:t>
      </w:r>
      <w:r>
        <w:rPr>
          <w:b/>
          <w:spacing w:val="19"/>
          <w:sz w:val="21"/>
        </w:rPr>
        <w:t>投保</w:t>
      </w:r>
      <w:r>
        <w:rPr>
          <w:b/>
          <w:spacing w:val="21"/>
          <w:sz w:val="21"/>
        </w:rPr>
        <w:t>人应</w:t>
      </w:r>
      <w:r>
        <w:rPr>
          <w:b/>
          <w:spacing w:val="20"/>
          <w:sz w:val="21"/>
        </w:rPr>
        <w:t>当</w:t>
      </w:r>
      <w:r>
        <w:rPr>
          <w:b/>
          <w:spacing w:val="19"/>
          <w:sz w:val="21"/>
        </w:rPr>
        <w:t>在</w:t>
      </w:r>
      <w:r>
        <w:rPr>
          <w:b/>
          <w:spacing w:val="21"/>
          <w:sz w:val="21"/>
        </w:rPr>
        <w:t>保</w:t>
      </w:r>
      <w:r>
        <w:rPr>
          <w:b/>
          <w:spacing w:val="19"/>
          <w:sz w:val="21"/>
        </w:rPr>
        <w:t>险责任</w:t>
      </w:r>
      <w:r>
        <w:rPr>
          <w:b/>
          <w:spacing w:val="23"/>
          <w:sz w:val="21"/>
        </w:rPr>
        <w:t>起</w:t>
      </w:r>
      <w:r>
        <w:rPr>
          <w:b/>
          <w:spacing w:val="19"/>
          <w:sz w:val="21"/>
        </w:rPr>
        <w:t>始日</w:t>
      </w:r>
      <w:r>
        <w:rPr>
          <w:b/>
          <w:spacing w:val="20"/>
          <w:sz w:val="21"/>
        </w:rPr>
        <w:t>前</w:t>
      </w:r>
      <w:r>
        <w:rPr>
          <w:b/>
          <w:spacing w:val="21"/>
          <w:sz w:val="21"/>
        </w:rPr>
        <w:t>一</w:t>
      </w:r>
      <w:r>
        <w:rPr>
          <w:b/>
          <w:spacing w:val="20"/>
          <w:sz w:val="21"/>
        </w:rPr>
        <w:t>次</w:t>
      </w:r>
      <w:r>
        <w:rPr>
          <w:b/>
          <w:spacing w:val="19"/>
          <w:sz w:val="21"/>
        </w:rPr>
        <w:t>性交</w:t>
      </w:r>
      <w:r>
        <w:rPr>
          <w:b/>
          <w:spacing w:val="21"/>
          <w:sz w:val="21"/>
        </w:rPr>
        <w:t>清</w:t>
      </w:r>
      <w:r>
        <w:rPr>
          <w:b/>
          <w:spacing w:val="20"/>
          <w:sz w:val="21"/>
        </w:rPr>
        <w:t>全</w:t>
      </w:r>
      <w:r>
        <w:rPr>
          <w:b/>
          <w:spacing w:val="19"/>
          <w:sz w:val="21"/>
        </w:rPr>
        <w:t>部</w:t>
      </w:r>
      <w:r>
        <w:rPr>
          <w:b/>
          <w:sz w:val="21"/>
        </w:rPr>
        <w:t>保</w:t>
      </w:r>
      <w:r>
        <w:rPr>
          <w:b/>
          <w:spacing w:val="17"/>
          <w:sz w:val="21"/>
        </w:rPr>
        <w:t>险费</w:t>
      </w:r>
      <w:r>
        <w:rPr>
          <w:b/>
          <w:spacing w:val="15"/>
          <w:sz w:val="21"/>
        </w:rPr>
        <w:t>，</w:t>
      </w:r>
      <w:r>
        <w:rPr>
          <w:b/>
          <w:spacing w:val="17"/>
          <w:sz w:val="21"/>
        </w:rPr>
        <w:t>投保人</w:t>
      </w:r>
      <w:r>
        <w:rPr>
          <w:b/>
          <w:spacing w:val="15"/>
          <w:sz w:val="21"/>
        </w:rPr>
        <w:t>未</w:t>
      </w:r>
      <w:r>
        <w:rPr>
          <w:b/>
          <w:spacing w:val="17"/>
          <w:sz w:val="21"/>
        </w:rPr>
        <w:t>按约</w:t>
      </w:r>
      <w:r>
        <w:rPr>
          <w:b/>
          <w:spacing w:val="19"/>
          <w:sz w:val="21"/>
        </w:rPr>
        <w:t>定</w:t>
      </w:r>
      <w:r>
        <w:rPr>
          <w:b/>
          <w:spacing w:val="15"/>
          <w:sz w:val="21"/>
        </w:rPr>
        <w:t>交</w:t>
      </w:r>
      <w:r>
        <w:rPr>
          <w:b/>
          <w:spacing w:val="18"/>
          <w:sz w:val="21"/>
        </w:rPr>
        <w:t>纳</w:t>
      </w:r>
      <w:r>
        <w:rPr>
          <w:b/>
          <w:spacing w:val="17"/>
          <w:sz w:val="21"/>
        </w:rPr>
        <w:t>保险</w:t>
      </w:r>
      <w:r>
        <w:rPr>
          <w:b/>
          <w:spacing w:val="15"/>
          <w:sz w:val="21"/>
        </w:rPr>
        <w:t>费</w:t>
      </w:r>
      <w:r>
        <w:rPr>
          <w:b/>
          <w:spacing w:val="17"/>
          <w:sz w:val="21"/>
        </w:rPr>
        <w:t>，保险</w:t>
      </w:r>
      <w:r>
        <w:rPr>
          <w:b/>
          <w:spacing w:val="15"/>
          <w:sz w:val="21"/>
        </w:rPr>
        <w:t>合</w:t>
      </w:r>
      <w:r>
        <w:rPr>
          <w:b/>
          <w:spacing w:val="17"/>
          <w:sz w:val="21"/>
        </w:rPr>
        <w:t>同不</w:t>
      </w:r>
      <w:r>
        <w:rPr>
          <w:b/>
          <w:spacing w:val="19"/>
          <w:sz w:val="21"/>
        </w:rPr>
        <w:t>生</w:t>
      </w:r>
      <w:r>
        <w:rPr>
          <w:b/>
          <w:spacing w:val="16"/>
          <w:sz w:val="21"/>
        </w:rPr>
        <w:t>效</w:t>
      </w:r>
      <w:r>
        <w:rPr>
          <w:b/>
          <w:sz w:val="21"/>
        </w:rPr>
        <w:t>。</w:t>
      </w:r>
    </w:p>
    <w:p>
      <w:pPr>
        <w:spacing w:line="244" w:lineRule="auto" w:before="155"/>
        <w:ind w:left="501" w:right="508" w:firstLine="420"/>
        <w:jc w:val="left"/>
        <w:rPr>
          <w:b/>
          <w:sz w:val="21"/>
        </w:rPr>
      </w:pPr>
      <w:r>
        <w:rPr>
          <w:sz w:val="21"/>
        </w:rPr>
        <w:t>采用分期支付保险费的，投保人应按照本保险合同的约定，按时支付保险费。</w:t>
      </w:r>
      <w:r>
        <w:rPr>
          <w:b/>
          <w:sz w:val="21"/>
        </w:rPr>
        <w:t>投保人未按本保险合同支付保费的，保险人可以解除保险合同。</w:t>
      </w:r>
    </w:p>
    <w:p>
      <w:pPr>
        <w:pStyle w:val="BodyText"/>
        <w:spacing w:line="244" w:lineRule="auto" w:before="156"/>
        <w:ind w:left="501" w:right="493" w:firstLine="422"/>
        <w:jc w:val="both"/>
      </w:pPr>
      <w:r>
        <w:rPr>
          <w:b/>
        </w:rPr>
        <w:t>第十六条 </w:t>
      </w:r>
      <w:r>
        <w:rPr/>
        <w:t>被保险人应努力做到选用可靠的、认真的、合格的工作人员并且使拥有的建筑物、道路、工厂、机器、装修和设备处于坚实、良好可供使用的状态。同时，应遵照当局所颁布的任何法律及规定的要求，对已经发现的缺陷应予立即修复，并采取临时性的预防措施以防止发生事故；</w:t>
      </w:r>
    </w:p>
    <w:p>
      <w:pPr>
        <w:pStyle w:val="Heading1"/>
        <w:tabs>
          <w:tab w:pos="2097" w:val="left" w:leader="none"/>
        </w:tabs>
        <w:spacing w:line="244" w:lineRule="auto" w:before="154"/>
        <w:ind w:right="537" w:firstLine="422"/>
      </w:pPr>
      <w:bookmarkStart w:name="第十七条 在保险合同有效期内，保险标的的危险程度显著增加的，被保险人应当及时通知" w:id="6"/>
      <w:bookmarkEnd w:id="6"/>
      <w:r>
        <w:rPr>
          <w:b w:val="0"/>
        </w:rPr>
      </w:r>
      <w:r>
        <w:rPr>
          <w:spacing w:val="20"/>
        </w:rPr>
        <w:t>第</w:t>
      </w:r>
      <w:r>
        <w:rPr>
          <w:spacing w:val="21"/>
        </w:rPr>
        <w:t>十</w:t>
      </w:r>
      <w:r>
        <w:rPr>
          <w:spacing w:val="20"/>
        </w:rPr>
        <w:t>七</w:t>
      </w:r>
      <w:r>
        <w:rPr/>
        <w:t>条</w:t>
        <w:tab/>
      </w:r>
      <w:r>
        <w:rPr>
          <w:spacing w:val="19"/>
        </w:rPr>
        <w:t>在保险</w:t>
      </w:r>
      <w:r>
        <w:rPr>
          <w:spacing w:val="21"/>
        </w:rPr>
        <w:t>合</w:t>
      </w:r>
      <w:r>
        <w:rPr>
          <w:spacing w:val="19"/>
        </w:rPr>
        <w:t>同</w:t>
      </w:r>
      <w:r>
        <w:rPr>
          <w:spacing w:val="21"/>
        </w:rPr>
        <w:t>有</w:t>
      </w:r>
      <w:r>
        <w:rPr>
          <w:spacing w:val="20"/>
        </w:rPr>
        <w:t>效</w:t>
      </w:r>
      <w:r>
        <w:rPr>
          <w:spacing w:val="21"/>
        </w:rPr>
        <w:t>期</w:t>
      </w:r>
      <w:r>
        <w:rPr>
          <w:spacing w:val="19"/>
        </w:rPr>
        <w:t>内</w:t>
      </w:r>
      <w:r>
        <w:rPr/>
        <w:t>，</w:t>
      </w:r>
      <w:r>
        <w:rPr>
          <w:spacing w:val="-95"/>
        </w:rPr>
        <w:t> </w:t>
      </w:r>
      <w:r>
        <w:rPr>
          <w:spacing w:val="19"/>
        </w:rPr>
        <w:t>保</w:t>
      </w:r>
      <w:r>
        <w:rPr>
          <w:spacing w:val="22"/>
        </w:rPr>
        <w:t>险</w:t>
      </w:r>
      <w:r>
        <w:rPr>
          <w:spacing w:val="20"/>
        </w:rPr>
        <w:t>标</w:t>
      </w:r>
      <w:r>
        <w:rPr>
          <w:spacing w:val="19"/>
        </w:rPr>
        <w:t>的</w:t>
      </w:r>
      <w:r>
        <w:rPr>
          <w:spacing w:val="20"/>
        </w:rPr>
        <w:t>的</w:t>
      </w:r>
      <w:r>
        <w:rPr>
          <w:spacing w:val="22"/>
        </w:rPr>
        <w:t>危</w:t>
      </w:r>
      <w:r>
        <w:rPr>
          <w:spacing w:val="20"/>
        </w:rPr>
        <w:t>险</w:t>
      </w:r>
      <w:r>
        <w:rPr>
          <w:spacing w:val="19"/>
        </w:rPr>
        <w:t>程度</w:t>
      </w:r>
      <w:r>
        <w:rPr>
          <w:spacing w:val="21"/>
        </w:rPr>
        <w:t>显</w:t>
      </w:r>
      <w:r>
        <w:rPr>
          <w:spacing w:val="19"/>
        </w:rPr>
        <w:t>著增</w:t>
      </w:r>
      <w:r>
        <w:rPr>
          <w:spacing w:val="21"/>
        </w:rPr>
        <w:t>加的</w:t>
      </w:r>
      <w:r>
        <w:rPr/>
        <w:t>，</w:t>
      </w:r>
      <w:r>
        <w:rPr>
          <w:spacing w:val="-95"/>
        </w:rPr>
        <w:t> </w:t>
      </w:r>
      <w:r>
        <w:rPr>
          <w:spacing w:val="19"/>
        </w:rPr>
        <w:t>被保</w:t>
      </w:r>
      <w:r>
        <w:rPr>
          <w:spacing w:val="21"/>
        </w:rPr>
        <w:t>险</w:t>
      </w:r>
      <w:r>
        <w:rPr/>
        <w:t>人</w:t>
      </w:r>
      <w:r>
        <w:rPr>
          <w:spacing w:val="18"/>
        </w:rPr>
        <w:t>应当</w:t>
      </w:r>
      <w:r>
        <w:rPr>
          <w:spacing w:val="16"/>
        </w:rPr>
        <w:t>及</w:t>
      </w:r>
      <w:r>
        <w:rPr>
          <w:spacing w:val="17"/>
        </w:rPr>
        <w:t>时通</w:t>
      </w:r>
      <w:r>
        <w:rPr>
          <w:spacing w:val="18"/>
        </w:rPr>
        <w:t>知</w:t>
      </w:r>
      <w:r>
        <w:rPr>
          <w:spacing w:val="15"/>
        </w:rPr>
        <w:t>保</w:t>
      </w:r>
      <w:r>
        <w:rPr>
          <w:spacing w:val="17"/>
        </w:rPr>
        <w:t>险人，</w:t>
      </w:r>
      <w:r>
        <w:rPr>
          <w:spacing w:val="15"/>
        </w:rPr>
        <w:t>保</w:t>
      </w:r>
      <w:r>
        <w:rPr>
          <w:spacing w:val="17"/>
        </w:rPr>
        <w:t>险人可以增</w:t>
      </w:r>
      <w:r>
        <w:rPr>
          <w:spacing w:val="18"/>
        </w:rPr>
        <w:t>加</w:t>
      </w:r>
      <w:r>
        <w:rPr>
          <w:spacing w:val="17"/>
        </w:rPr>
        <w:t>保</w:t>
      </w:r>
      <w:r>
        <w:rPr>
          <w:spacing w:val="15"/>
        </w:rPr>
        <w:t>险</w:t>
      </w:r>
      <w:r>
        <w:rPr>
          <w:spacing w:val="17"/>
        </w:rPr>
        <w:t>费或</w:t>
      </w:r>
      <w:r>
        <w:rPr>
          <w:spacing w:val="18"/>
        </w:rPr>
        <w:t>者</w:t>
      </w:r>
      <w:r>
        <w:rPr>
          <w:spacing w:val="16"/>
        </w:rPr>
        <w:t>解</w:t>
      </w:r>
      <w:r>
        <w:rPr>
          <w:spacing w:val="17"/>
        </w:rPr>
        <w:t>除合同</w:t>
      </w:r>
      <w:r>
        <w:rPr/>
        <w:t>。</w:t>
      </w:r>
    </w:p>
    <w:p>
      <w:pPr>
        <w:pStyle w:val="BodyText"/>
        <w:tabs>
          <w:tab w:pos="2079" w:val="left" w:leader="none"/>
        </w:tabs>
        <w:spacing w:before="155"/>
        <w:ind w:left="924"/>
      </w:pPr>
      <w:r>
        <w:rPr>
          <w:b/>
          <w:spacing w:val="18"/>
        </w:rPr>
        <w:t>第</w:t>
      </w:r>
      <w:r>
        <w:rPr>
          <w:b/>
          <w:spacing w:val="17"/>
        </w:rPr>
        <w:t>十</w:t>
      </w:r>
      <w:r>
        <w:rPr>
          <w:b/>
          <w:spacing w:val="16"/>
        </w:rPr>
        <w:t>八</w:t>
      </w:r>
      <w:r>
        <w:rPr>
          <w:b/>
        </w:rPr>
        <w:t>条</w:t>
        <w:tab/>
      </w:r>
      <w:r>
        <w:rPr/>
        <w:t>一旦发生本保险合同所承保的任何事故，被保险人或其代表应：</w:t>
      </w:r>
    </w:p>
    <w:p>
      <w:pPr>
        <w:pStyle w:val="BodyText"/>
        <w:spacing w:line="244" w:lineRule="auto" w:before="161"/>
        <w:ind w:left="501" w:right="498" w:firstLine="420"/>
      </w:pPr>
      <w:r>
        <w:rPr/>
        <w:t>（一）立即通知保险人，并在七天或经保险人书面同意延长的期限内以书面报告提供事故发生的经过、原因和损失程度；</w:t>
      </w:r>
    </w:p>
    <w:p>
      <w:pPr>
        <w:pStyle w:val="BodyText"/>
        <w:spacing w:before="155"/>
        <w:ind w:left="921"/>
      </w:pPr>
      <w:r>
        <w:rPr/>
        <w:t>（二）在未经保险人检查和同意之前，对拥有的建筑物、道路、工厂、机器、装修和</w:t>
      </w:r>
    </w:p>
    <w:p>
      <w:pPr>
        <w:pStyle w:val="Heading1"/>
        <w:spacing w:before="5"/>
      </w:pPr>
      <w:r>
        <w:rPr>
          <w:b w:val="0"/>
        </w:rPr>
        <w:t>设备</w:t>
      </w:r>
      <w:r>
        <w:rPr/>
        <w:t>不得予以改变和修理；</w:t>
      </w:r>
    </w:p>
    <w:p>
      <w:pPr>
        <w:pStyle w:val="BodyText"/>
        <w:spacing w:line="244" w:lineRule="auto" w:before="161"/>
        <w:ind w:left="501" w:right="494" w:firstLine="420"/>
      </w:pPr>
      <w:r>
        <w:rPr/>
        <w:t>(三)在预知可能引起诉讼时，立即以书面形式通知保险人，并在接到法院传票或其他法律文件后，立即将其送交保险人；</w:t>
      </w:r>
    </w:p>
    <w:p>
      <w:pPr>
        <w:pStyle w:val="BodyText"/>
        <w:tabs>
          <w:tab w:pos="2079" w:val="left" w:leader="none"/>
        </w:tabs>
        <w:spacing w:line="384" w:lineRule="auto" w:before="155"/>
        <w:ind w:left="924" w:right="3127" w:hanging="2"/>
      </w:pPr>
      <w:r>
        <w:rPr/>
        <w:t>（四）提供作为索赔依据的所有证明文件、资料和单据</w:t>
      </w:r>
      <w:r>
        <w:rPr>
          <w:spacing w:val="-19"/>
        </w:rPr>
        <w:t>。</w:t>
      </w:r>
      <w:r>
        <w:rPr>
          <w:b/>
          <w:spacing w:val="18"/>
        </w:rPr>
        <w:t>第</w:t>
      </w:r>
      <w:r>
        <w:rPr>
          <w:b/>
          <w:spacing w:val="17"/>
        </w:rPr>
        <w:t>十</w:t>
      </w:r>
      <w:r>
        <w:rPr>
          <w:b/>
          <w:spacing w:val="16"/>
        </w:rPr>
        <w:t>九</w:t>
      </w:r>
      <w:r>
        <w:rPr>
          <w:b/>
        </w:rPr>
        <w:t>条</w:t>
        <w:tab/>
      </w:r>
      <w:r>
        <w:rPr/>
        <w:t>合理查验</w:t>
      </w:r>
    </w:p>
    <w:p>
      <w:pPr>
        <w:spacing w:after="0" w:line="384" w:lineRule="auto"/>
        <w:sectPr>
          <w:pgSz w:w="11900" w:h="16840"/>
          <w:pgMar w:top="1400" w:bottom="280" w:left="1300" w:right="1300"/>
        </w:sectPr>
      </w:pPr>
    </w:p>
    <w:p>
      <w:pPr>
        <w:pStyle w:val="BodyText"/>
        <w:spacing w:line="244" w:lineRule="auto" w:before="60"/>
        <w:ind w:left="501" w:right="492" w:firstLine="420"/>
        <w:jc w:val="both"/>
      </w:pPr>
      <w:r>
        <w:rPr/>
        <w:t>被保险人应严格遵守国家公安消防等部门有关消防、安全生产操作、特种设备使用等方面的相关法律、法规及规定，加强管理，采取合理的预防措施，尽力避免或减少责任事故的发生。</w:t>
      </w:r>
    </w:p>
    <w:p>
      <w:pPr>
        <w:pStyle w:val="BodyText"/>
        <w:spacing w:line="244" w:lineRule="auto" w:before="154"/>
        <w:ind w:left="501" w:right="498" w:firstLine="420"/>
        <w:jc w:val="both"/>
      </w:pPr>
      <w:r>
        <w:rPr/>
        <w:t>保险人有权在任何适当的时候对被保险人遵守前款约定的情况进行现场检查。被保险人应提供一切便利及保险人要求的用以评估有关风险的详情和资料。</w:t>
      </w:r>
      <w:r>
        <w:rPr>
          <w:b/>
        </w:rPr>
        <w:t>但上述查验并不构成保险人对被保险人的任何承诺。</w:t>
      </w:r>
      <w:r>
        <w:rPr/>
        <w:t>对于保险人向投保人、被保险人提出消除不安全因素和隐患的书面建议，投保人、被保险人应该认真付诸实施。</w:t>
      </w:r>
    </w:p>
    <w:p>
      <w:pPr>
        <w:pStyle w:val="Heading1"/>
        <w:spacing w:line="244" w:lineRule="auto"/>
        <w:ind w:right="281" w:firstLine="422"/>
      </w:pPr>
      <w:r>
        <w:rPr/>
        <w:t>投保人、被保险人未遵守上述约定而导致保险事故的， 保险人不承担赔偿责任； 投保人、被保险人未遵守上述约定而导致损失扩大的， 保险人对扩大部分的损失不承担赔偿责任。</w:t>
      </w:r>
    </w:p>
    <w:p>
      <w:pPr>
        <w:spacing w:line="240" w:lineRule="auto" w:before="0"/>
        <w:rPr>
          <w:b/>
          <w:sz w:val="20"/>
        </w:rPr>
      </w:pPr>
    </w:p>
    <w:p>
      <w:pPr>
        <w:spacing w:line="240" w:lineRule="auto" w:before="8"/>
        <w:rPr>
          <w:b/>
          <w:sz w:val="25"/>
        </w:rPr>
      </w:pPr>
    </w:p>
    <w:p>
      <w:pPr>
        <w:spacing w:before="0"/>
        <w:ind w:left="482" w:right="488" w:firstLine="0"/>
        <w:jc w:val="center"/>
        <w:rPr>
          <w:b/>
          <w:sz w:val="21"/>
        </w:rPr>
      </w:pPr>
      <w:r>
        <w:rPr>
          <w:b/>
          <w:sz w:val="21"/>
        </w:rPr>
        <w:t>赔偿处理</w:t>
      </w:r>
    </w:p>
    <w:p>
      <w:pPr>
        <w:pStyle w:val="BodyText"/>
        <w:tabs>
          <w:tab w:pos="2043" w:val="left" w:leader="none"/>
        </w:tabs>
        <w:spacing w:before="161"/>
        <w:ind w:left="924"/>
      </w:pPr>
      <w:r>
        <w:rPr>
          <w:b/>
          <w:spacing w:val="17"/>
        </w:rPr>
        <w:t>第</w:t>
      </w:r>
      <w:r>
        <w:rPr>
          <w:b/>
          <w:spacing w:val="18"/>
        </w:rPr>
        <w:t>二</w:t>
      </w:r>
      <w:r>
        <w:rPr>
          <w:b/>
          <w:spacing w:val="16"/>
        </w:rPr>
        <w:t>十</w:t>
      </w:r>
      <w:r>
        <w:rPr>
          <w:b/>
        </w:rPr>
        <w:t>条</w:t>
        <w:tab/>
      </w:r>
      <w:r>
        <w:rPr/>
        <w:t>若发生本保险合同承保的任何事故或诉讼时：</w:t>
      </w:r>
    </w:p>
    <w:p>
      <w:pPr>
        <w:pStyle w:val="Heading1"/>
        <w:spacing w:line="244" w:lineRule="auto" w:before="161"/>
        <w:ind w:right="513" w:firstLine="420"/>
        <w:jc w:val="both"/>
      </w:pPr>
      <w:r>
        <w:rPr>
          <w:b w:val="0"/>
        </w:rPr>
        <w:t>（一）</w:t>
      </w:r>
      <w:r>
        <w:rPr/>
        <w:t>未经保险人书面同意， 被保险人或其代表对索赔方作出的任何责任承诺或拒绝、出价、约定、付款或赔偿， 保险人不受其约束； 在必要时， 保险人有权以被保险人的名义接办对任何诉讼的抗辩或索赔的处理。</w:t>
      </w:r>
    </w:p>
    <w:p>
      <w:pPr>
        <w:spacing w:line="244" w:lineRule="auto" w:before="154"/>
        <w:ind w:left="501" w:right="397" w:firstLine="420"/>
        <w:jc w:val="left"/>
        <w:rPr>
          <w:b/>
          <w:sz w:val="21"/>
        </w:rPr>
      </w:pPr>
      <w:r>
        <w:rPr>
          <w:sz w:val="21"/>
        </w:rPr>
        <w:t>（二）保险人有权以被保险人的名义，为保险人的利益自付费用向任何责任方提出索赔的要求；</w:t>
      </w:r>
      <w:r>
        <w:rPr>
          <w:b/>
          <w:sz w:val="21"/>
        </w:rPr>
        <w:t>未经保险人书面同意， 被保险人不得接受责任方就有关损失作出的付款</w:t>
      </w:r>
      <w:r>
        <w:rPr>
          <w:b/>
          <w:w w:val="95"/>
          <w:sz w:val="21"/>
        </w:rPr>
        <w:t>或赔偿安排或放弃对责任方的索赔权利， 否则，由此引起的后果将由被保险人承担。</w:t>
      </w:r>
    </w:p>
    <w:p>
      <w:pPr>
        <w:pStyle w:val="Heading1"/>
        <w:spacing w:line="244" w:lineRule="auto"/>
        <w:ind w:right="513" w:firstLine="420"/>
      </w:pPr>
      <w:r>
        <w:rPr>
          <w:b w:val="0"/>
        </w:rPr>
        <w:t>（三）</w:t>
      </w:r>
      <w:r>
        <w:rPr/>
        <w:t>在诉讼或处理索赔过程中， 保险人有权自行处理任何诉讼或解决任何索赔案件，被保险人有义务向保险人提供一切所需的资料和协助。</w:t>
      </w:r>
    </w:p>
    <w:p>
      <w:pPr>
        <w:tabs>
          <w:tab w:pos="2307" w:val="left" w:leader="none"/>
        </w:tabs>
        <w:spacing w:before="155"/>
        <w:ind w:left="924" w:right="0" w:firstLine="0"/>
        <w:jc w:val="left"/>
        <w:rPr>
          <w:sz w:val="21"/>
        </w:rPr>
      </w:pPr>
      <w:r>
        <w:rPr>
          <w:b/>
          <w:spacing w:val="17"/>
          <w:sz w:val="21"/>
        </w:rPr>
        <w:t>第</w:t>
      </w:r>
      <w:r>
        <w:rPr>
          <w:b/>
          <w:spacing w:val="18"/>
          <w:sz w:val="21"/>
        </w:rPr>
        <w:t>二</w:t>
      </w:r>
      <w:r>
        <w:rPr>
          <w:b/>
          <w:spacing w:val="16"/>
          <w:sz w:val="21"/>
        </w:rPr>
        <w:t>十</w:t>
      </w:r>
      <w:r>
        <w:rPr>
          <w:b/>
          <w:spacing w:val="17"/>
          <w:sz w:val="21"/>
        </w:rPr>
        <w:t>一</w:t>
      </w:r>
      <w:r>
        <w:rPr>
          <w:b/>
          <w:sz w:val="21"/>
        </w:rPr>
        <w:t>条</w:t>
        <w:tab/>
      </w:r>
      <w:r>
        <w:rPr>
          <w:sz w:val="21"/>
        </w:rPr>
        <w:t>索赔欺诈</w:t>
      </w:r>
    </w:p>
    <w:p>
      <w:pPr>
        <w:spacing w:line="244" w:lineRule="auto" w:before="161"/>
        <w:ind w:left="501" w:right="499" w:firstLine="420"/>
        <w:jc w:val="left"/>
        <w:rPr>
          <w:b/>
          <w:sz w:val="21"/>
        </w:rPr>
      </w:pPr>
      <w:r>
        <w:rPr>
          <w:sz w:val="21"/>
        </w:rPr>
        <w:t>（一）未发生保险事故，被保险人谎称发生了保险事故，向保险人提出赔偿保险金请求的，</w:t>
      </w:r>
      <w:r>
        <w:rPr>
          <w:b/>
          <w:sz w:val="21"/>
        </w:rPr>
        <w:t>保险人有权解除合同， 并不退还保险费。</w:t>
      </w:r>
    </w:p>
    <w:p>
      <w:pPr>
        <w:pStyle w:val="Heading1"/>
        <w:spacing w:line="244" w:lineRule="auto"/>
        <w:ind w:right="513" w:firstLine="420"/>
      </w:pPr>
      <w:r>
        <w:rPr>
          <w:b w:val="0"/>
        </w:rPr>
        <w:t>（二）</w:t>
      </w:r>
      <w:r>
        <w:rPr/>
        <w:t>投保人、被保险人故意制造保险事故的， 保险人有权解除合同， 不承担赔偿保险金的责任，也不退还保险费。</w:t>
      </w:r>
    </w:p>
    <w:p>
      <w:pPr>
        <w:spacing w:line="244" w:lineRule="auto" w:before="155"/>
        <w:ind w:left="501" w:right="513" w:firstLine="420"/>
        <w:jc w:val="both"/>
        <w:rPr>
          <w:b/>
          <w:sz w:val="21"/>
        </w:rPr>
      </w:pPr>
      <w:r>
        <w:rPr>
          <w:sz w:val="21"/>
        </w:rPr>
        <w:t>（三）</w:t>
      </w:r>
      <w:r>
        <w:rPr>
          <w:b/>
          <w:sz w:val="21"/>
        </w:rPr>
        <w:t>保险事故发生后， 投保人、被保险人以伪造、变造的有关证明、资料或者其他证据， 编造虚假的事故原因或者夸大损失程度的， 保险人对其虚报的部分不承担赔偿保险金的责任。</w:t>
      </w:r>
    </w:p>
    <w:p>
      <w:pPr>
        <w:spacing w:line="244" w:lineRule="auto" w:before="155"/>
        <w:ind w:left="501" w:right="281" w:firstLine="422"/>
        <w:jc w:val="left"/>
        <w:rPr>
          <w:b/>
          <w:sz w:val="21"/>
        </w:rPr>
      </w:pPr>
      <w:r>
        <w:rPr>
          <w:b/>
          <w:spacing w:val="9"/>
          <w:sz w:val="21"/>
        </w:rPr>
        <w:t>投保人、被保险人上述规定行为之一， 致使保险人支付保险金或者支出费用的， </w:t>
      </w:r>
      <w:r>
        <w:rPr>
          <w:b/>
          <w:spacing w:val="13"/>
          <w:sz w:val="21"/>
        </w:rPr>
        <w:t>应当退回或者赔偿。</w:t>
      </w:r>
    </w:p>
    <w:p>
      <w:pPr>
        <w:tabs>
          <w:tab w:pos="2307" w:val="left" w:leader="none"/>
        </w:tabs>
        <w:spacing w:before="155"/>
        <w:ind w:left="924" w:right="0" w:firstLine="0"/>
        <w:jc w:val="left"/>
        <w:rPr>
          <w:sz w:val="21"/>
        </w:rPr>
      </w:pPr>
      <w:r>
        <w:rPr>
          <w:b/>
          <w:spacing w:val="17"/>
          <w:sz w:val="21"/>
        </w:rPr>
        <w:t>第</w:t>
      </w:r>
      <w:r>
        <w:rPr>
          <w:b/>
          <w:spacing w:val="18"/>
          <w:sz w:val="21"/>
        </w:rPr>
        <w:t>二</w:t>
      </w:r>
      <w:r>
        <w:rPr>
          <w:b/>
          <w:spacing w:val="16"/>
          <w:sz w:val="21"/>
        </w:rPr>
        <w:t>十</w:t>
      </w:r>
      <w:r>
        <w:rPr>
          <w:b/>
          <w:spacing w:val="17"/>
          <w:sz w:val="21"/>
        </w:rPr>
        <w:t>二</w:t>
      </w:r>
      <w:r>
        <w:rPr>
          <w:b/>
          <w:sz w:val="21"/>
        </w:rPr>
        <w:t>条</w:t>
        <w:tab/>
      </w:r>
      <w:r>
        <w:rPr>
          <w:sz w:val="21"/>
        </w:rPr>
        <w:t>代位求偿</w:t>
      </w:r>
    </w:p>
    <w:p>
      <w:pPr>
        <w:pStyle w:val="BodyText"/>
        <w:spacing w:line="244" w:lineRule="auto" w:before="161"/>
        <w:ind w:left="501" w:right="492" w:firstLine="420"/>
        <w:jc w:val="both"/>
      </w:pPr>
      <w:r>
        <w:rPr/>
        <w:t>发生保险责任范围内的损失，应由有关责任方负责赔偿的，保险人自向被保险人赔偿保险金之日起，在赔偿金额范围内代位行使被保险人对有关责任方请求赔偿的权利，被保险人应当向保险人提供必要的文件和所知道的有关情况。</w:t>
      </w:r>
    </w:p>
    <w:p>
      <w:pPr>
        <w:pStyle w:val="Heading1"/>
        <w:ind w:left="924"/>
      </w:pPr>
      <w:r>
        <w:rPr/>
        <w:t>被保险人已经从有关责任方取得赔偿的， 保险人赔偿保险金时， 可以相应扣减</w:t>
      </w:r>
    </w:p>
    <w:p>
      <w:pPr>
        <w:spacing w:before="5"/>
        <w:ind w:left="501" w:right="0" w:firstLine="0"/>
        <w:jc w:val="left"/>
        <w:rPr>
          <w:b/>
          <w:sz w:val="21"/>
        </w:rPr>
      </w:pPr>
      <w:r>
        <w:rPr>
          <w:b/>
          <w:sz w:val="21"/>
        </w:rPr>
        <w:t>被保险人已从有关责任方取得的赔偿金额。</w:t>
      </w:r>
    </w:p>
    <w:p>
      <w:pPr>
        <w:spacing w:line="244" w:lineRule="auto" w:before="160"/>
        <w:ind w:left="501" w:right="519" w:firstLine="422"/>
        <w:jc w:val="both"/>
        <w:rPr>
          <w:b/>
          <w:sz w:val="21"/>
        </w:rPr>
      </w:pPr>
      <w:r>
        <w:rPr>
          <w:b/>
          <w:spacing w:val="1"/>
          <w:sz w:val="21"/>
        </w:rPr>
        <w:t>保险事故发生后， 在保险人未赔偿保险金之前， 被保险人放弃对有关责任方请</w:t>
      </w:r>
      <w:r>
        <w:rPr>
          <w:b/>
          <w:spacing w:val="-3"/>
          <w:sz w:val="21"/>
        </w:rPr>
        <w:t>求赔偿权利的， 保险人不承担赔偿责任； 保险人向被保险人赔偿保险金后， 被保险</w:t>
      </w:r>
      <w:r>
        <w:rPr>
          <w:b/>
          <w:spacing w:val="7"/>
          <w:sz w:val="21"/>
        </w:rPr>
        <w:t>人未经保险人同意放弃对有关责任方请求赔偿权利的， 该行为无效； 由于被保险人</w:t>
      </w:r>
      <w:r>
        <w:rPr>
          <w:b/>
          <w:spacing w:val="18"/>
          <w:w w:val="95"/>
          <w:sz w:val="21"/>
        </w:rPr>
        <w:t>故意或者因重大过失致使保险人不能行使代位请求赔偿的权利的， 保险人可以扣减</w:t>
      </w:r>
    </w:p>
    <w:p>
      <w:pPr>
        <w:spacing w:after="0" w:line="244" w:lineRule="auto"/>
        <w:jc w:val="both"/>
        <w:rPr>
          <w:sz w:val="21"/>
        </w:rPr>
        <w:sectPr>
          <w:pgSz w:w="11900" w:h="16840"/>
          <w:pgMar w:top="1400" w:bottom="280" w:left="1300" w:right="1300"/>
        </w:sectPr>
      </w:pPr>
    </w:p>
    <w:p>
      <w:pPr>
        <w:spacing w:line="384" w:lineRule="auto" w:before="60"/>
        <w:ind w:left="924" w:right="5856" w:hanging="422"/>
        <w:jc w:val="both"/>
        <w:rPr>
          <w:sz w:val="21"/>
        </w:rPr>
      </w:pPr>
      <w:r>
        <w:rPr>
          <w:b/>
          <w:sz w:val="21"/>
        </w:rPr>
        <w:t>或者要求返还相应的保险金。第二十三条 </w:t>
      </w:r>
      <w:r>
        <w:rPr>
          <w:sz w:val="21"/>
        </w:rPr>
        <w:t>重复保险</w:t>
      </w:r>
    </w:p>
    <w:p>
      <w:pPr>
        <w:spacing w:line="244" w:lineRule="auto" w:before="0"/>
        <w:ind w:left="501" w:right="499" w:firstLine="420"/>
        <w:jc w:val="both"/>
        <w:rPr>
          <w:b/>
          <w:sz w:val="21"/>
        </w:rPr>
      </w:pPr>
      <w:r>
        <w:rPr>
          <w:sz w:val="21"/>
        </w:rPr>
        <w:t>本保险合同负责赔偿损失、费用或责任时，若另有其他保障相同的保险存在，不论是否由被保险人或他人以其名义投保，也不论该保险赔偿与否， </w:t>
      </w:r>
      <w:r>
        <w:rPr>
          <w:b/>
          <w:sz w:val="21"/>
        </w:rPr>
        <w:t>保险人仅负责按本保险金额与保险金额总和的比例分摊赔偿责任。</w:t>
      </w:r>
    </w:p>
    <w:p>
      <w:pPr>
        <w:spacing w:line="240" w:lineRule="auto" w:before="0"/>
        <w:rPr>
          <w:b/>
          <w:sz w:val="20"/>
        </w:rPr>
      </w:pPr>
    </w:p>
    <w:p>
      <w:pPr>
        <w:spacing w:line="240" w:lineRule="auto" w:before="7"/>
        <w:rPr>
          <w:b/>
          <w:sz w:val="25"/>
        </w:rPr>
      </w:pPr>
    </w:p>
    <w:p>
      <w:pPr>
        <w:pStyle w:val="Heading1"/>
        <w:spacing w:before="0"/>
        <w:ind w:left="482" w:right="487"/>
        <w:jc w:val="center"/>
      </w:pPr>
      <w:r>
        <w:rPr/>
        <w:t>争议处理和法律适用</w:t>
      </w:r>
    </w:p>
    <w:p>
      <w:pPr>
        <w:pStyle w:val="BodyText"/>
        <w:spacing w:line="244" w:lineRule="auto" w:before="161"/>
        <w:ind w:left="501" w:right="492" w:firstLine="422"/>
        <w:jc w:val="both"/>
      </w:pPr>
      <w:r>
        <w:rPr>
          <w:b/>
        </w:rPr>
        <w:t>第二十四条 </w:t>
      </w:r>
      <w:r>
        <w:rPr/>
        <w:t>因履行本保险合同发生的争议，由当事人协商解决。协商不成的，提交保险单载明的仲裁机构仲裁；保险单未载明仲裁机构且争议发生后未达成仲裁协议的，依法向中华人民共和国境内（港澳台地区除外）人民法院起诉。</w:t>
      </w:r>
    </w:p>
    <w:p>
      <w:pPr>
        <w:pStyle w:val="BodyText"/>
        <w:spacing w:line="244" w:lineRule="auto" w:before="154"/>
        <w:ind w:left="501" w:right="513" w:firstLine="422"/>
        <w:jc w:val="both"/>
      </w:pPr>
      <w:r>
        <w:rPr>
          <w:b/>
        </w:rPr>
        <w:t>第二十五条 </w:t>
      </w:r>
      <w:r>
        <w:rPr/>
        <w:t>本保险合同的争议处理适用中华人民共和国法律（不包括港澳台地区法律）。</w:t>
      </w:r>
    </w:p>
    <w:p>
      <w:pPr>
        <w:spacing w:line="240" w:lineRule="auto" w:before="0"/>
        <w:rPr>
          <w:sz w:val="20"/>
        </w:rPr>
      </w:pPr>
    </w:p>
    <w:p>
      <w:pPr>
        <w:spacing w:line="240" w:lineRule="auto" w:before="9"/>
        <w:rPr>
          <w:sz w:val="25"/>
        </w:rPr>
      </w:pPr>
    </w:p>
    <w:p>
      <w:pPr>
        <w:pStyle w:val="Heading1"/>
        <w:spacing w:before="0"/>
        <w:ind w:left="482" w:right="488"/>
        <w:jc w:val="center"/>
      </w:pPr>
      <w:r>
        <w:rPr/>
        <w:t>其他事项</w:t>
      </w:r>
    </w:p>
    <w:p>
      <w:pPr>
        <w:tabs>
          <w:tab w:pos="2271" w:val="left" w:leader="none"/>
        </w:tabs>
        <w:spacing w:before="161"/>
        <w:ind w:left="924" w:right="0" w:firstLine="0"/>
        <w:jc w:val="left"/>
        <w:rPr>
          <w:sz w:val="21"/>
        </w:rPr>
      </w:pPr>
      <w:r>
        <w:rPr>
          <w:b/>
          <w:spacing w:val="17"/>
          <w:sz w:val="21"/>
        </w:rPr>
        <w:t>第</w:t>
      </w:r>
      <w:r>
        <w:rPr>
          <w:b/>
          <w:spacing w:val="18"/>
          <w:sz w:val="21"/>
        </w:rPr>
        <w:t>二</w:t>
      </w:r>
      <w:r>
        <w:rPr>
          <w:b/>
          <w:spacing w:val="16"/>
          <w:sz w:val="21"/>
        </w:rPr>
        <w:t>十</w:t>
      </w:r>
      <w:r>
        <w:rPr>
          <w:b/>
          <w:spacing w:val="17"/>
          <w:sz w:val="21"/>
        </w:rPr>
        <w:t>六</w:t>
      </w:r>
      <w:r>
        <w:rPr>
          <w:b/>
          <w:sz w:val="21"/>
        </w:rPr>
        <w:t>条</w:t>
        <w:tab/>
      </w:r>
      <w:r>
        <w:rPr>
          <w:sz w:val="21"/>
        </w:rPr>
        <w:t>保单注销</w:t>
      </w:r>
    </w:p>
    <w:p>
      <w:pPr>
        <w:spacing w:line="244" w:lineRule="auto" w:before="161"/>
        <w:ind w:left="501" w:right="506" w:firstLine="420"/>
        <w:jc w:val="both"/>
        <w:rPr>
          <w:sz w:val="21"/>
        </w:rPr>
      </w:pPr>
      <w:r>
        <w:rPr>
          <w:spacing w:val="5"/>
          <w:w w:val="95"/>
          <w:sz w:val="21"/>
        </w:rPr>
        <w:t>投保人可随时申请注销本保险合同，</w:t>
      </w:r>
      <w:r>
        <w:rPr>
          <w:b/>
          <w:spacing w:val="19"/>
          <w:w w:val="95"/>
          <w:sz w:val="21"/>
        </w:rPr>
        <w:t>保险人也可提前十五天通知投保人注销保险  </w:t>
      </w:r>
      <w:r>
        <w:rPr>
          <w:b/>
          <w:spacing w:val="20"/>
          <w:sz w:val="21"/>
        </w:rPr>
        <w:t>单</w:t>
      </w:r>
      <w:r>
        <w:rPr>
          <w:sz w:val="21"/>
        </w:rPr>
        <w:t>。保险单已生效期间的保险费，前者按</w:t>
      </w:r>
      <w:r>
        <w:rPr>
          <w:b/>
          <w:spacing w:val="17"/>
          <w:sz w:val="21"/>
        </w:rPr>
        <w:t>附录短期费率表规定的短期费率</w:t>
      </w:r>
      <w:r>
        <w:rPr>
          <w:sz w:val="21"/>
        </w:rPr>
        <w:t>计算，后者</w:t>
      </w:r>
      <w:r>
        <w:rPr>
          <w:b/>
          <w:sz w:val="21"/>
        </w:rPr>
        <w:t>按</w:t>
      </w:r>
      <w:r>
        <w:rPr>
          <w:b/>
          <w:spacing w:val="17"/>
          <w:sz w:val="21"/>
        </w:rPr>
        <w:t>日比例</w:t>
      </w:r>
      <w:r>
        <w:rPr>
          <w:sz w:val="21"/>
        </w:rPr>
        <w:t>计算。</w:t>
      </w:r>
    </w:p>
    <w:p>
      <w:pPr>
        <w:spacing w:line="240" w:lineRule="auto" w:before="0"/>
        <w:rPr>
          <w:sz w:val="20"/>
        </w:rPr>
      </w:pPr>
    </w:p>
    <w:p>
      <w:pPr>
        <w:spacing w:line="240" w:lineRule="auto" w:before="8"/>
        <w:rPr>
          <w:sz w:val="25"/>
        </w:rPr>
      </w:pPr>
    </w:p>
    <w:p>
      <w:pPr>
        <w:pStyle w:val="Heading1"/>
        <w:spacing w:before="0"/>
        <w:ind w:left="482" w:right="487"/>
        <w:jc w:val="center"/>
      </w:pPr>
      <w:r>
        <w:rPr/>
        <w:t>释义</w:t>
      </w:r>
    </w:p>
    <w:p>
      <w:pPr>
        <w:pStyle w:val="BodyText"/>
        <w:spacing w:before="161"/>
        <w:ind w:left="924"/>
      </w:pPr>
      <w:r>
        <w:rPr>
          <w:b/>
        </w:rPr>
        <w:t>【意外事故】</w:t>
      </w:r>
      <w:r>
        <w:rPr/>
        <w:t>指不可预料的并且被保险人无法控制并造成物质损失或人身伤亡的突发</w:t>
      </w:r>
    </w:p>
    <w:p>
      <w:pPr>
        <w:pStyle w:val="BodyText"/>
        <w:spacing w:before="5"/>
        <w:ind w:left="501"/>
      </w:pPr>
      <w:r>
        <w:rPr/>
        <w:t>性事件。</w:t>
      </w:r>
    </w:p>
    <w:p>
      <w:pPr>
        <w:spacing w:line="240" w:lineRule="auto" w:before="0"/>
        <w:rPr>
          <w:sz w:val="20"/>
        </w:rPr>
      </w:pPr>
    </w:p>
    <w:p>
      <w:pPr>
        <w:spacing w:line="240" w:lineRule="auto" w:before="1"/>
        <w:rPr>
          <w:sz w:val="26"/>
        </w:rPr>
      </w:pPr>
    </w:p>
    <w:p>
      <w:pPr>
        <w:pStyle w:val="Heading1"/>
        <w:spacing w:line="384" w:lineRule="auto" w:before="0"/>
        <w:ind w:left="4086" w:right="4093" w:firstLine="228"/>
      </w:pPr>
      <w:r>
        <w:rPr>
          <w:spacing w:val="11"/>
        </w:rPr>
        <w:t>附录： </w:t>
      </w:r>
      <w:r>
        <w:rPr>
          <w:spacing w:val="9"/>
        </w:rPr>
        <w:t>短期费率表</w:t>
      </w:r>
    </w:p>
    <w:tbl>
      <w:tblPr>
        <w:tblW w:w="0" w:type="auto"/>
        <w:jc w:val="left"/>
        <w:tblInd w:w="12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2684"/>
        <w:gridCol w:w="534"/>
        <w:gridCol w:w="534"/>
        <w:gridCol w:w="536"/>
        <w:gridCol w:w="534"/>
        <w:gridCol w:w="532"/>
        <w:gridCol w:w="534"/>
        <w:gridCol w:w="532"/>
        <w:gridCol w:w="532"/>
        <w:gridCol w:w="534"/>
        <w:gridCol w:w="532"/>
        <w:gridCol w:w="532"/>
        <w:gridCol w:w="516"/>
      </w:tblGrid>
      <w:tr>
        <w:trPr>
          <w:trHeight w:val="703" w:hRule="atLeast"/>
        </w:trPr>
        <w:tc>
          <w:tcPr>
            <w:tcW w:w="2684" w:type="dxa"/>
            <w:tcBorders>
              <w:bottom w:val="single" w:sz="4" w:space="0" w:color="000000"/>
            </w:tcBorders>
          </w:tcPr>
          <w:p>
            <w:pPr>
              <w:pStyle w:val="TableParagraph"/>
              <w:ind w:left="169" w:right="155"/>
              <w:rPr>
                <w:sz w:val="21"/>
              </w:rPr>
            </w:pPr>
            <w:r>
              <w:rPr>
                <w:sz w:val="21"/>
              </w:rPr>
              <w:t>保险期间已经过月数（个</w:t>
            </w:r>
          </w:p>
          <w:p>
            <w:pPr>
              <w:pStyle w:val="TableParagraph"/>
              <w:spacing w:line="240" w:lineRule="auto" w:before="5"/>
              <w:ind w:left="167" w:right="155"/>
              <w:rPr>
                <w:sz w:val="21"/>
              </w:rPr>
            </w:pPr>
            <w:r>
              <w:rPr>
                <w:sz w:val="21"/>
              </w:rPr>
              <w:t>月）</w:t>
            </w:r>
          </w:p>
        </w:tc>
        <w:tc>
          <w:tcPr>
            <w:tcW w:w="534" w:type="dxa"/>
            <w:tcBorders>
              <w:bottom w:val="single" w:sz="4" w:space="0" w:color="000000"/>
            </w:tcBorders>
          </w:tcPr>
          <w:p>
            <w:pPr>
              <w:pStyle w:val="TableParagraph"/>
              <w:spacing w:line="240" w:lineRule="auto" w:before="135"/>
              <w:ind w:right="201"/>
              <w:jc w:val="right"/>
              <w:rPr>
                <w:sz w:val="21"/>
              </w:rPr>
            </w:pPr>
            <w:r>
              <w:rPr>
                <w:sz w:val="21"/>
              </w:rPr>
              <w:t>1</w:t>
            </w:r>
          </w:p>
        </w:tc>
        <w:tc>
          <w:tcPr>
            <w:tcW w:w="534" w:type="dxa"/>
            <w:tcBorders>
              <w:bottom w:val="single" w:sz="4" w:space="0" w:color="000000"/>
            </w:tcBorders>
          </w:tcPr>
          <w:p>
            <w:pPr>
              <w:pStyle w:val="TableParagraph"/>
              <w:spacing w:line="240" w:lineRule="auto" w:before="135"/>
              <w:ind w:left="217"/>
              <w:jc w:val="left"/>
              <w:rPr>
                <w:sz w:val="21"/>
              </w:rPr>
            </w:pPr>
            <w:r>
              <w:rPr>
                <w:sz w:val="21"/>
              </w:rPr>
              <w:t>2</w:t>
            </w:r>
          </w:p>
        </w:tc>
        <w:tc>
          <w:tcPr>
            <w:tcW w:w="536" w:type="dxa"/>
            <w:tcBorders>
              <w:bottom w:val="single" w:sz="4" w:space="0" w:color="000000"/>
            </w:tcBorders>
          </w:tcPr>
          <w:p>
            <w:pPr>
              <w:pStyle w:val="TableParagraph"/>
              <w:spacing w:line="240" w:lineRule="auto" w:before="135"/>
              <w:ind w:left="13"/>
              <w:rPr>
                <w:sz w:val="21"/>
              </w:rPr>
            </w:pPr>
            <w:r>
              <w:rPr>
                <w:sz w:val="21"/>
              </w:rPr>
              <w:t>3</w:t>
            </w:r>
          </w:p>
        </w:tc>
        <w:tc>
          <w:tcPr>
            <w:tcW w:w="534" w:type="dxa"/>
            <w:tcBorders>
              <w:bottom w:val="single" w:sz="4" w:space="0" w:color="000000"/>
            </w:tcBorders>
          </w:tcPr>
          <w:p>
            <w:pPr>
              <w:pStyle w:val="TableParagraph"/>
              <w:spacing w:line="240" w:lineRule="auto" w:before="135"/>
              <w:ind w:left="11"/>
              <w:rPr>
                <w:sz w:val="21"/>
              </w:rPr>
            </w:pPr>
            <w:r>
              <w:rPr>
                <w:sz w:val="21"/>
              </w:rPr>
              <w:t>4</w:t>
            </w:r>
          </w:p>
        </w:tc>
        <w:tc>
          <w:tcPr>
            <w:tcW w:w="532" w:type="dxa"/>
            <w:tcBorders>
              <w:bottom w:val="single" w:sz="4" w:space="0" w:color="000000"/>
            </w:tcBorders>
          </w:tcPr>
          <w:p>
            <w:pPr>
              <w:pStyle w:val="TableParagraph"/>
              <w:spacing w:line="240" w:lineRule="auto" w:before="135"/>
              <w:ind w:left="215"/>
              <w:jc w:val="left"/>
              <w:rPr>
                <w:sz w:val="21"/>
              </w:rPr>
            </w:pPr>
            <w:r>
              <w:rPr>
                <w:sz w:val="21"/>
              </w:rPr>
              <w:t>5</w:t>
            </w:r>
          </w:p>
        </w:tc>
        <w:tc>
          <w:tcPr>
            <w:tcW w:w="534" w:type="dxa"/>
            <w:tcBorders>
              <w:bottom w:val="single" w:sz="4" w:space="0" w:color="000000"/>
            </w:tcBorders>
          </w:tcPr>
          <w:p>
            <w:pPr>
              <w:pStyle w:val="TableParagraph"/>
              <w:spacing w:line="240" w:lineRule="auto" w:before="135"/>
              <w:ind w:left="11"/>
              <w:rPr>
                <w:sz w:val="21"/>
              </w:rPr>
            </w:pPr>
            <w:r>
              <w:rPr>
                <w:sz w:val="21"/>
              </w:rPr>
              <w:t>6</w:t>
            </w:r>
          </w:p>
        </w:tc>
        <w:tc>
          <w:tcPr>
            <w:tcW w:w="532" w:type="dxa"/>
            <w:tcBorders>
              <w:bottom w:val="single" w:sz="4" w:space="0" w:color="000000"/>
            </w:tcBorders>
          </w:tcPr>
          <w:p>
            <w:pPr>
              <w:pStyle w:val="TableParagraph"/>
              <w:spacing w:line="240" w:lineRule="auto" w:before="135"/>
              <w:ind w:left="13"/>
              <w:rPr>
                <w:sz w:val="21"/>
              </w:rPr>
            </w:pPr>
            <w:r>
              <w:rPr>
                <w:sz w:val="21"/>
              </w:rPr>
              <w:t>7</w:t>
            </w:r>
          </w:p>
        </w:tc>
        <w:tc>
          <w:tcPr>
            <w:tcW w:w="532" w:type="dxa"/>
            <w:tcBorders>
              <w:bottom w:val="single" w:sz="4" w:space="0" w:color="000000"/>
            </w:tcBorders>
          </w:tcPr>
          <w:p>
            <w:pPr>
              <w:pStyle w:val="TableParagraph"/>
              <w:spacing w:line="240" w:lineRule="auto" w:before="135"/>
              <w:ind w:left="215"/>
              <w:jc w:val="left"/>
              <w:rPr>
                <w:sz w:val="21"/>
              </w:rPr>
            </w:pPr>
            <w:r>
              <w:rPr>
                <w:sz w:val="21"/>
              </w:rPr>
              <w:t>8</w:t>
            </w:r>
          </w:p>
        </w:tc>
        <w:tc>
          <w:tcPr>
            <w:tcW w:w="534" w:type="dxa"/>
            <w:tcBorders>
              <w:bottom w:val="single" w:sz="4" w:space="0" w:color="000000"/>
            </w:tcBorders>
          </w:tcPr>
          <w:p>
            <w:pPr>
              <w:pStyle w:val="TableParagraph"/>
              <w:spacing w:line="240" w:lineRule="auto" w:before="135"/>
              <w:ind w:left="15"/>
              <w:rPr>
                <w:sz w:val="21"/>
              </w:rPr>
            </w:pPr>
            <w:r>
              <w:rPr>
                <w:sz w:val="21"/>
              </w:rPr>
              <w:t>9</w:t>
            </w:r>
          </w:p>
        </w:tc>
        <w:tc>
          <w:tcPr>
            <w:tcW w:w="532" w:type="dxa"/>
            <w:tcBorders>
              <w:bottom w:val="single" w:sz="4" w:space="0" w:color="000000"/>
            </w:tcBorders>
          </w:tcPr>
          <w:p>
            <w:pPr>
              <w:pStyle w:val="TableParagraph"/>
              <w:spacing w:line="240" w:lineRule="auto" w:before="135"/>
              <w:ind w:left="142" w:right="128"/>
              <w:rPr>
                <w:sz w:val="21"/>
              </w:rPr>
            </w:pPr>
            <w:r>
              <w:rPr>
                <w:sz w:val="21"/>
              </w:rPr>
              <w:t>10</w:t>
            </w:r>
          </w:p>
        </w:tc>
        <w:tc>
          <w:tcPr>
            <w:tcW w:w="532" w:type="dxa"/>
            <w:tcBorders>
              <w:bottom w:val="single" w:sz="4" w:space="0" w:color="000000"/>
            </w:tcBorders>
          </w:tcPr>
          <w:p>
            <w:pPr>
              <w:pStyle w:val="TableParagraph"/>
              <w:spacing w:line="240" w:lineRule="auto" w:before="135"/>
              <w:ind w:left="141" w:right="129"/>
              <w:rPr>
                <w:sz w:val="21"/>
              </w:rPr>
            </w:pPr>
            <w:r>
              <w:rPr>
                <w:sz w:val="21"/>
              </w:rPr>
              <w:t>11</w:t>
            </w:r>
          </w:p>
        </w:tc>
        <w:tc>
          <w:tcPr>
            <w:tcW w:w="516" w:type="dxa"/>
            <w:tcBorders>
              <w:bottom w:val="single" w:sz="4" w:space="0" w:color="000000"/>
            </w:tcBorders>
          </w:tcPr>
          <w:p>
            <w:pPr>
              <w:pStyle w:val="TableParagraph"/>
              <w:spacing w:line="240" w:lineRule="auto" w:before="135"/>
              <w:ind w:right="138"/>
              <w:jc w:val="right"/>
              <w:rPr>
                <w:sz w:val="21"/>
              </w:rPr>
            </w:pPr>
            <w:r>
              <w:rPr>
                <w:sz w:val="21"/>
              </w:rPr>
              <w:t>12</w:t>
            </w:r>
          </w:p>
        </w:tc>
      </w:tr>
      <w:tr>
        <w:trPr>
          <w:trHeight w:val="430" w:hRule="atLeast"/>
        </w:trPr>
        <w:tc>
          <w:tcPr>
            <w:tcW w:w="2684" w:type="dxa"/>
            <w:tcBorders>
              <w:top w:val="single" w:sz="4" w:space="0" w:color="000000"/>
              <w:bottom w:val="single" w:sz="4" w:space="0" w:color="000000"/>
            </w:tcBorders>
          </w:tcPr>
          <w:p>
            <w:pPr>
              <w:pStyle w:val="TableParagraph"/>
              <w:ind w:left="399"/>
              <w:jc w:val="left"/>
              <w:rPr>
                <w:sz w:val="21"/>
              </w:rPr>
            </w:pPr>
            <w:r>
              <w:rPr>
                <w:sz w:val="21"/>
              </w:rPr>
              <w:t>年费率的比例（％）</w:t>
            </w:r>
          </w:p>
        </w:tc>
        <w:tc>
          <w:tcPr>
            <w:tcW w:w="534" w:type="dxa"/>
            <w:tcBorders>
              <w:top w:val="single" w:sz="4" w:space="0" w:color="000000"/>
              <w:bottom w:val="single" w:sz="4" w:space="0" w:color="000000"/>
            </w:tcBorders>
          </w:tcPr>
          <w:p>
            <w:pPr>
              <w:pStyle w:val="TableParagraph"/>
              <w:ind w:right="148"/>
              <w:jc w:val="right"/>
              <w:rPr>
                <w:sz w:val="21"/>
              </w:rPr>
            </w:pPr>
            <w:r>
              <w:rPr>
                <w:sz w:val="21"/>
              </w:rPr>
              <w:t>10</w:t>
            </w:r>
          </w:p>
        </w:tc>
        <w:tc>
          <w:tcPr>
            <w:tcW w:w="534" w:type="dxa"/>
            <w:tcBorders>
              <w:top w:val="single" w:sz="4" w:space="0" w:color="000000"/>
              <w:bottom w:val="single" w:sz="4" w:space="0" w:color="000000"/>
            </w:tcBorders>
          </w:tcPr>
          <w:p>
            <w:pPr>
              <w:pStyle w:val="TableParagraph"/>
              <w:ind w:left="163"/>
              <w:jc w:val="left"/>
              <w:rPr>
                <w:sz w:val="21"/>
              </w:rPr>
            </w:pPr>
            <w:r>
              <w:rPr>
                <w:sz w:val="21"/>
              </w:rPr>
              <w:t>20</w:t>
            </w:r>
          </w:p>
        </w:tc>
        <w:tc>
          <w:tcPr>
            <w:tcW w:w="536" w:type="dxa"/>
            <w:tcBorders>
              <w:top w:val="single" w:sz="4" w:space="0" w:color="000000"/>
              <w:bottom w:val="single" w:sz="4" w:space="0" w:color="000000"/>
            </w:tcBorders>
          </w:tcPr>
          <w:p>
            <w:pPr>
              <w:pStyle w:val="TableParagraph"/>
              <w:ind w:left="145" w:right="131"/>
              <w:rPr>
                <w:sz w:val="21"/>
              </w:rPr>
            </w:pPr>
            <w:r>
              <w:rPr>
                <w:sz w:val="21"/>
              </w:rPr>
              <w:t>30</w:t>
            </w:r>
          </w:p>
        </w:tc>
        <w:tc>
          <w:tcPr>
            <w:tcW w:w="534" w:type="dxa"/>
            <w:tcBorders>
              <w:top w:val="single" w:sz="4" w:space="0" w:color="000000"/>
              <w:bottom w:val="single" w:sz="4" w:space="0" w:color="000000"/>
            </w:tcBorders>
          </w:tcPr>
          <w:p>
            <w:pPr>
              <w:pStyle w:val="TableParagraph"/>
              <w:ind w:left="142" w:right="130"/>
              <w:rPr>
                <w:sz w:val="21"/>
              </w:rPr>
            </w:pPr>
            <w:r>
              <w:rPr>
                <w:sz w:val="21"/>
              </w:rPr>
              <w:t>40</w:t>
            </w:r>
          </w:p>
        </w:tc>
        <w:tc>
          <w:tcPr>
            <w:tcW w:w="532" w:type="dxa"/>
            <w:tcBorders>
              <w:top w:val="single" w:sz="4" w:space="0" w:color="000000"/>
              <w:bottom w:val="single" w:sz="4" w:space="0" w:color="000000"/>
            </w:tcBorders>
          </w:tcPr>
          <w:p>
            <w:pPr>
              <w:pStyle w:val="TableParagraph"/>
              <w:ind w:left="161"/>
              <w:jc w:val="left"/>
              <w:rPr>
                <w:sz w:val="21"/>
              </w:rPr>
            </w:pPr>
            <w:r>
              <w:rPr>
                <w:sz w:val="21"/>
              </w:rPr>
              <w:t>50</w:t>
            </w:r>
          </w:p>
        </w:tc>
        <w:tc>
          <w:tcPr>
            <w:tcW w:w="534" w:type="dxa"/>
            <w:tcBorders>
              <w:top w:val="single" w:sz="4" w:space="0" w:color="000000"/>
              <w:bottom w:val="single" w:sz="4" w:space="0" w:color="000000"/>
            </w:tcBorders>
          </w:tcPr>
          <w:p>
            <w:pPr>
              <w:pStyle w:val="TableParagraph"/>
              <w:ind w:left="143" w:right="130"/>
              <w:rPr>
                <w:sz w:val="21"/>
              </w:rPr>
            </w:pPr>
            <w:r>
              <w:rPr>
                <w:sz w:val="21"/>
              </w:rPr>
              <w:t>60</w:t>
            </w:r>
          </w:p>
        </w:tc>
        <w:tc>
          <w:tcPr>
            <w:tcW w:w="532" w:type="dxa"/>
            <w:tcBorders>
              <w:top w:val="single" w:sz="4" w:space="0" w:color="000000"/>
              <w:bottom w:val="single" w:sz="4" w:space="0" w:color="000000"/>
            </w:tcBorders>
          </w:tcPr>
          <w:p>
            <w:pPr>
              <w:pStyle w:val="TableParagraph"/>
              <w:ind w:left="141" w:right="129"/>
              <w:rPr>
                <w:sz w:val="21"/>
              </w:rPr>
            </w:pPr>
            <w:r>
              <w:rPr>
                <w:sz w:val="21"/>
              </w:rPr>
              <w:t>70</w:t>
            </w:r>
          </w:p>
        </w:tc>
        <w:tc>
          <w:tcPr>
            <w:tcW w:w="532" w:type="dxa"/>
            <w:tcBorders>
              <w:top w:val="single" w:sz="4" w:space="0" w:color="000000"/>
              <w:bottom w:val="single" w:sz="4" w:space="0" w:color="000000"/>
            </w:tcBorders>
          </w:tcPr>
          <w:p>
            <w:pPr>
              <w:pStyle w:val="TableParagraph"/>
              <w:ind w:left="162"/>
              <w:jc w:val="left"/>
              <w:rPr>
                <w:sz w:val="21"/>
              </w:rPr>
            </w:pPr>
            <w:r>
              <w:rPr>
                <w:sz w:val="21"/>
              </w:rPr>
              <w:t>80</w:t>
            </w:r>
          </w:p>
        </w:tc>
        <w:tc>
          <w:tcPr>
            <w:tcW w:w="534" w:type="dxa"/>
            <w:tcBorders>
              <w:top w:val="single" w:sz="4" w:space="0" w:color="000000"/>
              <w:bottom w:val="single" w:sz="4" w:space="0" w:color="000000"/>
            </w:tcBorders>
          </w:tcPr>
          <w:p>
            <w:pPr>
              <w:pStyle w:val="TableParagraph"/>
              <w:ind w:left="143" w:right="130"/>
              <w:rPr>
                <w:sz w:val="21"/>
              </w:rPr>
            </w:pPr>
            <w:r>
              <w:rPr>
                <w:sz w:val="21"/>
              </w:rPr>
              <w:t>85</w:t>
            </w:r>
          </w:p>
        </w:tc>
        <w:tc>
          <w:tcPr>
            <w:tcW w:w="532" w:type="dxa"/>
            <w:tcBorders>
              <w:top w:val="single" w:sz="4" w:space="0" w:color="000000"/>
              <w:bottom w:val="single" w:sz="4" w:space="0" w:color="000000"/>
            </w:tcBorders>
          </w:tcPr>
          <w:p>
            <w:pPr>
              <w:pStyle w:val="TableParagraph"/>
              <w:ind w:left="142" w:right="128"/>
              <w:rPr>
                <w:sz w:val="21"/>
              </w:rPr>
            </w:pPr>
            <w:r>
              <w:rPr>
                <w:sz w:val="21"/>
              </w:rPr>
              <w:t>90</w:t>
            </w:r>
          </w:p>
        </w:tc>
        <w:tc>
          <w:tcPr>
            <w:tcW w:w="532" w:type="dxa"/>
            <w:tcBorders>
              <w:top w:val="single" w:sz="4" w:space="0" w:color="000000"/>
              <w:bottom w:val="single" w:sz="4" w:space="0" w:color="000000"/>
            </w:tcBorders>
          </w:tcPr>
          <w:p>
            <w:pPr>
              <w:pStyle w:val="TableParagraph"/>
              <w:ind w:left="142" w:right="128"/>
              <w:rPr>
                <w:sz w:val="21"/>
              </w:rPr>
            </w:pPr>
            <w:r>
              <w:rPr>
                <w:sz w:val="21"/>
              </w:rPr>
              <w:t>95</w:t>
            </w:r>
          </w:p>
        </w:tc>
        <w:tc>
          <w:tcPr>
            <w:tcW w:w="516" w:type="dxa"/>
            <w:tcBorders>
              <w:top w:val="single" w:sz="4" w:space="0" w:color="000000"/>
              <w:bottom w:val="single" w:sz="4" w:space="0" w:color="000000"/>
            </w:tcBorders>
          </w:tcPr>
          <w:p>
            <w:pPr>
              <w:pStyle w:val="TableParagraph"/>
              <w:ind w:right="86"/>
              <w:jc w:val="right"/>
              <w:rPr>
                <w:sz w:val="21"/>
              </w:rPr>
            </w:pPr>
            <w:r>
              <w:rPr>
                <w:sz w:val="21"/>
              </w:rPr>
              <w:t>100</w:t>
            </w:r>
          </w:p>
        </w:tc>
      </w:tr>
    </w:tbl>
    <w:p>
      <w:pPr>
        <w:spacing w:before="0"/>
        <w:ind w:left="501" w:right="0" w:firstLine="0"/>
        <w:jc w:val="left"/>
        <w:rPr>
          <w:b/>
          <w:sz w:val="21"/>
        </w:rPr>
      </w:pPr>
      <w:r>
        <w:rPr>
          <w:b/>
          <w:sz w:val="21"/>
        </w:rPr>
        <w:t>（注：保险期间已经过月数不足一月的按一月计算）。</w:t>
      </w:r>
    </w:p>
    <w:sectPr>
      <w:pgSz w:w="11900" w:h="16840"/>
      <w:pgMar w:top="14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2" w:hanging="350"/>
        <w:jc w:val="left"/>
      </w:pPr>
      <w:rPr>
        <w:rFonts w:hint="default" w:ascii="宋体" w:hAnsi="宋体" w:eastAsia="宋体" w:cs="宋体"/>
        <w:b/>
        <w:bCs/>
        <w:spacing w:val="-87"/>
        <w:w w:val="99"/>
        <w:sz w:val="19"/>
        <w:szCs w:val="19"/>
        <w:lang w:val="zh-CN" w:eastAsia="zh-CN" w:bidi="zh-CN"/>
      </w:rPr>
    </w:lvl>
    <w:lvl w:ilvl="1">
      <w:start w:val="0"/>
      <w:numFmt w:val="bullet"/>
      <w:lvlText w:val="•"/>
      <w:lvlJc w:val="left"/>
      <w:pPr>
        <w:ind w:left="1380" w:hanging="350"/>
      </w:pPr>
      <w:rPr>
        <w:rFonts w:hint="default"/>
        <w:lang w:val="zh-CN" w:eastAsia="zh-CN" w:bidi="zh-CN"/>
      </w:rPr>
    </w:lvl>
    <w:lvl w:ilvl="2">
      <w:start w:val="0"/>
      <w:numFmt w:val="bullet"/>
      <w:lvlText w:val="•"/>
      <w:lvlJc w:val="left"/>
      <w:pPr>
        <w:ind w:left="2260" w:hanging="350"/>
      </w:pPr>
      <w:rPr>
        <w:rFonts w:hint="default"/>
        <w:lang w:val="zh-CN" w:eastAsia="zh-CN" w:bidi="zh-CN"/>
      </w:rPr>
    </w:lvl>
    <w:lvl w:ilvl="3">
      <w:start w:val="0"/>
      <w:numFmt w:val="bullet"/>
      <w:lvlText w:val="•"/>
      <w:lvlJc w:val="left"/>
      <w:pPr>
        <w:ind w:left="3140" w:hanging="350"/>
      </w:pPr>
      <w:rPr>
        <w:rFonts w:hint="default"/>
        <w:lang w:val="zh-CN" w:eastAsia="zh-CN" w:bidi="zh-CN"/>
      </w:rPr>
    </w:lvl>
    <w:lvl w:ilvl="4">
      <w:start w:val="0"/>
      <w:numFmt w:val="bullet"/>
      <w:lvlText w:val="•"/>
      <w:lvlJc w:val="left"/>
      <w:pPr>
        <w:ind w:left="4020" w:hanging="350"/>
      </w:pPr>
      <w:rPr>
        <w:rFonts w:hint="default"/>
        <w:lang w:val="zh-CN" w:eastAsia="zh-CN" w:bidi="zh-CN"/>
      </w:rPr>
    </w:lvl>
    <w:lvl w:ilvl="5">
      <w:start w:val="0"/>
      <w:numFmt w:val="bullet"/>
      <w:lvlText w:val="•"/>
      <w:lvlJc w:val="left"/>
      <w:pPr>
        <w:ind w:left="4900" w:hanging="350"/>
      </w:pPr>
      <w:rPr>
        <w:rFonts w:hint="default"/>
        <w:lang w:val="zh-CN" w:eastAsia="zh-CN" w:bidi="zh-CN"/>
      </w:rPr>
    </w:lvl>
    <w:lvl w:ilvl="6">
      <w:start w:val="0"/>
      <w:numFmt w:val="bullet"/>
      <w:lvlText w:val="•"/>
      <w:lvlJc w:val="left"/>
      <w:pPr>
        <w:ind w:left="5780" w:hanging="350"/>
      </w:pPr>
      <w:rPr>
        <w:rFonts w:hint="default"/>
        <w:lang w:val="zh-CN" w:eastAsia="zh-CN" w:bidi="zh-CN"/>
      </w:rPr>
    </w:lvl>
    <w:lvl w:ilvl="7">
      <w:start w:val="0"/>
      <w:numFmt w:val="bullet"/>
      <w:lvlText w:val="•"/>
      <w:lvlJc w:val="left"/>
      <w:pPr>
        <w:ind w:left="6660" w:hanging="350"/>
      </w:pPr>
      <w:rPr>
        <w:rFonts w:hint="default"/>
        <w:lang w:val="zh-CN" w:eastAsia="zh-CN" w:bidi="zh-CN"/>
      </w:rPr>
    </w:lvl>
    <w:lvl w:ilvl="8">
      <w:start w:val="0"/>
      <w:numFmt w:val="bullet"/>
      <w:lvlText w:val="•"/>
      <w:lvlJc w:val="left"/>
      <w:pPr>
        <w:ind w:left="7540" w:hanging="350"/>
      </w:pPr>
      <w:rPr>
        <w:rFonts w:hint="default"/>
        <w:lang w:val="zh-CN" w:eastAsia="zh-CN" w:bidi="zh-CN"/>
      </w:rPr>
    </w:lvl>
  </w:abstractNum>
  <w:abstractNum w:abstractNumId="0">
    <w:multiLevelType w:val="hybridMultilevel"/>
    <w:lvl w:ilvl="0">
      <w:start w:val="1"/>
      <w:numFmt w:val="decimal"/>
      <w:lvlText w:val="%1."/>
      <w:lvlJc w:val="left"/>
      <w:pPr>
        <w:ind w:left="1273" w:hanging="350"/>
        <w:jc w:val="left"/>
      </w:pPr>
      <w:rPr>
        <w:rFonts w:hint="default" w:ascii="宋体" w:hAnsi="宋体" w:eastAsia="宋体" w:cs="宋体"/>
        <w:b/>
        <w:bCs/>
        <w:spacing w:val="-87"/>
        <w:w w:val="99"/>
        <w:sz w:val="19"/>
        <w:szCs w:val="19"/>
        <w:lang w:val="zh-CN" w:eastAsia="zh-CN" w:bidi="zh-CN"/>
      </w:rPr>
    </w:lvl>
    <w:lvl w:ilvl="1">
      <w:start w:val="0"/>
      <w:numFmt w:val="bullet"/>
      <w:lvlText w:val="•"/>
      <w:lvlJc w:val="left"/>
      <w:pPr>
        <w:ind w:left="2082" w:hanging="350"/>
      </w:pPr>
      <w:rPr>
        <w:rFonts w:hint="default"/>
        <w:lang w:val="zh-CN" w:eastAsia="zh-CN" w:bidi="zh-CN"/>
      </w:rPr>
    </w:lvl>
    <w:lvl w:ilvl="2">
      <w:start w:val="0"/>
      <w:numFmt w:val="bullet"/>
      <w:lvlText w:val="•"/>
      <w:lvlJc w:val="left"/>
      <w:pPr>
        <w:ind w:left="2884" w:hanging="350"/>
      </w:pPr>
      <w:rPr>
        <w:rFonts w:hint="default"/>
        <w:lang w:val="zh-CN" w:eastAsia="zh-CN" w:bidi="zh-CN"/>
      </w:rPr>
    </w:lvl>
    <w:lvl w:ilvl="3">
      <w:start w:val="0"/>
      <w:numFmt w:val="bullet"/>
      <w:lvlText w:val="•"/>
      <w:lvlJc w:val="left"/>
      <w:pPr>
        <w:ind w:left="3686" w:hanging="350"/>
      </w:pPr>
      <w:rPr>
        <w:rFonts w:hint="default"/>
        <w:lang w:val="zh-CN" w:eastAsia="zh-CN" w:bidi="zh-CN"/>
      </w:rPr>
    </w:lvl>
    <w:lvl w:ilvl="4">
      <w:start w:val="0"/>
      <w:numFmt w:val="bullet"/>
      <w:lvlText w:val="•"/>
      <w:lvlJc w:val="left"/>
      <w:pPr>
        <w:ind w:left="4488" w:hanging="350"/>
      </w:pPr>
      <w:rPr>
        <w:rFonts w:hint="default"/>
        <w:lang w:val="zh-CN" w:eastAsia="zh-CN" w:bidi="zh-CN"/>
      </w:rPr>
    </w:lvl>
    <w:lvl w:ilvl="5">
      <w:start w:val="0"/>
      <w:numFmt w:val="bullet"/>
      <w:lvlText w:val="•"/>
      <w:lvlJc w:val="left"/>
      <w:pPr>
        <w:ind w:left="5290" w:hanging="350"/>
      </w:pPr>
      <w:rPr>
        <w:rFonts w:hint="default"/>
        <w:lang w:val="zh-CN" w:eastAsia="zh-CN" w:bidi="zh-CN"/>
      </w:rPr>
    </w:lvl>
    <w:lvl w:ilvl="6">
      <w:start w:val="0"/>
      <w:numFmt w:val="bullet"/>
      <w:lvlText w:val="•"/>
      <w:lvlJc w:val="left"/>
      <w:pPr>
        <w:ind w:left="6092" w:hanging="350"/>
      </w:pPr>
      <w:rPr>
        <w:rFonts w:hint="default"/>
        <w:lang w:val="zh-CN" w:eastAsia="zh-CN" w:bidi="zh-CN"/>
      </w:rPr>
    </w:lvl>
    <w:lvl w:ilvl="7">
      <w:start w:val="0"/>
      <w:numFmt w:val="bullet"/>
      <w:lvlText w:val="•"/>
      <w:lvlJc w:val="left"/>
      <w:pPr>
        <w:ind w:left="6894" w:hanging="350"/>
      </w:pPr>
      <w:rPr>
        <w:rFonts w:hint="default"/>
        <w:lang w:val="zh-CN" w:eastAsia="zh-CN" w:bidi="zh-CN"/>
      </w:rPr>
    </w:lvl>
    <w:lvl w:ilvl="8">
      <w:start w:val="0"/>
      <w:numFmt w:val="bullet"/>
      <w:lvlText w:val="•"/>
      <w:lvlJc w:val="left"/>
      <w:pPr>
        <w:ind w:left="7696" w:hanging="350"/>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Heading1" w:type="paragraph">
    <w:name w:val="Heading 1"/>
    <w:basedOn w:val="Normal"/>
    <w:uiPriority w:val="1"/>
    <w:qFormat/>
    <w:pPr>
      <w:spacing w:before="155"/>
      <w:ind w:left="501"/>
      <w:outlineLvl w:val="1"/>
    </w:pPr>
    <w:rPr>
      <w:rFonts w:ascii="宋体" w:hAnsi="宋体" w:eastAsia="宋体" w:cs="宋体"/>
      <w:b/>
      <w:bCs/>
      <w:sz w:val="21"/>
      <w:szCs w:val="21"/>
      <w:lang w:val="zh-CN" w:eastAsia="zh-CN" w:bidi="zh-CN"/>
    </w:rPr>
  </w:style>
  <w:style w:styleId="ListParagraph" w:type="paragraph">
    <w:name w:val="List Paragraph"/>
    <w:basedOn w:val="Normal"/>
    <w:uiPriority w:val="1"/>
    <w:qFormat/>
    <w:pPr>
      <w:spacing w:before="161"/>
      <w:ind w:left="1273" w:hanging="350"/>
    </w:pPr>
    <w:rPr>
      <w:rFonts w:ascii="宋体" w:hAnsi="宋体" w:eastAsia="宋体" w:cs="宋体"/>
      <w:lang w:val="zh-CN" w:eastAsia="zh-CN" w:bidi="zh-CN"/>
    </w:rPr>
  </w:style>
  <w:style w:styleId="TableParagraph" w:type="paragraph">
    <w:name w:val="Table Paragraph"/>
    <w:basedOn w:val="Normal"/>
    <w:uiPriority w:val="1"/>
    <w:qFormat/>
    <w:pPr>
      <w:spacing w:line="269" w:lineRule="exact"/>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2021-06-08T03:24:34Z</dcterms:created>
  <dcterms:modified xsi:type="dcterms:W3CDTF">2021-06-08T03:24:34Z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Writer</vt:lpwstr>
  </property>
  <property fmtid="{D5CDD505-2E9C-101B-9397-08002B2CF9AE}" pid="4" name="LastSaved">
    <vt:filetime>2021-06-08T00:00:00Z</vt:filetime>
  </property>
</Properties>
</file>