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jc w:val="center"/>
        <w:rPr>
          <w:rFonts w:asciiTheme="minorEastAsia" w:hAnsiTheme="minorEastAsia"/>
          <w:b/>
          <w:color w:val="000000" w:themeColor="text1"/>
          <w:sz w:val="24"/>
          <w:szCs w:val="24"/>
          <w14:textFill>
            <w14:solidFill>
              <w14:schemeClr w14:val="tx1"/>
            </w14:solidFill>
          </w14:textFill>
        </w:rPr>
      </w:pPr>
      <w:bookmarkStart w:id="0" w:name="_GoBack"/>
      <w:bookmarkEnd w:id="0"/>
      <w:r>
        <w:rPr>
          <w:rFonts w:asciiTheme="minorEastAsia" w:hAnsiTheme="minorEastAsia"/>
          <w:b/>
          <w:color w:val="000000" w:themeColor="text1"/>
          <w:sz w:val="24"/>
          <w:szCs w:val="24"/>
          <w14:textFill>
            <w14:solidFill>
              <w14:schemeClr w14:val="tx1"/>
            </w14:solidFill>
          </w14:textFill>
        </w:rPr>
        <w:t>永诚财产保险股份有限公司</w:t>
      </w:r>
    </w:p>
    <w:p>
      <w:pPr>
        <w:snapToGrid w:val="0"/>
        <w:spacing w:after="156" w:afterLines="50"/>
        <w:jc w:val="center"/>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团体人身意外伤害保险条款</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产品注册号：C00006832312018121710681</w:t>
      </w:r>
    </w:p>
    <w:p>
      <w:pPr>
        <w:spacing w:after="156" w:afterLines="50"/>
        <w:jc w:val="center"/>
        <w:rPr>
          <w:rFonts w:asciiTheme="minorEastAsia" w:hAnsiTheme="minorEastAsia"/>
          <w:b/>
          <w:bCs/>
          <w:color w:val="000000" w:themeColor="text1"/>
          <w:szCs w:val="21"/>
          <w14:textFill>
            <w14:solidFill>
              <w14:schemeClr w14:val="tx1"/>
            </w14:solidFill>
          </w14:textFill>
        </w:rPr>
      </w:pP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总则</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第一条</w:t>
      </w:r>
      <w:r>
        <w:rPr>
          <w:rFonts w:hint="eastAsia" w:asciiTheme="minorEastAsia" w:hAnsiTheme="minorEastAsia"/>
          <w:color w:val="000000" w:themeColor="text1"/>
          <w:szCs w:val="21"/>
          <w14:textFill>
            <w14:solidFill>
              <w14:schemeClr w14:val="tx1"/>
            </w14:solidFill>
          </w14:textFill>
        </w:rPr>
        <w:t xml:space="preserve">  本保险合同由保险条款、投保单、保险单、保险凭证以及批单等组成。凡涉及本保险合同的约定，均应采用书面形式。</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第二条  </w:t>
      </w:r>
      <w:r>
        <w:rPr>
          <w:rFonts w:hint="eastAsia" w:asciiTheme="minorEastAsia" w:hAnsiTheme="minorEastAsia"/>
          <w:color w:val="000000" w:themeColor="text1"/>
          <w:szCs w:val="21"/>
          <w14:textFill>
            <w14:solidFill>
              <w14:schemeClr w14:val="tx1"/>
            </w14:solidFill>
          </w14:textFill>
        </w:rPr>
        <w:t>本保险合同的被保险人应为年满16周岁（含16周岁）至65周岁（含65周岁）、身体健康、能正常工作或正常劳动的自然人，但合同另有约定的除外。</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第三条</w:t>
      </w:r>
      <w:r>
        <w:rPr>
          <w:rFonts w:hint="eastAsia" w:asciiTheme="minorEastAsia" w:hAnsiTheme="minorEastAsia"/>
          <w:color w:val="000000" w:themeColor="text1"/>
          <w:szCs w:val="21"/>
          <w14:textFill>
            <w14:solidFill>
              <w14:schemeClr w14:val="tx1"/>
            </w14:solidFill>
          </w14:textFill>
        </w:rPr>
        <w:t xml:space="preserve">  本保险合同的投保人应为对被保险人有保险利益的机关、企业、事业单位和社会团体，</w:t>
      </w:r>
      <w:r>
        <w:rPr>
          <w:rFonts w:hint="eastAsia" w:asciiTheme="minorEastAsia" w:hAnsiTheme="minorEastAsia"/>
          <w:b/>
          <w:color w:val="000000" w:themeColor="text1"/>
          <w:szCs w:val="21"/>
          <w14:textFill>
            <w14:solidFill>
              <w14:schemeClr w14:val="tx1"/>
            </w14:solidFill>
          </w14:textFill>
        </w:rPr>
        <w:t>其投保的人数必须占约定承保团体人员的</w:t>
      </w:r>
      <w:r>
        <w:rPr>
          <w:rFonts w:asciiTheme="minorEastAsia" w:hAnsiTheme="minorEastAsia"/>
          <w:b/>
          <w:color w:val="000000" w:themeColor="text1"/>
          <w:szCs w:val="21"/>
          <w14:textFill>
            <w14:solidFill>
              <w14:schemeClr w14:val="tx1"/>
            </w14:solidFill>
          </w14:textFill>
        </w:rPr>
        <w:t>75%以上，且投保人数</w:t>
      </w:r>
      <w:r>
        <w:rPr>
          <w:rFonts w:hint="eastAsia" w:asciiTheme="minorEastAsia" w:hAnsiTheme="minorEastAsia"/>
          <w:b/>
          <w:color w:val="000000" w:themeColor="text1"/>
          <w:szCs w:val="21"/>
          <w14:textFill>
            <w14:solidFill>
              <w14:schemeClr w14:val="tx1"/>
            </w14:solidFill>
          </w14:textFill>
        </w:rPr>
        <w:t>标准须</w:t>
      </w:r>
      <w:r>
        <w:rPr>
          <w:rFonts w:asciiTheme="minorEastAsia" w:hAnsiTheme="minorEastAsia"/>
          <w:b/>
          <w:color w:val="000000" w:themeColor="text1"/>
          <w:szCs w:val="21"/>
          <w14:textFill>
            <w14:solidFill>
              <w14:schemeClr w14:val="tx1"/>
            </w14:solidFill>
          </w14:textFill>
        </w:rPr>
        <w:t>按照</w:t>
      </w:r>
      <w:r>
        <w:rPr>
          <w:rFonts w:hint="eastAsia" w:asciiTheme="minorEastAsia" w:hAnsiTheme="minorEastAsia"/>
          <w:b/>
          <w:color w:val="000000" w:themeColor="text1"/>
          <w:szCs w:val="21"/>
          <w14:textFill>
            <w14:solidFill>
              <w14:schemeClr w14:val="tx1"/>
            </w14:solidFill>
          </w14:textFill>
        </w:rPr>
        <w:t>国务院保险监督管理机构颁布</w:t>
      </w:r>
      <w:r>
        <w:rPr>
          <w:rFonts w:asciiTheme="minorEastAsia" w:hAnsiTheme="minorEastAsia"/>
          <w:b/>
          <w:color w:val="000000" w:themeColor="text1"/>
          <w:szCs w:val="21"/>
          <w14:textFill>
            <w14:solidFill>
              <w14:schemeClr w14:val="tx1"/>
            </w14:solidFill>
          </w14:textFill>
        </w:rPr>
        <w:t>的</w:t>
      </w:r>
      <w:r>
        <w:rPr>
          <w:rFonts w:hint="eastAsia" w:asciiTheme="minorEastAsia" w:hAnsiTheme="minorEastAsia"/>
          <w:b/>
          <w:color w:val="000000" w:themeColor="text1"/>
          <w:szCs w:val="21"/>
          <w14:textFill>
            <w14:solidFill>
              <w14:schemeClr w14:val="tx1"/>
            </w14:solidFill>
          </w14:textFill>
        </w:rPr>
        <w:t>现行有效的规定和</w:t>
      </w:r>
      <w:r>
        <w:rPr>
          <w:rFonts w:asciiTheme="minorEastAsia" w:hAnsiTheme="minorEastAsia"/>
          <w:b/>
          <w:color w:val="000000" w:themeColor="text1"/>
          <w:szCs w:val="21"/>
          <w14:textFill>
            <w14:solidFill>
              <w14:schemeClr w14:val="tx1"/>
            </w14:solidFill>
          </w14:textFill>
        </w:rPr>
        <w:t>通知</w:t>
      </w:r>
      <w:r>
        <w:rPr>
          <w:rFonts w:hint="eastAsia" w:asciiTheme="minorEastAsia" w:hAnsiTheme="minorEastAsia"/>
          <w:b/>
          <w:color w:val="000000" w:themeColor="text1"/>
          <w:szCs w:val="21"/>
          <w14:textFill>
            <w14:solidFill>
              <w14:schemeClr w14:val="tx1"/>
            </w14:solidFill>
          </w14:textFill>
        </w:rPr>
        <w:t>（以下</w:t>
      </w:r>
      <w:r>
        <w:rPr>
          <w:rFonts w:asciiTheme="minorEastAsia" w:hAnsiTheme="minorEastAsia"/>
          <w:b/>
          <w:color w:val="000000" w:themeColor="text1"/>
          <w:szCs w:val="21"/>
          <w14:textFill>
            <w14:solidFill>
              <w14:schemeClr w14:val="tx1"/>
            </w14:solidFill>
          </w14:textFill>
        </w:rPr>
        <w:t>简称“</w:t>
      </w:r>
      <w:r>
        <w:rPr>
          <w:rFonts w:hint="eastAsia" w:asciiTheme="minorEastAsia" w:hAnsiTheme="minorEastAsia"/>
          <w:b/>
          <w:color w:val="000000" w:themeColor="text1"/>
          <w:szCs w:val="21"/>
          <w14:textFill>
            <w14:solidFill>
              <w14:schemeClr w14:val="tx1"/>
            </w14:solidFill>
          </w14:textFill>
        </w:rPr>
        <w:t>监管</w:t>
      </w:r>
      <w:r>
        <w:rPr>
          <w:rFonts w:asciiTheme="minorEastAsia" w:hAnsiTheme="minorEastAsia"/>
          <w:b/>
          <w:color w:val="000000" w:themeColor="text1"/>
          <w:szCs w:val="21"/>
          <w14:textFill>
            <w14:solidFill>
              <w14:schemeClr w14:val="tx1"/>
            </w14:solidFill>
          </w14:textFill>
        </w:rPr>
        <w:t>规定”）</w:t>
      </w:r>
      <w:r>
        <w:rPr>
          <w:rFonts w:hint="eastAsia" w:asciiTheme="minorEastAsia" w:hAnsiTheme="minorEastAsia"/>
          <w:b/>
          <w:color w:val="000000" w:themeColor="text1"/>
          <w:szCs w:val="21"/>
          <w14:textFill>
            <w14:solidFill>
              <w14:schemeClr w14:val="tx1"/>
            </w14:solidFill>
          </w14:textFill>
        </w:rPr>
        <w:t>来</w:t>
      </w:r>
      <w:r>
        <w:rPr>
          <w:rFonts w:asciiTheme="minorEastAsia" w:hAnsiTheme="minorEastAsia"/>
          <w:b/>
          <w:color w:val="000000" w:themeColor="text1"/>
          <w:szCs w:val="21"/>
          <w14:textFill>
            <w14:solidFill>
              <w14:schemeClr w14:val="tx1"/>
            </w14:solidFill>
          </w14:textFill>
        </w:rPr>
        <w:t>执行</w:t>
      </w:r>
      <w:r>
        <w:rPr>
          <w:rFonts w:hint="eastAsia" w:asciiTheme="minorEastAsia" w:hAnsiTheme="minorEastAsia"/>
          <w:b/>
          <w:color w:val="000000" w:themeColor="text1"/>
          <w:szCs w:val="21"/>
          <w14:textFill>
            <w14:solidFill>
              <w14:schemeClr w14:val="tx1"/>
            </w14:solidFill>
          </w14:textFill>
        </w:rPr>
        <w:t>。</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第四条</w:t>
      </w:r>
      <w:r>
        <w:rPr>
          <w:rFonts w:hint="eastAsia" w:asciiTheme="minorEastAsia" w:hAnsiTheme="minorEastAsia"/>
          <w:color w:val="000000" w:themeColor="text1"/>
          <w:szCs w:val="21"/>
          <w14:textFill>
            <w14:solidFill>
              <w14:schemeClr w14:val="tx1"/>
            </w14:solidFill>
          </w14:textFill>
        </w:rPr>
        <w:t xml:space="preserve">  本保险合同的受益人包括：</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（一）身故保险金受益人</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订立本保险合同时，被保险人或投保人可指定一人或数人为身故保险金受益人。身故保险金受益人为数人时，应确定其受益顺序和受益份额；未确定受益份额的，各身故保险金受益人按照相等份额享有受益权。</w:t>
      </w:r>
      <w:r>
        <w:rPr>
          <w:rFonts w:hint="eastAsia" w:asciiTheme="minorEastAsia" w:hAnsiTheme="minorEastAsia"/>
          <w:b/>
          <w:color w:val="000000" w:themeColor="text1"/>
          <w:szCs w:val="21"/>
          <w14:textFill>
            <w14:solidFill>
              <w14:schemeClr w14:val="tx1"/>
            </w14:solidFill>
          </w14:textFill>
        </w:rPr>
        <w:t>投保人指定受益人时须经被保险人同意。</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被保险人死亡后，有下列情形之一的，保险金作为被保险人的遗产，由保险人依照《中华人民共和国继承法》的规定履行给付保险金的义务：</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（1）没有指定受益人，或者受益人指定不明无法确定的；</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（2）受益人先于被保险人死亡，没有其他受益人的；</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（3）受益人依法丧失受益权或者放弃受益权，没有其他受益人的。</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受益人与被保险人在同一事件中死亡，且不能确定死亡先后顺序的，推定受益人死亡在先。</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投保人为与其有劳动关系的劳动者投保人身保险，不得指定被保险人及其近亲属以外的人为受益人。</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被保险人或投保人可以变更身故保险金受益人，但需书面通知保险人，由保险人在本保险合同上批注。</w:t>
      </w:r>
      <w:r>
        <w:rPr>
          <w:rFonts w:hint="eastAsia" w:asciiTheme="minorEastAsia" w:hAnsiTheme="minorEastAsia"/>
          <w:b/>
          <w:color w:val="000000" w:themeColor="text1"/>
          <w:szCs w:val="21"/>
          <w14:textFill>
            <w14:solidFill>
              <w14:schemeClr w14:val="tx1"/>
            </w14:solidFill>
          </w14:textFill>
        </w:rPr>
        <w:t>对因身故保险金受益人变更发生的法律纠纷，保险人不承担任何责任。</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投保人指定或变更身故保险金受益人的，应经被保险人书面同意。被保险人为无民事行为能力人或限制民事行为能力人的，应由其监护人指定或变更身故保险金受益人。</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（二）伤残保险金受益人</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除另有约定外，本保险合同的伤残保险金的受益人为被保险人本人。</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保险责任</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第五条</w:t>
      </w:r>
      <w:r>
        <w:rPr>
          <w:rFonts w:hint="eastAsia" w:asciiTheme="minorEastAsia" w:hAnsiTheme="minorEastAsia"/>
          <w:color w:val="000000" w:themeColor="text1"/>
          <w:szCs w:val="21"/>
          <w14:textFill>
            <w14:solidFill>
              <w14:schemeClr w14:val="tx1"/>
            </w14:solidFill>
          </w14:textFill>
        </w:rPr>
        <w:t xml:space="preserve">  在保险期间内，被保险人因遭受意外伤害事故导致身故、伤残的，保险人依照下列约定给付保险金，且给付各项保险金之和不超过意外伤害保险金额：</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（一）身故保险责任</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在保险期间内，被保险人遭受意外伤害事故，并自该事故发生之日起180日（含</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内因该事故身故的，保险人按意外伤害保险金额给付身故保险金，对该被保险人的保险责任终止。</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被保险人因遭受意外伤害事故且自该事故发生日起下落不明，后经人民法院宣告死亡的，保险人按意外伤害保险金额给付身故保险金。</w:t>
      </w:r>
      <w:r>
        <w:rPr>
          <w:rFonts w:hint="eastAsia" w:asciiTheme="minorEastAsia" w:hAnsiTheme="minorEastAsia"/>
          <w:b/>
          <w:color w:val="000000" w:themeColor="text1"/>
          <w:szCs w:val="21"/>
          <w14:textFill>
            <w14:solidFill>
              <w14:schemeClr w14:val="tx1"/>
            </w14:solidFill>
          </w14:textFill>
        </w:rPr>
        <w:t>但若被保险人被宣告死亡后生还的，受益人应于知道或应当知道被保险人生还后30日内退还保险人给付的身故保险金。</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被保险人身故前保险人已给付本条第（二</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款约定的伤残保险金的，身故保险金应扣除已给付的保险金。</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（二）伤残保险责任</w:t>
      </w:r>
    </w:p>
    <w:p>
      <w:pPr>
        <w:spacing w:after="156" w:afterLines="50"/>
        <w:ind w:firstLine="420" w:firstLineChars="20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在保险期间内，被保险人遭受意外伤害事故，并自该事故发生之日起</w:t>
      </w:r>
      <w:r>
        <w:rPr>
          <w:rFonts w:asciiTheme="minorEastAsia" w:hAnsiTheme="minorEastAsia"/>
          <w:color w:val="000000" w:themeColor="text1"/>
          <w14:textFill>
            <w14:solidFill>
              <w14:schemeClr w14:val="tx1"/>
            </w14:solidFill>
          </w14:textFill>
        </w:rPr>
        <w:t>180日</w:t>
      </w:r>
      <w:r>
        <w:rPr>
          <w:rFonts w:hint="eastAsia" w:asciiTheme="minorEastAsia" w:hAnsiTheme="minorEastAsia"/>
          <w:color w:val="000000" w:themeColor="text1"/>
          <w14:textFill>
            <w14:solidFill>
              <w14:schemeClr w14:val="tx1"/>
            </w14:solidFill>
          </w14:textFill>
        </w:rPr>
        <w:t>（含）内，因该意外伤害造成《人身保险伤残评定标准及代码》（保监发【2014】6号 国家金融行业标准编号 JR/T 0083-2013）（以下简称《伤残评定标准》）所列伤残的，</w:t>
      </w:r>
      <w:r>
        <w:rPr>
          <w:rFonts w:hint="eastAsia" w:asciiTheme="minorEastAsia" w:hAnsiTheme="minorEastAsia"/>
          <w:b/>
          <w:color w:val="000000" w:themeColor="text1"/>
          <w14:textFill>
            <w14:solidFill>
              <w14:schemeClr w14:val="tx1"/>
            </w14:solidFill>
          </w14:textFill>
        </w:rPr>
        <w:t>保险人按《伤残评定标准》所列给付比例乘以保险单载明的意外伤害保险金额给付意外伤害伤残保险金。如果自意外伤害发生之日起第</w:t>
      </w:r>
      <w:r>
        <w:rPr>
          <w:rFonts w:asciiTheme="minorEastAsia" w:hAnsiTheme="minorEastAsia"/>
          <w:b/>
          <w:color w:val="000000" w:themeColor="text1"/>
          <w14:textFill>
            <w14:solidFill>
              <w14:schemeClr w14:val="tx1"/>
            </w14:solidFill>
          </w14:textFill>
        </w:rPr>
        <w:t>180日内治疗仍未结束的，则按第180日被保险人的身体情况进行伤残评定，并据此给付意外伤害伤残保险金。</w:t>
      </w:r>
    </w:p>
    <w:p>
      <w:pPr>
        <w:spacing w:after="156" w:afterLines="50"/>
        <w:ind w:firstLine="420" w:firstLineChars="20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当同一意外伤害造成两处或两处以上伤残时，应首先对各处伤残程度分别进行评定，如果几处伤残等级不同，以最重的伤残等级作为最终的评定结论；如果最重伤残有两处或两处以上的伤残等级相同，伤残等级在原评定基础上最多晋升一级，最高晋升至第一级。同一部位和性质的伤残，不应采用《伤残评定标准》条文两条以上或者同一条文两次以上进行评定。</w:t>
      </w:r>
    </w:p>
    <w:p>
      <w:pPr>
        <w:spacing w:after="156" w:afterLines="50"/>
        <w:ind w:firstLine="420" w:firstLineChars="200"/>
        <w:rPr>
          <w:rFonts w:asciiTheme="minorEastAsia" w:hAnsiTheme="minorEastAsia"/>
          <w:b/>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当被保险人在保险期间内因意外伤害导致伤残时，若在保险开始日期之前被保险人的同一部位已有伤残或者在保险期间内被保险人因不同次意外伤害导致同一部位多次伤残的</w:t>
      </w:r>
      <w:r>
        <w:rPr>
          <w:rFonts w:hint="eastAsia" w:asciiTheme="minorEastAsia" w:hAnsiTheme="minorEastAsia"/>
          <w:b/>
          <w:color w:val="000000" w:themeColor="text1"/>
          <w14:textFill>
            <w14:solidFill>
              <w14:schemeClr w14:val="tx1"/>
            </w14:solidFill>
          </w14:textFill>
        </w:rPr>
        <w:t>（不含因责任免除事项所致伤残，下同）</w:t>
      </w:r>
      <w:r>
        <w:rPr>
          <w:rFonts w:hint="eastAsia" w:asciiTheme="minorEastAsia" w:hAnsiTheme="minorEastAsia"/>
          <w:color w:val="000000" w:themeColor="text1"/>
          <w14:textFill>
            <w14:solidFill>
              <w14:schemeClr w14:val="tx1"/>
            </w14:solidFill>
          </w14:textFill>
        </w:rPr>
        <w:t>，保险人将按照被保险人上述各类伤残中最重的伤残等级对应《伤残评定标准》所列的给付比例计算伤残保险金，</w:t>
      </w:r>
      <w:r>
        <w:rPr>
          <w:rFonts w:hint="eastAsia" w:asciiTheme="minorEastAsia" w:hAnsiTheme="minorEastAsia"/>
          <w:b/>
          <w:color w:val="000000" w:themeColor="text1"/>
          <w14:textFill>
            <w14:solidFill>
              <w14:schemeClr w14:val="tx1"/>
            </w14:solidFill>
          </w14:textFill>
        </w:rPr>
        <w:t>但上述已有伤残、多次伤残将视同已按约定给付过伤残保险金，在给付本次意外伤害伤残保险金时应予以扣除。</w:t>
      </w:r>
    </w:p>
    <w:p>
      <w:pPr>
        <w:spacing w:after="156" w:afterLines="50"/>
        <w:ind w:firstLine="420" w:firstLineChars="200"/>
        <w:rPr>
          <w:rFonts w:asciiTheme="minorEastAsia" w:hAnsiTheme="minorEastAsia"/>
          <w:b/>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在保险期间内，本条第（一）、（二）款项下所累计给付的保险金数额以保险单载明的该被保险人的</w:t>
      </w:r>
      <w:r>
        <w:rPr>
          <w:rFonts w:hint="eastAsia" w:asciiTheme="minorEastAsia" w:hAnsiTheme="minorEastAsia"/>
          <w:bCs/>
          <w:color w:val="000000" w:themeColor="text1"/>
          <w:kern w:val="0"/>
          <w:szCs w:val="21"/>
          <w14:textFill>
            <w14:solidFill>
              <w14:schemeClr w14:val="tx1"/>
            </w14:solidFill>
          </w14:textFill>
        </w:rPr>
        <w:t>意外伤害</w:t>
      </w:r>
      <w:r>
        <w:rPr>
          <w:rFonts w:hint="eastAsia" w:asciiTheme="minorEastAsia" w:hAnsiTheme="minorEastAsia"/>
          <w:color w:val="000000" w:themeColor="text1"/>
          <w:szCs w:val="21"/>
          <w14:textFill>
            <w14:solidFill>
              <w14:schemeClr w14:val="tx1"/>
            </w14:solidFill>
          </w14:textFill>
        </w:rPr>
        <w:t>保险金额</w:t>
      </w:r>
      <w:r>
        <w:rPr>
          <w:rFonts w:hint="eastAsia" w:asciiTheme="minorEastAsia" w:hAnsiTheme="minorEastAsia"/>
          <w:color w:val="000000" w:themeColor="text1"/>
          <w14:textFill>
            <w14:solidFill>
              <w14:schemeClr w14:val="tx1"/>
            </w14:solidFill>
          </w14:textFill>
        </w:rPr>
        <w:t>为限。</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责任免除</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第六条  因下列原因造成被保险人身故、伤残的，保险人不承担给付保险金责任：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（一）投保人的故意行为；</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（二）被保险人故意自伤或自杀，但被保险人自杀时为无民事行为能力人的除外；</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（三）因被保险人挑衅或故意行为而导致的打斗、被袭击或被谋杀；</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（四）被保险人妊娠、流产、分娩、疾病、药物过敏、中暑、猝死；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（五）被保险人接受整容手术及其他内、外科手术；</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（六）被保险人未遵医嘱，私自服用、涂用、注射药物；</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（七）任何生物、化学、原子能武器，原子能或核能装置所造成的爆炸、灼伤、污染或辐射；</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（八）恐怖袭击；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（九）政府有关部门的行政行为或司法行为；</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（十</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被保险人因精神错乱或精神失常而导致的意外事故，包括但不限于癫狂。</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第七条  被保险人在下列期间遭受意外伤害导致身故、伤残的，保险人也不承担给付保险金责任：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（一）战争、军事行动、暴动或武装叛乱期间；</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（二）被保险人因从事违法、犯罪活动或在逃期间、被依法拘留、服刑期间；</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（三）被保险人醉酒或受毒品、管制药物的影响期间；</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（四）被保险人酒后驾车、无有效驾驶证驾驶或驾驶无有效行驶证的机动车期间；</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（五）被保险人感染艾滋病病毒（HIV）或患艾滋病（AIDS）期间；</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（六）被保险人从事高风险运动</w:t>
      </w:r>
      <w:r>
        <w:rPr>
          <w:rFonts w:asciiTheme="minorEastAsia" w:hAnsiTheme="minorEastAsia"/>
          <w:b/>
          <w:color w:val="000000" w:themeColor="text1"/>
          <w:szCs w:val="21"/>
          <w14:textFill>
            <w14:solidFill>
              <w14:schemeClr w14:val="tx1"/>
            </w14:solidFill>
          </w14:textFill>
        </w:rPr>
        <w:t>或参加职业</w:t>
      </w:r>
      <w:r>
        <w:rPr>
          <w:rFonts w:hint="eastAsia" w:asciiTheme="minorEastAsia" w:hAnsiTheme="minorEastAsia"/>
          <w:b/>
          <w:color w:val="000000" w:themeColor="text1"/>
          <w:szCs w:val="21"/>
          <w14:textFill>
            <w14:solidFill>
              <w14:schemeClr w14:val="tx1"/>
            </w14:solidFill>
          </w14:textFill>
        </w:rPr>
        <w:t>/半职业</w:t>
      </w:r>
      <w:r>
        <w:rPr>
          <w:rFonts w:asciiTheme="minorEastAsia" w:hAnsiTheme="minorEastAsia"/>
          <w:b/>
          <w:color w:val="000000" w:themeColor="text1"/>
          <w:szCs w:val="21"/>
          <w14:textFill>
            <w14:solidFill>
              <w14:schemeClr w14:val="tx1"/>
            </w14:solidFill>
          </w14:textFill>
        </w:rPr>
        <w:t>体育运动</w:t>
      </w:r>
      <w:r>
        <w:rPr>
          <w:rFonts w:hint="eastAsia" w:asciiTheme="minorEastAsia" w:hAnsiTheme="minorEastAsia"/>
          <w:b/>
          <w:color w:val="000000" w:themeColor="text1"/>
          <w:szCs w:val="21"/>
          <w14:textFill>
            <w14:solidFill>
              <w14:schemeClr w14:val="tx1"/>
            </w14:solidFill>
          </w14:textFill>
        </w:rPr>
        <w:t>期间；</w:t>
      </w:r>
    </w:p>
    <w:p>
      <w:pPr>
        <w:spacing w:after="156" w:afterLines="50"/>
        <w:ind w:firstLine="412" w:firstLineChars="196"/>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（七）被保险人从事或参与恐怖主义活动、邪教组织活动。</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其他不属于本保险合同保险责任范围内的损失、费用和责任，保险人也不负责赔偿。</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若因本保险合同中上述各项责任免除的情形导致被保险人身故的，则保险人对</w:t>
      </w:r>
      <w:r>
        <w:rPr>
          <w:rFonts w:asciiTheme="minorEastAsia" w:hAnsiTheme="minorEastAsia"/>
          <w:b/>
          <w:color w:val="000000" w:themeColor="text1"/>
          <w:szCs w:val="21"/>
          <w14:textFill>
            <w14:solidFill>
              <w14:schemeClr w14:val="tx1"/>
            </w14:solidFill>
          </w14:textFill>
        </w:rPr>
        <w:t>该被保险人的保险责任终止</w:t>
      </w:r>
      <w:r>
        <w:rPr>
          <w:rFonts w:hint="eastAsia" w:asciiTheme="minorEastAsia" w:hAnsiTheme="minorEastAsia"/>
          <w:b/>
          <w:color w:val="000000" w:themeColor="text1"/>
          <w:szCs w:val="21"/>
          <w14:textFill>
            <w14:solidFill>
              <w14:schemeClr w14:val="tx1"/>
            </w14:solidFill>
          </w14:textFill>
        </w:rPr>
        <w:t>且不承担给付保险金责任。</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保险金额和保险费</w:t>
      </w:r>
    </w:p>
    <w:p>
      <w:pPr>
        <w:spacing w:after="156" w:afterLines="50"/>
        <w:ind w:firstLine="412" w:firstLineChars="196"/>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第八条</w:t>
      </w:r>
      <w:r>
        <w:rPr>
          <w:rFonts w:hint="eastAsia" w:asciiTheme="minorEastAsia" w:hAnsiTheme="minorEastAsia"/>
          <w:color w:val="000000" w:themeColor="text1"/>
          <w:szCs w:val="21"/>
          <w14:textFill>
            <w14:solidFill>
              <w14:schemeClr w14:val="tx1"/>
            </w14:solidFill>
          </w14:textFill>
        </w:rPr>
        <w:t xml:space="preserve">  保险金额</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保险金额是保险人承担给付保险金责任的最高限额。保险金额由投保人、保险人双方约定，并在保险单中载明。</w:t>
      </w:r>
    </w:p>
    <w:p>
      <w:pPr>
        <w:spacing w:after="156" w:afterLines="50"/>
        <w:ind w:firstLine="412" w:firstLineChars="196"/>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第九条  </w:t>
      </w:r>
      <w:r>
        <w:rPr>
          <w:rFonts w:hint="eastAsia" w:asciiTheme="minorEastAsia" w:hAnsiTheme="minorEastAsia"/>
          <w:color w:val="000000" w:themeColor="text1"/>
          <w:szCs w:val="21"/>
          <w14:textFill>
            <w14:solidFill>
              <w14:schemeClr w14:val="tx1"/>
            </w14:solidFill>
          </w14:textFill>
        </w:rPr>
        <w:t>保险费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除另有约定外，投保人应在订立本保险合同时一次交清保险费。</w:t>
      </w:r>
      <w:r>
        <w:rPr>
          <w:rFonts w:hint="eastAsia" w:asciiTheme="minorEastAsia" w:hAnsiTheme="minorEastAsia"/>
          <w:b/>
          <w:color w:val="000000" w:themeColor="text1"/>
          <w:szCs w:val="21"/>
          <w14:textFill>
            <w14:solidFill>
              <w14:schemeClr w14:val="tx1"/>
            </w14:solidFill>
          </w14:textFill>
        </w:rPr>
        <w:t>保险费未交清前，保险人不承担保险责任。</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保险期间</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第十条  </w:t>
      </w:r>
      <w:r>
        <w:rPr>
          <w:rFonts w:hint="eastAsia" w:asciiTheme="minorEastAsia" w:hAnsiTheme="minorEastAsia"/>
          <w:color w:val="000000" w:themeColor="text1"/>
          <w:szCs w:val="21"/>
          <w14:textFill>
            <w14:solidFill>
              <w14:schemeClr w14:val="tx1"/>
            </w14:solidFill>
          </w14:textFill>
        </w:rPr>
        <w:t xml:space="preserve">本保险合同的保险期间由保险人和投保人协商确定，保险期间最长为一年，以保险单载明的起讫时间为准。 </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保险人义务</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第十一条  </w:t>
      </w:r>
      <w:r>
        <w:rPr>
          <w:rFonts w:hint="eastAsia" w:asciiTheme="minorEastAsia" w:hAnsiTheme="minorEastAsia"/>
          <w:color w:val="000000" w:themeColor="text1"/>
          <w:szCs w:val="21"/>
          <w14:textFill>
            <w14:solidFill>
              <w14:schemeClr w14:val="tx1"/>
            </w14:solidFill>
          </w14:textFill>
        </w:rPr>
        <w:t>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第十二条</w:t>
      </w:r>
      <w:r>
        <w:rPr>
          <w:rFonts w:hint="eastAsia" w:asciiTheme="minorEastAsia" w:hAnsiTheme="minorEastAsia"/>
          <w:color w:val="000000" w:themeColor="text1"/>
          <w:szCs w:val="21"/>
          <w14:textFill>
            <w14:solidFill>
              <w14:schemeClr w14:val="tx1"/>
            </w14:solidFill>
          </w14:textFill>
        </w:rPr>
        <w:t xml:space="preserve">  本保险合同成立后，保险人应当及时向投保人签发保险单或其他保险凭证。</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第十三条</w:t>
      </w:r>
      <w:r>
        <w:rPr>
          <w:rFonts w:hint="eastAsia" w:asciiTheme="minorEastAsia" w:hAnsiTheme="minorEastAsia"/>
          <w:color w:val="000000" w:themeColor="text1"/>
          <w:szCs w:val="21"/>
          <w14:textFill>
            <w14:solidFill>
              <w14:schemeClr w14:val="tx1"/>
            </w14:solidFill>
          </w14:textFill>
        </w:rPr>
        <w:t xml:space="preserve">  保险人按照第二十二条的约定，认为被保险人提供的有关索赔的证明和资料不完整的，应当及时一次性通知投保人、被保险人或受益人补充提供。</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第十四条 </w:t>
      </w:r>
      <w:r>
        <w:rPr>
          <w:rFonts w:hint="eastAsia" w:asciiTheme="minorEastAsia" w:hAnsiTheme="minorEastAsia"/>
          <w:color w:val="000000" w:themeColor="text1"/>
          <w:szCs w:val="21"/>
          <w14:textFill>
            <w14:solidFill>
              <w14:schemeClr w14:val="tx1"/>
            </w14:solidFill>
          </w14:textFill>
        </w:rPr>
        <w:t xml:space="preserve"> 保险人收到被保险人或受益人的给付保险金的请求后，应当及时作出是否属于保险责任的核定；情形复杂的，</w:t>
      </w:r>
      <w:r>
        <w:rPr>
          <w:rFonts w:hint="eastAsia" w:asciiTheme="minorEastAsia" w:hAnsiTheme="minorEastAsia"/>
          <w:color w:val="000000" w:themeColor="text1"/>
          <w14:textFill>
            <w14:solidFill>
              <w14:schemeClr w14:val="tx1"/>
            </w14:solidFill>
          </w14:textFill>
        </w:rPr>
        <w:t>保险人将自初次收到索赔请求及投保人、被保险人提供的有关证明和资料之日后的三十日内做出核定，但投保人、被保险人补充提供有关证明和资料期间应予以扣除。</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保险人应当将核定结果通知被保险人或受益人；对属于保险责任的，在与被保险人或受益人达成给付保险金的协议后十日内，履行给付保险金义务。本保险合同对给付保险金的期限有约定的，保险人应当按照约定履行给付保险金的义务。保险人依照前款约定作出核定后，对不属于保险责任的，应当自作出核定之日起三日内向被保险人或受益人发出拒绝给付保险金通知书，并说明理由。</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第十五条</w:t>
      </w:r>
      <w:r>
        <w:rPr>
          <w:rFonts w:hint="eastAsia" w:asciiTheme="minorEastAsia" w:hAnsiTheme="minorEastAsia"/>
          <w:color w:val="000000" w:themeColor="text1"/>
          <w:szCs w:val="21"/>
          <w14:textFill>
            <w14:solidFill>
              <w14:schemeClr w14:val="tx1"/>
            </w14:solidFill>
          </w14:textFill>
        </w:rPr>
        <w:t xml:space="preserve">  保险人自收到给付保险金的请求和有关证明、资料之日起六十日内，对其给付保险金的数额不能确定的，应当根据已有证明和资料可以确定的数额先予支付；保险人最终确定给付的数额后，应当支付相应的差额。 </w:t>
      </w:r>
    </w:p>
    <w:p>
      <w:pPr>
        <w:spacing w:after="156" w:afterLines="50"/>
        <w:jc w:val="center"/>
        <w:rPr>
          <w:rFonts w:asciiTheme="minorEastAsia" w:hAnsiTheme="minorEastAsia"/>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投保人、被保险人义务</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第十六条</w:t>
      </w:r>
      <w:r>
        <w:rPr>
          <w:rFonts w:hint="eastAsia" w:asciiTheme="minorEastAsia" w:hAnsiTheme="minorEastAsia"/>
          <w:color w:val="000000" w:themeColor="text1"/>
          <w:szCs w:val="21"/>
          <w14:textFill>
            <w14:solidFill>
              <w14:schemeClr w14:val="tx1"/>
            </w14:solidFill>
          </w14:textFill>
        </w:rPr>
        <w:t xml:space="preserve">  除另有约定外，投保人应当在订立本保险合同时一次性交清保险费。 </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第十七条  </w:t>
      </w:r>
      <w:r>
        <w:rPr>
          <w:rFonts w:hint="eastAsia" w:asciiTheme="minorEastAsia" w:hAnsiTheme="minorEastAsia"/>
          <w:color w:val="000000" w:themeColor="text1"/>
          <w:szCs w:val="21"/>
          <w14:textFill>
            <w14:solidFill>
              <w14:schemeClr w14:val="tx1"/>
            </w14:solidFill>
          </w14:textFill>
        </w:rPr>
        <w:t>订立本保险合同，保险人就被保险人的有关情况提出询问的，投保人应当如实告知。</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投保人故意或者因重大过失未履行前款约定的义务，足以影响保险人决定是否同意承保或者提高保险费率的，保险人有权解除本合同。</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前款约定的合同解除权，自保险人知道有解除事由之日起，超过三十日不行使而消灭。自本保险合同成立之日起超过二年的，保险人不得解除合同；发生保险事故的，保险人应当承担给付保险金责任。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投保人故意不履行如实告知义务的，保险人对于本保险合同解除前发生的保险事故，不承担给付保险金责任，并不退还保险费。</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投保人因重大过失未履行如实告知义务，对保险事故的发生有严重影响的，保险人对于本保险合同解除前发生的保险事故，不承担给付保险金责任，但应当退还保险费。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保险人在本保险合同订立时已经知道投保人未如实告知的情况的，保险人不得解除合同；发生保险事故的，保险人应当承担给付保险金责任。</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第十八条</w:t>
      </w:r>
      <w:r>
        <w:rPr>
          <w:rFonts w:hint="eastAsia" w:asciiTheme="minorEastAsia" w:hAnsiTheme="minorEastAsia"/>
          <w:color w:val="000000" w:themeColor="text1"/>
          <w:szCs w:val="21"/>
          <w14:textFill>
            <w14:solidFill>
              <w14:schemeClr w14:val="tx1"/>
            </w14:solidFill>
          </w14:textFill>
        </w:rPr>
        <w:t xml:space="preserve">  被保险人变更职业或工种时，投保人或被保险人应在10日内以书面形式通知保险人。</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（一</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被保险人所变更的职业或工种，在依照保险人的职业分类表</w:t>
      </w:r>
      <w:r>
        <w:rPr>
          <w:rFonts w:asciiTheme="minorEastAsia" w:hAnsiTheme="minorEastAsia"/>
          <w:color w:val="000000" w:themeColor="text1"/>
          <w:szCs w:val="21"/>
          <w14:textFill>
            <w14:solidFill>
              <w14:schemeClr w14:val="tx1"/>
            </w14:solidFill>
          </w14:textFill>
        </w:rPr>
        <w:t>进行划分</w:t>
      </w:r>
      <w:r>
        <w:rPr>
          <w:rFonts w:hint="eastAsia" w:asciiTheme="minorEastAsia" w:hAnsiTheme="minorEastAsia"/>
          <w:color w:val="000000" w:themeColor="text1"/>
          <w:szCs w:val="21"/>
          <w14:textFill>
            <w14:solidFill>
              <w14:schemeClr w14:val="tx1"/>
            </w14:solidFill>
          </w14:textFill>
        </w:rPr>
        <w:t>时</w:t>
      </w:r>
      <w:r>
        <w:rPr>
          <w:rFonts w:asciiTheme="minorEastAsia" w:hAnsiTheme="minorEastAsia"/>
          <w:color w:val="000000" w:themeColor="text1"/>
          <w:szCs w:val="21"/>
          <w14:textFill>
            <w14:solidFill>
              <w14:schemeClr w14:val="tx1"/>
            </w14:solidFill>
          </w14:textFill>
        </w:rPr>
        <w:t>：</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其危险性降低的，保险人自接到通知后，自职业变更之日起，退还变更前后职业或工种对应的未满期净保费差额；</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其危险性增加的，保险人在接到通知后，自职业变更之日起，增收变更前后职业或工种对应的未满期保险费差额；</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（3</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其在拒绝</w:t>
      </w:r>
      <w:r>
        <w:rPr>
          <w:rFonts w:asciiTheme="minorEastAsia" w:hAnsiTheme="minorEastAsia"/>
          <w:b/>
          <w:color w:val="000000" w:themeColor="text1"/>
          <w:szCs w:val="21"/>
          <w14:textFill>
            <w14:solidFill>
              <w14:schemeClr w14:val="tx1"/>
            </w14:solidFill>
          </w14:textFill>
        </w:rPr>
        <w:t>承保</w:t>
      </w:r>
      <w:r>
        <w:rPr>
          <w:rFonts w:hint="eastAsia" w:asciiTheme="minorEastAsia" w:hAnsiTheme="minorEastAsia"/>
          <w:b/>
          <w:color w:val="000000" w:themeColor="text1"/>
          <w:szCs w:val="21"/>
          <w14:textFill>
            <w14:solidFill>
              <w14:schemeClr w14:val="tx1"/>
            </w14:solidFill>
          </w14:textFill>
        </w:rPr>
        <w:t>范围内的，保险人在接到通知后有权解除本保险合同，并按照接到通知之日的次日退还原职业或工种所对应的未满期净保费。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（二</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被保险人的职业或工种发生</w:t>
      </w:r>
      <w:r>
        <w:rPr>
          <w:rFonts w:asciiTheme="minorEastAsia" w:hAnsiTheme="minorEastAsia"/>
          <w:color w:val="000000" w:themeColor="text1"/>
          <w:szCs w:val="21"/>
          <w14:textFill>
            <w14:solidFill>
              <w14:schemeClr w14:val="tx1"/>
            </w14:solidFill>
          </w14:textFill>
        </w:rPr>
        <w:t>变更</w:t>
      </w:r>
      <w:r>
        <w:rPr>
          <w:rFonts w:hint="eastAsia" w:asciiTheme="minorEastAsia" w:hAnsiTheme="minorEastAsia"/>
          <w:color w:val="000000" w:themeColor="text1"/>
          <w:szCs w:val="21"/>
          <w14:textFill>
            <w14:solidFill>
              <w14:schemeClr w14:val="tx1"/>
            </w14:solidFill>
          </w14:textFill>
        </w:rPr>
        <w:t>，且在未依照本保险合同</w:t>
      </w:r>
      <w:r>
        <w:rPr>
          <w:rFonts w:asciiTheme="minorEastAsia" w:hAnsiTheme="minorEastAsia"/>
          <w:color w:val="000000" w:themeColor="text1"/>
          <w:szCs w:val="21"/>
          <w14:textFill>
            <w14:solidFill>
              <w14:schemeClr w14:val="tx1"/>
            </w14:solidFill>
          </w14:textFill>
        </w:rPr>
        <w:t>的</w:t>
      </w:r>
      <w:r>
        <w:rPr>
          <w:rFonts w:hint="eastAsia" w:asciiTheme="minorEastAsia" w:hAnsiTheme="minorEastAsia"/>
          <w:color w:val="000000" w:themeColor="text1"/>
          <w:szCs w:val="21"/>
          <w14:textFill>
            <w14:solidFill>
              <w14:schemeClr w14:val="tx1"/>
            </w14:solidFill>
          </w14:textFill>
        </w:rPr>
        <w:t>约定书面通知保险人的情况下发生保险事故的：</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1）</w:t>
      </w:r>
      <w:r>
        <w:rPr>
          <w:rFonts w:hint="eastAsia" w:asciiTheme="minorEastAsia" w:hAnsiTheme="minorEastAsia"/>
          <w:color w:val="000000" w:themeColor="text1"/>
          <w:szCs w:val="21"/>
          <w14:textFill>
            <w14:solidFill>
              <w14:schemeClr w14:val="tx1"/>
            </w14:solidFill>
          </w14:textFill>
        </w:rPr>
        <w:t>依照保险人的职业分类表</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被保险人所变更的职业或工种的危险性降低，则保险人仍旧按其原职业或工种计算并给付保险金；</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w:t>
      </w:r>
      <w:r>
        <w:rPr>
          <w:rFonts w:asciiTheme="minorEastAsia" w:hAnsiTheme="minorEastAsia"/>
          <w:b/>
          <w:color w:val="000000" w:themeColor="text1"/>
          <w:szCs w:val="21"/>
          <w14:textFill>
            <w14:solidFill>
              <w14:schemeClr w14:val="tx1"/>
            </w14:solidFill>
          </w14:textFill>
        </w:rPr>
        <w:t>2）</w:t>
      </w:r>
      <w:r>
        <w:rPr>
          <w:rFonts w:hint="eastAsia" w:asciiTheme="minorEastAsia" w:hAnsiTheme="minorEastAsia"/>
          <w:b/>
          <w:color w:val="000000" w:themeColor="text1"/>
          <w:szCs w:val="21"/>
          <w14:textFill>
            <w14:solidFill>
              <w14:schemeClr w14:val="tx1"/>
            </w14:solidFill>
          </w14:textFill>
        </w:rPr>
        <w:t>依照保险人的职业分类表</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被保险人所变更的职业或工种的危险性增加，则保险人按其原保险费与新职业或工种所对应的保险费的比例计算并给付保险金；</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（3</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依照保险人的职业分类表</w:t>
      </w:r>
      <w:r>
        <w:rPr>
          <w:rFonts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被保险人所变更的职业或工种在拒绝</w:t>
      </w:r>
      <w:r>
        <w:rPr>
          <w:rFonts w:asciiTheme="minorEastAsia" w:hAnsiTheme="minorEastAsia"/>
          <w:b/>
          <w:color w:val="000000" w:themeColor="text1"/>
          <w:szCs w:val="21"/>
          <w14:textFill>
            <w14:solidFill>
              <w14:schemeClr w14:val="tx1"/>
            </w14:solidFill>
          </w14:textFill>
        </w:rPr>
        <w:t>承保</w:t>
      </w:r>
      <w:r>
        <w:rPr>
          <w:rFonts w:hint="eastAsia" w:asciiTheme="minorEastAsia" w:hAnsiTheme="minorEastAsia"/>
          <w:b/>
          <w:color w:val="000000" w:themeColor="text1"/>
          <w:szCs w:val="21"/>
          <w14:textFill>
            <w14:solidFill>
              <w14:schemeClr w14:val="tx1"/>
            </w14:solidFill>
          </w14:textFill>
        </w:rPr>
        <w:t>范围内的，保险人不承担给付保险金的责任，并将退还原职业</w:t>
      </w:r>
      <w:r>
        <w:rPr>
          <w:rFonts w:asciiTheme="minorEastAsia" w:hAnsiTheme="minorEastAsia"/>
          <w:b/>
          <w:color w:val="000000" w:themeColor="text1"/>
          <w:szCs w:val="21"/>
          <w14:textFill>
            <w14:solidFill>
              <w14:schemeClr w14:val="tx1"/>
            </w14:solidFill>
          </w14:textFill>
        </w:rPr>
        <w:t>或</w:t>
      </w:r>
      <w:r>
        <w:rPr>
          <w:rFonts w:hint="eastAsia" w:asciiTheme="minorEastAsia" w:hAnsiTheme="minorEastAsia"/>
          <w:b/>
          <w:color w:val="000000" w:themeColor="text1"/>
          <w:szCs w:val="21"/>
          <w14:textFill>
            <w14:solidFill>
              <w14:schemeClr w14:val="tx1"/>
            </w14:solidFill>
          </w14:textFill>
        </w:rPr>
        <w:t>工种</w:t>
      </w:r>
      <w:r>
        <w:rPr>
          <w:rFonts w:asciiTheme="minorEastAsia" w:hAnsiTheme="minorEastAsia"/>
          <w:b/>
          <w:color w:val="000000" w:themeColor="text1"/>
          <w:szCs w:val="21"/>
          <w14:textFill>
            <w14:solidFill>
              <w14:schemeClr w14:val="tx1"/>
            </w14:solidFill>
          </w14:textFill>
        </w:rPr>
        <w:t>所对应的</w:t>
      </w:r>
      <w:r>
        <w:rPr>
          <w:rFonts w:hint="eastAsia" w:asciiTheme="minorEastAsia" w:hAnsiTheme="minorEastAsia"/>
          <w:b/>
          <w:color w:val="000000" w:themeColor="text1"/>
          <w:szCs w:val="21"/>
          <w14:textFill>
            <w14:solidFill>
              <w14:schemeClr w14:val="tx1"/>
            </w14:solidFill>
          </w14:textFill>
        </w:rPr>
        <w:t>未满期净保费。</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第十九条</w:t>
      </w:r>
      <w:r>
        <w:rPr>
          <w:rFonts w:hint="eastAsia" w:asciiTheme="minorEastAsia" w:hAnsiTheme="minorEastAsia"/>
          <w:color w:val="000000" w:themeColor="text1"/>
          <w:szCs w:val="21"/>
          <w14:textFill>
            <w14:solidFill>
              <w14:schemeClr w14:val="tx1"/>
            </w14:solidFill>
          </w14:textFill>
        </w:rPr>
        <w:t xml:space="preserve">  投保人住所或通讯地址变更时，应及时以书面形式通知保险人。</w:t>
      </w:r>
      <w:r>
        <w:rPr>
          <w:rFonts w:hint="eastAsia" w:asciiTheme="minorEastAsia" w:hAnsiTheme="minorEastAsia"/>
          <w:b/>
          <w:color w:val="000000" w:themeColor="text1"/>
          <w:szCs w:val="21"/>
          <w14:textFill>
            <w14:solidFill>
              <w14:schemeClr w14:val="tx1"/>
            </w14:solidFill>
          </w14:textFill>
        </w:rPr>
        <w:t>投保人未通知的，保险人按本保险合同所载的最后住所或通讯地址发送的有关通知，均视为已发送给投保人。</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第二十条</w:t>
      </w:r>
      <w:r>
        <w:rPr>
          <w:rFonts w:hint="eastAsia" w:asciiTheme="minorEastAsia" w:hAnsiTheme="minorEastAsia"/>
          <w:color w:val="000000" w:themeColor="text1"/>
          <w:szCs w:val="21"/>
          <w14:textFill>
            <w14:solidFill>
              <w14:schemeClr w14:val="tx1"/>
            </w14:solidFill>
          </w14:textFill>
        </w:rPr>
        <w:t xml:space="preserve">  在保险期间内，投保人因其人员变动，需增加、减少被保险人时，应以书面形式向保险人提出申请。保险人同意后出具批单，并在本保险合同中批注。</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被保险人人数增加时，保险人在审核同意后，于收到申请之日的次日零时开始承担保险责任，并按约定增收未满期保险费。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被保险人人数减少时，保险人在审核同意后，于收到申请之日的次日零时起，对减少的被保险人终止保险责任，并按约定退还未满期净保费，</w:t>
      </w:r>
      <w:r>
        <w:rPr>
          <w:rFonts w:hint="eastAsia" w:asciiTheme="minorEastAsia" w:hAnsiTheme="minorEastAsia"/>
          <w:b/>
          <w:color w:val="000000" w:themeColor="text1"/>
          <w:szCs w:val="21"/>
          <w14:textFill>
            <w14:solidFill>
              <w14:schemeClr w14:val="tx1"/>
            </w14:solidFill>
          </w14:textFill>
        </w:rPr>
        <w:t>但减少的被保险人本人或其保险金申请人已领取过任何保险金的，保险人不退还未满期净保费。减少后的被保险人人数不足其在职人员75%或人数标准</w:t>
      </w:r>
      <w:r>
        <w:rPr>
          <w:rFonts w:asciiTheme="minorEastAsia" w:hAnsiTheme="minorEastAsia"/>
          <w:b/>
          <w:color w:val="000000" w:themeColor="text1"/>
          <w:szCs w:val="21"/>
          <w14:textFill>
            <w14:solidFill>
              <w14:schemeClr w14:val="tx1"/>
            </w14:solidFill>
          </w14:textFill>
        </w:rPr>
        <w:t>不满足监管规定</w:t>
      </w:r>
      <w:r>
        <w:rPr>
          <w:rFonts w:hint="eastAsia" w:asciiTheme="minorEastAsia" w:hAnsiTheme="minorEastAsia"/>
          <w:b/>
          <w:color w:val="000000" w:themeColor="text1"/>
          <w:szCs w:val="21"/>
          <w14:textFill>
            <w14:solidFill>
              <w14:schemeClr w14:val="tx1"/>
            </w14:solidFill>
          </w14:textFill>
        </w:rPr>
        <w:t>时，保险人有权解除本保险合同，并按约定退还未满期净保费。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第二十一条</w:t>
      </w:r>
      <w:r>
        <w:rPr>
          <w:rFonts w:hint="eastAsia" w:asciiTheme="minorEastAsia" w:hAnsiTheme="minorEastAsia"/>
          <w:color w:val="000000" w:themeColor="text1"/>
          <w:szCs w:val="21"/>
          <w14:textFill>
            <w14:solidFill>
              <w14:schemeClr w14:val="tx1"/>
            </w14:solidFill>
          </w14:textFill>
        </w:rPr>
        <w:tab/>
      </w:r>
      <w:r>
        <w:rPr>
          <w:rFonts w:hint="eastAsia" w:asciiTheme="minorEastAsia" w:hAnsiTheme="minorEastAsia"/>
          <w:color w:val="000000" w:themeColor="text1"/>
          <w:szCs w:val="21"/>
          <w14:textFill>
            <w14:solidFill>
              <w14:schemeClr w14:val="tx1"/>
            </w14:solidFill>
          </w14:textFill>
        </w:rPr>
        <w:t xml:space="preserve"> 投保人、被保险人或者保险金受益人知道保险事故发生后，应当及时通知保险人。</w:t>
      </w:r>
      <w:r>
        <w:rPr>
          <w:rFonts w:hint="eastAsia" w:asciiTheme="minorEastAsia" w:hAnsiTheme="minorEastAsia"/>
          <w:b/>
          <w:color w:val="000000" w:themeColor="text1"/>
          <w:szCs w:val="21"/>
          <w14:textFill>
            <w14:solidFill>
              <w14:schemeClr w14:val="tx1"/>
            </w14:solidFill>
          </w14:textFill>
        </w:rPr>
        <w:t>故意或者因重大过失未及时通知，致使保险事故的性质、原因、损失程度等难以确定的，保险人对无法确定的部分，不承担给付保险金责任，</w:t>
      </w:r>
      <w:r>
        <w:rPr>
          <w:rFonts w:hint="eastAsia" w:asciiTheme="minorEastAsia" w:hAnsiTheme="minorEastAsia"/>
          <w:color w:val="000000" w:themeColor="text1"/>
          <w:szCs w:val="21"/>
          <w14:textFill>
            <w14:solidFill>
              <w14:schemeClr w14:val="tx1"/>
            </w14:solidFill>
          </w14:textFill>
        </w:rPr>
        <w:t>但保险人通过其他途径已经及时知道或者应当及时知道保险事故发生的除外。</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上述约定，不包括因不可抗力而导致的迟延。</w:t>
      </w:r>
    </w:p>
    <w:p>
      <w:pPr>
        <w:spacing w:after="156" w:afterLines="50"/>
        <w:jc w:val="center"/>
        <w:rPr>
          <w:rFonts w:asciiTheme="minorEastAsia" w:hAnsiTheme="minorEastAsia"/>
          <w:b/>
          <w:bCs/>
          <w:color w:val="000000" w:themeColor="text1"/>
          <w:szCs w:val="21"/>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保险金的申请与给付</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第二十二条 </w:t>
      </w:r>
      <w:r>
        <w:rPr>
          <w:rFonts w:hint="eastAsia" w:asciiTheme="minorEastAsia" w:hAnsiTheme="minorEastAsia"/>
          <w:color w:val="000000" w:themeColor="text1"/>
          <w:szCs w:val="21"/>
          <w14:textFill>
            <w14:solidFill>
              <w14:schemeClr w14:val="tx1"/>
            </w14:solidFill>
          </w14:textFill>
        </w:rPr>
        <w:t xml:space="preserve"> 保险金申请人向保险人申请给付保险金时，应提交以下材料。保险金申请人因特殊原因不能提供以下材料的，应提供其他合法有效的材料。</w:t>
      </w:r>
      <w:r>
        <w:rPr>
          <w:rFonts w:hint="eastAsia" w:asciiTheme="minorEastAsia" w:hAnsiTheme="minorEastAsia"/>
          <w:b/>
          <w:color w:val="000000" w:themeColor="text1"/>
          <w:szCs w:val="21"/>
          <w14:textFill>
            <w14:solidFill>
              <w14:schemeClr w14:val="tx1"/>
            </w14:solidFill>
          </w14:textFill>
        </w:rPr>
        <w:t>保险金申请人未能提供有关材料，导致保险人无法核实该申请的真实性的，保险人对无法核实部分不承担给付保险金的责任。</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（一）身故保险金申请</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（1）索赔申请书；</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（2）保险单原件；</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（3）保险金申请人的身份证明；</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（4）公安部门出具的被保险人户籍注销证明、二级以上（含二级）或保险人认可的医疗机构出具的被保险人身故证明书。若被保险人为宣告死亡，保险金申请人应提供人民法院出具的宣告死亡证明文件；</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（5）保险金申请人所能提供的与确认保险事故的性质、原因、损失程度等有关的其他证明和资料；</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（6）若保险金申请人委托他人申请的，还应提供授权委托书原件、委托人和受托人的身份证明等相关证明文件。</w:t>
      </w:r>
    </w:p>
    <w:p>
      <w:pPr>
        <w:spacing w:after="156" w:afterLines="50"/>
        <w:ind w:firstLine="420" w:firstLineChars="20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（二）伤残保险金申请</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（1）索赔申请书；</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（2）保险单原件；</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（3）被保险人身份证明；</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（4）二级以上（含二级）或保险人认可的医疗机构或司法鉴定机构出具的伤残鉴定书；</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（5）保险金申请人所能提供的其他与本项申请相关的材料；</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（6）若保险金申请人委托他人申请的，还应提供授权委托书原件、委托人和受托人的身份证明等相关证明文件。</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第二十三条</w:t>
      </w:r>
      <w:r>
        <w:rPr>
          <w:rFonts w:hint="eastAsia" w:asciiTheme="minorEastAsia" w:hAnsiTheme="minorEastAsia"/>
          <w:color w:val="000000" w:themeColor="text1"/>
          <w:szCs w:val="21"/>
          <w14:textFill>
            <w14:solidFill>
              <w14:schemeClr w14:val="tx1"/>
            </w14:solidFill>
          </w14:textFill>
        </w:rPr>
        <w:t xml:space="preserve">  保险金申请人向保险人请求给付保险金的诉讼时效期间以现行有效的《中华人民共和国保险法》的规定为准，自其知道或者应当知道保险事故发生之日起计算。</w:t>
      </w:r>
    </w:p>
    <w:p>
      <w:pPr>
        <w:spacing w:after="156" w:afterLines="50"/>
        <w:ind w:firstLine="420" w:firstLineChars="200"/>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争议处理和法律适用</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第二十四条</w:t>
      </w:r>
      <w:r>
        <w:rPr>
          <w:rFonts w:hint="eastAsia" w:asciiTheme="minorEastAsia" w:hAnsiTheme="minorEastAsia"/>
          <w:color w:val="000000" w:themeColor="text1"/>
          <w:szCs w:val="21"/>
          <w14:textFill>
            <w14:solidFill>
              <w14:schemeClr w14:val="tx1"/>
            </w14:solidFill>
          </w14:textFill>
        </w:rPr>
        <w:t xml:space="preserve">  因履行本保险合同发生的争议，由当事人协商解决。协商不成的，提交保险单载明的仲裁机构仲裁；保险单未载明仲裁机构或者争议发生后未达成仲裁协议的，依法向具有管辖权的人民法院起诉。</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 xml:space="preserve">第二十五条 </w:t>
      </w:r>
      <w:r>
        <w:rPr>
          <w:rFonts w:hint="eastAsia" w:asciiTheme="minorEastAsia" w:hAnsiTheme="minorEastAsia"/>
          <w:color w:val="000000" w:themeColor="text1"/>
          <w:szCs w:val="21"/>
          <w14:textFill>
            <w14:solidFill>
              <w14:schemeClr w14:val="tx1"/>
            </w14:solidFill>
          </w14:textFill>
        </w:rPr>
        <w:t xml:space="preserve"> 与本保险合同有关的以及履行本保险合同产生的一切争议处理适用中华人民共和国法律（不包括港澳台地区法律）。</w:t>
      </w:r>
    </w:p>
    <w:p>
      <w:pPr>
        <w:spacing w:after="156" w:afterLines="50"/>
        <w:ind w:firstLine="420" w:firstLineChars="200"/>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其他事项</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第二十六条</w:t>
      </w:r>
      <w:r>
        <w:rPr>
          <w:rFonts w:hint="eastAsia" w:asciiTheme="minorEastAsia" w:hAnsiTheme="minorEastAsia"/>
          <w:color w:val="000000" w:themeColor="text1"/>
          <w:szCs w:val="21"/>
          <w14:textFill>
            <w14:solidFill>
              <w14:schemeClr w14:val="tx1"/>
            </w14:solidFill>
          </w14:textFill>
        </w:rPr>
        <w:t xml:space="preserve">  在本保险合同成立后，投保人可以书面形式通知保险人解除合同，</w:t>
      </w:r>
      <w:r>
        <w:rPr>
          <w:rFonts w:hint="eastAsia" w:asciiTheme="minorEastAsia" w:hAnsiTheme="minorEastAsia"/>
          <w:b/>
          <w:color w:val="000000" w:themeColor="text1"/>
          <w:szCs w:val="21"/>
          <w14:textFill>
            <w14:solidFill>
              <w14:schemeClr w14:val="tx1"/>
            </w14:solidFill>
          </w14:textFill>
        </w:rPr>
        <w:t>但《中华人民共和国保险法》另有规定的除外。</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投保人解除本保险合同时，应提供下列证明文件和资料：</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（一）保险合同解除申请书；</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（二）保险单原件；</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（三）保险费交付凭证；</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（四）投保人/被保险人身份证明；</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（五</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保险人要求的其他有关证明和资料。</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投保人要求解除本保险合同的，经</w:t>
      </w:r>
      <w:r>
        <w:rPr>
          <w:rFonts w:asciiTheme="minorEastAsia" w:hAnsiTheme="minorEastAsia"/>
          <w:color w:val="000000" w:themeColor="text1"/>
          <w:szCs w:val="21"/>
          <w14:textFill>
            <w14:solidFill>
              <w14:schemeClr w14:val="tx1"/>
            </w14:solidFill>
          </w14:textFill>
        </w:rPr>
        <w:t>保险人审核同意并</w:t>
      </w:r>
      <w:r>
        <w:rPr>
          <w:rFonts w:hint="eastAsia" w:asciiTheme="minorEastAsia" w:hAnsiTheme="minorEastAsia"/>
          <w:color w:val="000000" w:themeColor="text1"/>
          <w:szCs w:val="21"/>
          <w14:textFill>
            <w14:solidFill>
              <w14:schemeClr w14:val="tx1"/>
            </w14:solidFill>
          </w14:textFill>
        </w:rPr>
        <w:t>自保险人接到保险合同解除申请书之时起，本保险合同的效力终止。保险人收到上述证明文件和资料之日起30日内退还保险单的未满期净保费，</w:t>
      </w:r>
      <w:r>
        <w:rPr>
          <w:rFonts w:asciiTheme="minorEastAsia" w:hAnsiTheme="minorEastAsia"/>
          <w:b/>
          <w:color w:val="000000" w:themeColor="text1"/>
          <w:szCs w:val="21"/>
          <w14:textFill>
            <w14:solidFill>
              <w14:schemeClr w14:val="tx1"/>
            </w14:solidFill>
          </w14:textFill>
        </w:rPr>
        <w:t>但被保险人</w:t>
      </w:r>
      <w:r>
        <w:rPr>
          <w:rFonts w:hint="eastAsia" w:asciiTheme="minorEastAsia" w:hAnsiTheme="minorEastAsia"/>
          <w:b/>
          <w:color w:val="000000" w:themeColor="text1"/>
          <w:szCs w:val="21"/>
          <w14:textFill>
            <w14:solidFill>
              <w14:schemeClr w14:val="tx1"/>
            </w14:solidFill>
          </w14:textFill>
        </w:rPr>
        <w:t>已提出</w:t>
      </w:r>
      <w:r>
        <w:rPr>
          <w:rFonts w:asciiTheme="minorEastAsia" w:hAnsiTheme="minorEastAsia"/>
          <w:b/>
          <w:color w:val="000000" w:themeColor="text1"/>
          <w:szCs w:val="21"/>
          <w14:textFill>
            <w14:solidFill>
              <w14:schemeClr w14:val="tx1"/>
            </w14:solidFill>
          </w14:textFill>
        </w:rPr>
        <w:t>有效的赔偿申请或者</w:t>
      </w:r>
      <w:r>
        <w:rPr>
          <w:rFonts w:hint="eastAsia" w:asciiTheme="minorEastAsia" w:hAnsiTheme="minorEastAsia"/>
          <w:b/>
          <w:color w:val="000000" w:themeColor="text1"/>
          <w:szCs w:val="21"/>
          <w14:textFill>
            <w14:solidFill>
              <w14:schemeClr w14:val="tx1"/>
            </w14:solidFill>
          </w14:textFill>
        </w:rPr>
        <w:t>保险人已根据本保险合同约定给付保险金的除外</w:t>
      </w:r>
      <w:r>
        <w:rPr>
          <w:rFonts w:hint="eastAsia" w:asciiTheme="minorEastAsia" w:hAnsiTheme="minorEastAsia"/>
          <w:color w:val="000000" w:themeColor="text1"/>
          <w:szCs w:val="21"/>
          <w14:textFill>
            <w14:solidFill>
              <w14:schemeClr w14:val="tx1"/>
            </w14:solidFill>
          </w14:textFill>
        </w:rPr>
        <w:t>。</w:t>
      </w:r>
    </w:p>
    <w:p>
      <w:pPr>
        <w:spacing w:after="156" w:afterLines="50"/>
        <w:ind w:firstLine="420" w:firstLineChars="200"/>
        <w:rPr>
          <w:rFonts w:asciiTheme="minorEastAsia" w:hAnsiTheme="minorEastAsia"/>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第二十七条</w:t>
      </w:r>
      <w:r>
        <w:rPr>
          <w:rFonts w:hint="eastAsia" w:asciiTheme="minorEastAsia" w:hAnsiTheme="minorEastAsia"/>
          <w:color w:val="000000" w:themeColor="text1"/>
          <w:szCs w:val="21"/>
          <w14:textFill>
            <w14:solidFill>
              <w14:schemeClr w14:val="tx1"/>
            </w14:solidFill>
          </w14:textFill>
        </w:rPr>
        <w:t xml:space="preserve">  在保险期间内，经投保人与保险人双方约定，可以采用附加批注或批单的方式变更本保险合同的有关内容。附加批注或批单是本保险合同的有效组成部分，本保险合同条款与附加批注或批单不一致之处，以附加批注或批单为准，附加批注或批单未尽之处，以本保险合同条款为准。</w:t>
      </w:r>
    </w:p>
    <w:p>
      <w:pPr>
        <w:pStyle w:val="36"/>
        <w:snapToGrid/>
        <w:spacing w:after="156" w:afterLines="50"/>
        <w:ind w:left="0" w:leftChars="0" w:firstLine="840" w:firstLineChars="400"/>
        <w:rPr>
          <w:rFonts w:asciiTheme="minorEastAsia" w:hAnsiTheme="minorEastAsia" w:eastAsiaTheme="minorEastAsia"/>
          <w:color w:val="000000" w:themeColor="text1"/>
          <w:szCs w:val="21"/>
          <w14:textFill>
            <w14:solidFill>
              <w14:schemeClr w14:val="tx1"/>
            </w14:solidFill>
          </w14:textFill>
        </w:rPr>
      </w:pPr>
    </w:p>
    <w:p>
      <w:pPr>
        <w:pStyle w:val="37"/>
        <w:snapToGrid/>
        <w:spacing w:after="156" w:afterLines="50"/>
        <w:jc w:val="cente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释义</w:t>
      </w:r>
    </w:p>
    <w:p>
      <w:pPr>
        <w:pStyle w:val="36"/>
        <w:snapToGrid/>
        <w:spacing w:after="156" w:afterLines="50"/>
        <w:ind w:left="0" w:leftChars="0" w:firstLine="412" w:firstLineChars="196"/>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w:t>
      </w:r>
      <w:r>
        <w:rPr>
          <w:rStyle w:val="38"/>
          <w:rFonts w:asciiTheme="minorEastAsia" w:hAnsiTheme="minorEastAsia" w:eastAsiaTheme="minorEastAsia"/>
          <w:color w:val="000000" w:themeColor="text1"/>
          <w:sz w:val="21"/>
          <w:szCs w:val="21"/>
          <w14:textFill>
            <w14:solidFill>
              <w14:schemeClr w14:val="tx1"/>
            </w14:solidFill>
          </w14:textFill>
        </w:rPr>
        <w:t>1】</w:t>
      </w:r>
      <w:r>
        <w:rPr>
          <w:rStyle w:val="38"/>
          <w:rFonts w:hint="eastAsia" w:asciiTheme="minorEastAsia" w:hAnsiTheme="minorEastAsia" w:eastAsiaTheme="minorEastAsia"/>
          <w:color w:val="000000" w:themeColor="text1"/>
          <w:sz w:val="21"/>
          <w:szCs w:val="21"/>
          <w14:textFill>
            <w14:solidFill>
              <w14:schemeClr w14:val="tx1"/>
            </w14:solidFill>
          </w14:textFill>
        </w:rPr>
        <w:t>周岁</w:t>
      </w:r>
      <w:r>
        <w:rPr>
          <w:rFonts w:hint="eastAsia" w:asciiTheme="minorEastAsia" w:hAnsiTheme="minorEastAsia" w:eastAsiaTheme="minorEastAsia"/>
          <w:b/>
          <w:color w:val="000000" w:themeColor="text1"/>
          <w:szCs w:val="21"/>
          <w14:textFill>
            <w14:solidFill>
              <w14:schemeClr w14:val="tx1"/>
            </w14:solidFill>
          </w14:textFill>
        </w:rPr>
        <w:t>：以法定身份证明文件中记载的出生日期为基础计算的实足年龄。</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w:t>
      </w:r>
      <w:r>
        <w:rPr>
          <w:rStyle w:val="38"/>
          <w:rFonts w:asciiTheme="minorEastAsia" w:hAnsiTheme="minorEastAsia" w:eastAsiaTheme="minorEastAsia"/>
          <w:color w:val="000000" w:themeColor="text1"/>
          <w:sz w:val="21"/>
          <w:szCs w:val="21"/>
          <w14:textFill>
            <w14:solidFill>
              <w14:schemeClr w14:val="tx1"/>
            </w14:solidFill>
          </w14:textFill>
        </w:rPr>
        <w:t>2】</w:t>
      </w:r>
      <w:r>
        <w:rPr>
          <w:rStyle w:val="38"/>
          <w:rFonts w:hint="eastAsia" w:asciiTheme="minorEastAsia" w:hAnsiTheme="minorEastAsia" w:eastAsiaTheme="minorEastAsia"/>
          <w:color w:val="000000" w:themeColor="text1"/>
          <w:sz w:val="21"/>
          <w:szCs w:val="21"/>
          <w14:textFill>
            <w14:solidFill>
              <w14:schemeClr w14:val="tx1"/>
            </w14:solidFill>
          </w14:textFill>
        </w:rPr>
        <w:t>保险人</w:t>
      </w:r>
      <w:r>
        <w:rPr>
          <w:rFonts w:hint="eastAsia" w:asciiTheme="minorEastAsia" w:hAnsiTheme="minorEastAsia" w:eastAsiaTheme="minorEastAsia"/>
          <w:b/>
          <w:color w:val="000000" w:themeColor="text1"/>
          <w:szCs w:val="21"/>
          <w14:textFill>
            <w14:solidFill>
              <w14:schemeClr w14:val="tx1"/>
            </w14:solidFill>
          </w14:textFill>
        </w:rPr>
        <w:t>：指与投保人签订本保险合同的永诚财产保险股份有限公司各分支机构。</w:t>
      </w:r>
    </w:p>
    <w:p>
      <w:pPr>
        <w:pStyle w:val="37"/>
        <w:tabs>
          <w:tab w:val="clear" w:pos="840"/>
        </w:tabs>
        <w:snapToGrid/>
        <w:spacing w:after="156" w:afterLines="50"/>
        <w:ind w:firstLine="420" w:firstLineChars="200"/>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w:t>
      </w:r>
      <w:r>
        <w:rPr>
          <w:rStyle w:val="38"/>
          <w:rFonts w:asciiTheme="minorEastAsia" w:hAnsiTheme="minorEastAsia" w:eastAsiaTheme="minorEastAsia"/>
          <w:b/>
          <w:color w:val="000000" w:themeColor="text1"/>
          <w:sz w:val="21"/>
          <w:szCs w:val="21"/>
          <w14:textFill>
            <w14:solidFill>
              <w14:schemeClr w14:val="tx1"/>
            </w14:solidFill>
          </w14:textFill>
        </w:rPr>
        <w:t>3】</w:t>
      </w:r>
      <w:r>
        <w:rPr>
          <w:rFonts w:hint="eastAsia" w:asciiTheme="minorEastAsia" w:hAnsiTheme="minorEastAsia" w:eastAsiaTheme="minorEastAsia"/>
          <w:color w:val="000000" w:themeColor="text1"/>
          <w:szCs w:val="21"/>
          <w14:textFill>
            <w14:solidFill>
              <w14:schemeClr w14:val="tx1"/>
            </w14:solidFill>
          </w14:textFill>
        </w:rPr>
        <w:t>意外伤害：指以外来的、突发的、非本意的和非疾病的客观事件为直接且单独的原因致使身体受到的伤害。</w:t>
      </w:r>
    </w:p>
    <w:p>
      <w:pPr>
        <w:pStyle w:val="37"/>
        <w:tabs>
          <w:tab w:val="clear" w:pos="840"/>
        </w:tabs>
        <w:snapToGrid/>
        <w:spacing w:after="156" w:afterLines="50"/>
        <w:ind w:firstLine="420" w:firstLineChars="200"/>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w:t>
      </w:r>
      <w:r>
        <w:rPr>
          <w:rStyle w:val="38"/>
          <w:rFonts w:asciiTheme="minorEastAsia" w:hAnsiTheme="minorEastAsia" w:eastAsiaTheme="minorEastAsia"/>
          <w:b/>
          <w:color w:val="000000" w:themeColor="text1"/>
          <w:sz w:val="21"/>
          <w:szCs w:val="21"/>
          <w14:textFill>
            <w14:solidFill>
              <w14:schemeClr w14:val="tx1"/>
            </w14:solidFill>
          </w14:textFill>
        </w:rPr>
        <w:t>4】</w:t>
      </w:r>
      <w:r>
        <w:rPr>
          <w:rFonts w:hint="eastAsia" w:asciiTheme="minorEastAsia" w:hAnsiTheme="minorEastAsia" w:eastAsiaTheme="minorEastAsia"/>
          <w:color w:val="000000" w:themeColor="text1"/>
          <w:szCs w:val="21"/>
          <w14:textFill>
            <w14:solidFill>
              <w14:schemeClr w14:val="tx1"/>
            </w14:solidFill>
          </w14:textFill>
        </w:rPr>
        <w:t>伤残：因意外伤害损伤所致的人体残疾。</w:t>
      </w:r>
    </w:p>
    <w:p>
      <w:pPr>
        <w:pStyle w:val="37"/>
        <w:tabs>
          <w:tab w:val="clear" w:pos="840"/>
        </w:tabs>
        <w:snapToGrid/>
        <w:spacing w:after="156" w:afterLines="50"/>
        <w:ind w:firstLine="420" w:firstLineChars="200"/>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w:t>
      </w:r>
      <w:r>
        <w:rPr>
          <w:rStyle w:val="38"/>
          <w:rFonts w:asciiTheme="minorEastAsia" w:hAnsiTheme="minorEastAsia" w:eastAsiaTheme="minorEastAsia"/>
          <w:b/>
          <w:color w:val="000000" w:themeColor="text1"/>
          <w:sz w:val="21"/>
          <w:szCs w:val="21"/>
          <w14:textFill>
            <w14:solidFill>
              <w14:schemeClr w14:val="tx1"/>
            </w14:solidFill>
          </w14:textFill>
        </w:rPr>
        <w:t>5】</w:t>
      </w:r>
      <w:r>
        <w:rPr>
          <w:rFonts w:hint="eastAsia" w:asciiTheme="minorEastAsia" w:hAnsiTheme="minorEastAsia" w:eastAsiaTheme="minorEastAsia"/>
          <w:color w:val="000000" w:themeColor="text1"/>
          <w:szCs w:val="21"/>
          <w14:textFill>
            <w14:solidFill>
              <w14:schemeClr w14:val="tx1"/>
            </w14:solidFill>
          </w14:textFill>
        </w:rPr>
        <w:t>身体结构：指身体的解剖部位，如器官、肢体及其组成部分。</w:t>
      </w:r>
    </w:p>
    <w:p>
      <w:pPr>
        <w:pStyle w:val="37"/>
        <w:tabs>
          <w:tab w:val="clear" w:pos="840"/>
        </w:tabs>
        <w:snapToGrid/>
        <w:spacing w:after="156" w:afterLines="50"/>
        <w:ind w:firstLine="420" w:firstLineChars="200"/>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【6</w:t>
      </w:r>
      <w:r>
        <w:rPr>
          <w:rStyle w:val="38"/>
          <w:rFonts w:asciiTheme="minorEastAsia" w:hAnsiTheme="minorEastAsia" w:eastAsiaTheme="minorEastAsia"/>
          <w:b/>
          <w:color w:val="000000" w:themeColor="text1"/>
          <w:sz w:val="21"/>
          <w:szCs w:val="21"/>
          <w14:textFill>
            <w14:solidFill>
              <w14:schemeClr w14:val="tx1"/>
            </w14:solidFill>
          </w14:textFill>
        </w:rPr>
        <w:t>】</w:t>
      </w:r>
      <w:r>
        <w:rPr>
          <w:rFonts w:hint="eastAsia" w:asciiTheme="minorEastAsia" w:hAnsiTheme="minorEastAsia" w:eastAsiaTheme="minorEastAsia"/>
          <w:color w:val="000000" w:themeColor="text1"/>
          <w:szCs w:val="21"/>
          <w14:textFill>
            <w14:solidFill>
              <w14:schemeClr w14:val="tx1"/>
            </w14:solidFill>
          </w14:textFill>
        </w:rPr>
        <w:t>身体功能：指身体各系统的生理功能。</w:t>
      </w:r>
    </w:p>
    <w:p>
      <w:pPr>
        <w:pStyle w:val="37"/>
        <w:tabs>
          <w:tab w:val="clear" w:pos="840"/>
        </w:tabs>
        <w:snapToGrid/>
        <w:spacing w:after="156" w:afterLines="50"/>
        <w:ind w:firstLine="412" w:firstLineChars="196"/>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【7</w:t>
      </w:r>
      <w:r>
        <w:rPr>
          <w:rStyle w:val="38"/>
          <w:rFonts w:asciiTheme="minorEastAsia" w:hAnsiTheme="minorEastAsia" w:eastAsiaTheme="minorEastAsia"/>
          <w:b/>
          <w:color w:val="000000" w:themeColor="text1"/>
          <w:sz w:val="21"/>
          <w:szCs w:val="21"/>
          <w14:textFill>
            <w14:solidFill>
              <w14:schemeClr w14:val="tx1"/>
            </w14:solidFill>
          </w14:textFill>
        </w:rPr>
        <w:t>】</w:t>
      </w:r>
      <w:r>
        <w:rPr>
          <w:rFonts w:hint="eastAsia" w:asciiTheme="minorEastAsia" w:hAnsiTheme="minorEastAsia" w:eastAsiaTheme="minorEastAsia"/>
          <w:color w:val="000000" w:themeColor="text1"/>
          <w:szCs w:val="21"/>
          <w14:textFill>
            <w14:solidFill>
              <w14:schemeClr w14:val="tx1"/>
            </w14:solidFill>
          </w14:textFill>
        </w:rPr>
        <w:t>无有效驾驶证</w:t>
      </w:r>
      <w:r>
        <w:rPr>
          <w:rFonts w:asciiTheme="minorEastAsia" w:hAnsiTheme="minorEastAsia" w:eastAsiaTheme="minorEastAsia"/>
          <w:color w:val="000000" w:themeColor="text1"/>
          <w:szCs w:val="21"/>
          <w14:textFill>
            <w14:solidFill>
              <w14:schemeClr w14:val="tx1"/>
            </w14:solidFill>
          </w14:textFill>
        </w:rPr>
        <w:t>:</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指被保险人存在下列情形之一者：</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1）无驾驶证或驾驶证有效期已届满；</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2）驾驶的机动车与驾驶证载明的准驾车型不符；</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3）实习期内驾驶公共汽车、营运客车或者载有爆炸物品、易燃易爆化学物品、剧毒或者放射性等危险物品的机动车，实习期内驾驶的机动车牵引挂车；</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4）持未按规定审验的驾驶证，以及在暂扣、扣留、吊销、注销驾驶证期间驾驶机动车；</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5）使用各种专用机械车、特种车的人员无国家有关部门核发的有效操作证，驾驶营业性客车的驾驶人无国家有关部门核发的有效资格证书；</w:t>
      </w:r>
    </w:p>
    <w:p>
      <w:pPr>
        <w:pStyle w:val="36"/>
        <w:snapToGrid/>
        <w:spacing w:after="156" w:afterLines="50"/>
        <w:ind w:left="0" w:leftChars="0" w:firstLine="412" w:firstLineChars="196"/>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6）依照法律法规或公安机关交通管理部门有关规定不允许驾驶机动车的其他情况下驾车。</w:t>
      </w:r>
    </w:p>
    <w:p>
      <w:pPr>
        <w:pStyle w:val="36"/>
        <w:snapToGrid/>
        <w:spacing w:after="156" w:afterLines="50"/>
        <w:ind w:left="0" w:leftChars="0" w:firstLine="412" w:firstLineChars="196"/>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【8</w:t>
      </w:r>
      <w:r>
        <w:rPr>
          <w:rStyle w:val="38"/>
          <w:rFonts w:asciiTheme="minorEastAsia" w:hAnsiTheme="minorEastAsia" w:eastAsiaTheme="minorEastAsia"/>
          <w:color w:val="000000" w:themeColor="text1"/>
          <w:sz w:val="21"/>
          <w:szCs w:val="21"/>
          <w14:textFill>
            <w14:solidFill>
              <w14:schemeClr w14:val="tx1"/>
            </w14:solidFill>
          </w14:textFill>
        </w:rPr>
        <w:t>】</w:t>
      </w:r>
      <w:r>
        <w:rPr>
          <w:rFonts w:hint="eastAsia" w:asciiTheme="minorEastAsia" w:hAnsiTheme="minorEastAsia" w:eastAsiaTheme="minorEastAsia"/>
          <w:b/>
          <w:color w:val="000000" w:themeColor="text1"/>
          <w:szCs w:val="21"/>
          <w14:textFill>
            <w14:solidFill>
              <w14:schemeClr w14:val="tx1"/>
            </w14:solidFill>
          </w14:textFill>
        </w:rPr>
        <w:t>无有效行驶证</w:t>
      </w:r>
      <w:r>
        <w:rPr>
          <w:rFonts w:asciiTheme="minorEastAsia" w:hAnsiTheme="minorEastAsia" w:eastAsiaTheme="minorEastAsia"/>
          <w:b/>
          <w:color w:val="000000" w:themeColor="text1"/>
          <w:szCs w:val="21"/>
          <w14:textFill>
            <w14:solidFill>
              <w14:schemeClr w14:val="tx1"/>
            </w14:solidFill>
          </w14:textFill>
        </w:rPr>
        <w:t>:</w:t>
      </w:r>
    </w:p>
    <w:p>
      <w:pPr>
        <w:pStyle w:val="36"/>
        <w:snapToGrid/>
        <w:spacing w:after="156" w:afterLines="50"/>
        <w:ind w:left="0" w:leftChars="0" w:firstLine="412" w:firstLineChars="196"/>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指下列情形之一：</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1）机动车被依法注销登记的；</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2）无公安机关交通管理部门核发的行驶证、号牌，或临时号牌或临时移动证的机动交通工具；</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3）未在规定检验期限内进行机动车安全技术检验或检验未通过的机动交通工具。未依法按时进行或通过机动车安全技术检验。</w:t>
      </w:r>
    </w:p>
    <w:p>
      <w:pPr>
        <w:pStyle w:val="37"/>
        <w:tabs>
          <w:tab w:val="clear" w:pos="840"/>
        </w:tabs>
        <w:snapToGrid/>
        <w:spacing w:after="156" w:afterLines="50"/>
        <w:ind w:firstLine="412" w:firstLineChars="196"/>
        <w:rPr>
          <w:rFonts w:asciiTheme="minorEastAsia" w:hAnsiTheme="minorEastAsia" w:eastAsiaTheme="minorEastAsia"/>
          <w:color w:val="000000" w:themeColor="text1"/>
          <w:szCs w:val="21"/>
          <w14:textFill>
            <w14:solidFill>
              <w14:schemeClr w14:val="tx1"/>
            </w14:solidFill>
          </w14:textFill>
        </w:rPr>
      </w:pPr>
      <w:r>
        <w:rPr>
          <w:rStyle w:val="38"/>
          <w:rFonts w:hint="eastAsia" w:asciiTheme="minorEastAsia" w:hAnsiTheme="minorEastAsia" w:eastAsiaTheme="minorEastAsia"/>
          <w:b/>
          <w:color w:val="000000" w:themeColor="text1"/>
          <w:sz w:val="21"/>
          <w:szCs w:val="21"/>
          <w14:textFill>
            <w14:solidFill>
              <w14:schemeClr w14:val="tx1"/>
            </w14:solidFill>
          </w14:textFill>
        </w:rPr>
        <w:t>【9</w:t>
      </w:r>
      <w:r>
        <w:rPr>
          <w:rStyle w:val="38"/>
          <w:rFonts w:asciiTheme="minorEastAsia" w:hAnsiTheme="minorEastAsia" w:eastAsiaTheme="minorEastAsia"/>
          <w:b/>
          <w:color w:val="000000" w:themeColor="text1"/>
          <w:sz w:val="21"/>
          <w:szCs w:val="21"/>
          <w14:textFill>
            <w14:solidFill>
              <w14:schemeClr w14:val="tx1"/>
            </w14:solidFill>
          </w14:textFill>
        </w:rPr>
        <w:t>】</w:t>
      </w:r>
      <w:r>
        <w:rPr>
          <w:rFonts w:hint="eastAsia" w:asciiTheme="minorEastAsia" w:hAnsiTheme="minorEastAsia" w:eastAsiaTheme="minorEastAsia"/>
          <w:color w:val="000000" w:themeColor="text1"/>
          <w:szCs w:val="21"/>
          <w14:textFill>
            <w14:solidFill>
              <w14:schemeClr w14:val="tx1"/>
            </w14:solidFill>
          </w14:textFill>
        </w:rPr>
        <w:t>未满期净保费</w:t>
      </w:r>
      <w:r>
        <w:rPr>
          <w:rFonts w:asciiTheme="minorEastAsia" w:hAnsiTheme="minorEastAsia" w:eastAsiaTheme="minorEastAsia"/>
          <w:color w:val="000000" w:themeColor="text1"/>
          <w:szCs w:val="21"/>
          <w14:textFill>
            <w14:solidFill>
              <w14:schemeClr w14:val="tx1"/>
            </w14:solidFill>
          </w14:textFill>
        </w:rPr>
        <w:t>:</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未满期净保费</w:t>
      </w:r>
      <w:r>
        <w:rPr>
          <w:rFonts w:asciiTheme="minorEastAsia" w:hAnsiTheme="minorEastAsia" w:eastAsiaTheme="minorEastAsia"/>
          <w:b/>
          <w:color w:val="000000" w:themeColor="text1"/>
          <w:szCs w:val="21"/>
          <w14:textFill>
            <w14:solidFill>
              <w14:schemeClr w14:val="tx1"/>
            </w14:solidFill>
          </w14:textFill>
        </w:rPr>
        <w:t xml:space="preserve">=保险费×[1-(保险单已经过天数/保险期间天数)] </w:t>
      </w:r>
      <w:r>
        <w:rPr>
          <w:rFonts w:hint="eastAsia" w:asciiTheme="minorEastAsia" w:hAnsiTheme="minorEastAsia" w:eastAsiaTheme="minorEastAsia"/>
          <w:b/>
          <w:color w:val="000000" w:themeColor="text1"/>
          <w:szCs w:val="21"/>
          <w14:textFill>
            <w14:solidFill>
              <w14:schemeClr w14:val="tx1"/>
            </w14:solidFill>
          </w14:textFill>
        </w:rPr>
        <w:t>×（</w:t>
      </w:r>
      <w:r>
        <w:rPr>
          <w:rFonts w:asciiTheme="minorEastAsia" w:hAnsiTheme="minorEastAsia" w:eastAsiaTheme="minorEastAsia"/>
          <w:b/>
          <w:color w:val="000000" w:themeColor="text1"/>
          <w:szCs w:val="21"/>
          <w14:textFill>
            <w14:solidFill>
              <w14:schemeClr w14:val="tx1"/>
            </w14:solidFill>
          </w14:textFill>
        </w:rPr>
        <w:t>1-</w:t>
      </w:r>
      <w:r>
        <w:rPr>
          <w:rFonts w:hint="eastAsia" w:asciiTheme="minorEastAsia" w:hAnsiTheme="minorEastAsia"/>
          <w:b/>
          <w:color w:val="000000" w:themeColor="text1"/>
          <w:szCs w:val="21"/>
          <w14:textFill>
            <w14:solidFill>
              <w14:schemeClr w14:val="tx1"/>
            </w14:solidFill>
          </w14:textFill>
        </w:rPr>
        <w:t>退保手续费率</w:t>
      </w:r>
      <w:r>
        <w:rPr>
          <w:rFonts w:asciiTheme="minorEastAsia" w:hAnsiTheme="minorEastAsia" w:eastAsiaTheme="minorEastAsia"/>
          <w:b/>
          <w:color w:val="000000" w:themeColor="text1"/>
          <w:szCs w:val="21"/>
          <w14:textFill>
            <w14:solidFill>
              <w14:schemeClr w14:val="tx1"/>
            </w14:solidFill>
          </w14:textFill>
        </w:rPr>
        <w:t>）。经过天数不足一天的按一天计算。</w:t>
      </w:r>
      <w:r>
        <w:rPr>
          <w:rFonts w:hint="eastAsia" w:asciiTheme="minorEastAsia" w:hAnsiTheme="minorEastAsia"/>
          <w:b/>
          <w:color w:val="000000" w:themeColor="text1"/>
          <w:szCs w:val="21"/>
          <w14:textFill>
            <w14:solidFill>
              <w14:schemeClr w14:val="tx1"/>
            </w14:solidFill>
          </w14:textFill>
        </w:rPr>
        <w:t>退保手续费率将由保险人和投保人在投保时约定，并在保险单上载明，若未约定退保手续费率的，则退保手续费率默认取值为2</w:t>
      </w:r>
      <w:r>
        <w:rPr>
          <w:rFonts w:asciiTheme="minorEastAsia" w:hAnsiTheme="minorEastAsia"/>
          <w:b/>
          <w:color w:val="000000" w:themeColor="text1"/>
          <w:szCs w:val="21"/>
          <w14:textFill>
            <w14:solidFill>
              <w14:schemeClr w14:val="tx1"/>
            </w14:solidFill>
          </w14:textFill>
        </w:rPr>
        <w:t>5%</w:t>
      </w:r>
      <w:r>
        <w:rPr>
          <w:rFonts w:hint="eastAsia" w:asciiTheme="minorEastAsia" w:hAnsiTheme="minorEastAsia"/>
          <w:b/>
          <w:color w:val="000000" w:themeColor="text1"/>
          <w:szCs w:val="21"/>
          <w14:textFill>
            <w14:solidFill>
              <w14:schemeClr w14:val="tx1"/>
            </w14:solidFill>
          </w14:textFill>
        </w:rPr>
        <w:t>。</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【10</w:t>
      </w:r>
      <w:r>
        <w:rPr>
          <w:rStyle w:val="38"/>
          <w:rFonts w:asciiTheme="minorEastAsia" w:hAnsiTheme="minorEastAsia" w:eastAsiaTheme="minorEastAsia"/>
          <w:color w:val="000000" w:themeColor="text1"/>
          <w:sz w:val="21"/>
          <w:szCs w:val="21"/>
          <w14:textFill>
            <w14:solidFill>
              <w14:schemeClr w14:val="tx1"/>
            </w14:solidFill>
          </w14:textFill>
        </w:rPr>
        <w:t>】</w:t>
      </w:r>
      <w:r>
        <w:rPr>
          <w:rFonts w:hint="eastAsia" w:asciiTheme="minorEastAsia" w:hAnsiTheme="minorEastAsia" w:eastAsiaTheme="minorEastAsia"/>
          <w:b/>
          <w:color w:val="000000" w:themeColor="text1"/>
          <w:szCs w:val="21"/>
          <w14:textFill>
            <w14:solidFill>
              <w14:schemeClr w14:val="tx1"/>
            </w14:solidFill>
          </w14:textFill>
        </w:rPr>
        <w:t>未满期保险费</w:t>
      </w:r>
      <w:r>
        <w:rPr>
          <w:rFonts w:asciiTheme="minorEastAsia" w:hAnsiTheme="minorEastAsia" w:eastAsiaTheme="minorEastAsia"/>
          <w:b/>
          <w:color w:val="000000" w:themeColor="text1"/>
          <w:szCs w:val="21"/>
          <w14:textFill>
            <w14:solidFill>
              <w14:schemeClr w14:val="tx1"/>
            </w14:solidFill>
          </w14:textFill>
        </w:rPr>
        <w:t>:</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Fonts w:hint="eastAsia" w:asciiTheme="minorEastAsia" w:hAnsiTheme="minorEastAsia" w:eastAsiaTheme="minorEastAsia"/>
          <w:b/>
          <w:color w:val="000000" w:themeColor="text1"/>
          <w:szCs w:val="21"/>
          <w14:textFill>
            <w14:solidFill>
              <w14:schemeClr w14:val="tx1"/>
            </w14:solidFill>
          </w14:textFill>
        </w:rPr>
        <w:t>未满期保险费</w:t>
      </w:r>
      <w:r>
        <w:rPr>
          <w:rFonts w:asciiTheme="minorEastAsia" w:hAnsiTheme="minorEastAsia" w:eastAsiaTheme="minorEastAsia"/>
          <w:b/>
          <w:color w:val="000000" w:themeColor="text1"/>
          <w:szCs w:val="21"/>
          <w14:textFill>
            <w14:solidFill>
              <w14:schemeClr w14:val="tx1"/>
            </w14:solidFill>
          </w14:textFill>
        </w:rPr>
        <w:t>=保险费×[1-(保险单已经过天数/保险期间天数)]。经过天数不足一天的按一天计算。</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【11</w:t>
      </w:r>
      <w:r>
        <w:rPr>
          <w:rStyle w:val="38"/>
          <w:rFonts w:asciiTheme="minorEastAsia" w:hAnsiTheme="minorEastAsia" w:eastAsiaTheme="minorEastAsia"/>
          <w:color w:val="000000" w:themeColor="text1"/>
          <w:sz w:val="21"/>
          <w:szCs w:val="21"/>
          <w14:textFill>
            <w14:solidFill>
              <w14:schemeClr w14:val="tx1"/>
            </w14:solidFill>
          </w14:textFill>
        </w:rPr>
        <w:t>】</w:t>
      </w:r>
      <w:r>
        <w:rPr>
          <w:rStyle w:val="40"/>
          <w:rFonts w:hint="eastAsia" w:asciiTheme="minorEastAsia" w:hAnsiTheme="minorEastAsia" w:eastAsiaTheme="minorEastAsia"/>
          <w:color w:val="000000" w:themeColor="text1"/>
          <w:sz w:val="21"/>
          <w:szCs w:val="21"/>
          <w14:textFill>
            <w14:solidFill>
              <w14:schemeClr w14:val="tx1"/>
            </w14:solidFill>
          </w14:textFill>
        </w:rPr>
        <w:t>保险金申请人</w:t>
      </w:r>
      <w:r>
        <w:rPr>
          <w:rFonts w:hint="eastAsia" w:asciiTheme="minorEastAsia" w:hAnsiTheme="minorEastAsia" w:eastAsiaTheme="minorEastAsia"/>
          <w:b/>
          <w:color w:val="000000" w:themeColor="text1"/>
          <w:szCs w:val="21"/>
          <w14:textFill>
            <w14:solidFill>
              <w14:schemeClr w14:val="tx1"/>
            </w14:solidFill>
          </w14:textFill>
        </w:rPr>
        <w:t>：指受益人或被保险人的继承人或依法享有保险金请求权的其他自然人。</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【12</w:t>
      </w:r>
      <w:r>
        <w:rPr>
          <w:rStyle w:val="38"/>
          <w:rFonts w:asciiTheme="minorEastAsia" w:hAnsiTheme="minorEastAsia" w:eastAsiaTheme="minorEastAsia"/>
          <w:color w:val="000000" w:themeColor="text1"/>
          <w:sz w:val="21"/>
          <w:szCs w:val="21"/>
          <w14:textFill>
            <w14:solidFill>
              <w14:schemeClr w14:val="tx1"/>
            </w14:solidFill>
          </w14:textFill>
        </w:rPr>
        <w:t>】</w:t>
      </w:r>
      <w:r>
        <w:rPr>
          <w:rStyle w:val="40"/>
          <w:rFonts w:hint="eastAsia" w:asciiTheme="minorEastAsia" w:hAnsiTheme="minorEastAsia" w:eastAsiaTheme="minorEastAsia"/>
          <w:color w:val="000000" w:themeColor="text1"/>
          <w:sz w:val="21"/>
          <w:szCs w:val="21"/>
          <w14:textFill>
            <w14:solidFill>
              <w14:schemeClr w14:val="tx1"/>
            </w14:solidFill>
          </w14:textFill>
        </w:rPr>
        <w:t>不可抗力：</w:t>
      </w:r>
      <w:r>
        <w:rPr>
          <w:rFonts w:hint="eastAsia" w:asciiTheme="minorEastAsia" w:hAnsiTheme="minorEastAsia" w:eastAsiaTheme="minorEastAsia"/>
          <w:b/>
          <w:color w:val="000000" w:themeColor="text1"/>
          <w:szCs w:val="21"/>
          <w14:textFill>
            <w14:solidFill>
              <w14:schemeClr w14:val="tx1"/>
            </w14:solidFill>
          </w14:textFill>
        </w:rPr>
        <w:t>指不能预见、不能避免并不能克服的客观情况。</w:t>
      </w:r>
    </w:p>
    <w:p>
      <w:pPr>
        <w:pStyle w:val="36"/>
        <w:snapToGrid/>
        <w:spacing w:after="156" w:afterLines="50"/>
        <w:ind w:left="0" w:leftChars="0" w:firstLine="422"/>
        <w:rPr>
          <w:rFonts w:asciiTheme="minorEastAsia" w:hAnsiTheme="minorEastAsia" w:eastAsiaTheme="minorEastAsia"/>
          <w:b/>
          <w:color w:val="000000" w:themeColor="text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【13</w:t>
      </w:r>
      <w:r>
        <w:rPr>
          <w:rStyle w:val="38"/>
          <w:rFonts w:asciiTheme="minorEastAsia" w:hAnsiTheme="minorEastAsia" w:eastAsiaTheme="minorEastAsia"/>
          <w:color w:val="000000" w:themeColor="text1"/>
          <w:sz w:val="21"/>
          <w:szCs w:val="21"/>
          <w14:textFill>
            <w14:solidFill>
              <w14:schemeClr w14:val="tx1"/>
            </w14:solidFill>
          </w14:textFill>
        </w:rPr>
        <w:t>】</w:t>
      </w:r>
      <w:r>
        <w:rPr>
          <w:rStyle w:val="40"/>
          <w:rFonts w:hint="eastAsia" w:asciiTheme="minorEastAsia" w:hAnsiTheme="minorEastAsia" w:eastAsiaTheme="minorEastAsia"/>
          <w:color w:val="000000" w:themeColor="text1"/>
          <w:sz w:val="21"/>
          <w:szCs w:val="21"/>
          <w14:textFill>
            <w14:solidFill>
              <w14:schemeClr w14:val="tx1"/>
            </w14:solidFill>
          </w14:textFill>
        </w:rPr>
        <w:t>猝死：</w:t>
      </w:r>
      <w:r>
        <w:rPr>
          <w:rFonts w:hint="eastAsia" w:asciiTheme="minorEastAsia" w:hAnsiTheme="minorEastAsia" w:eastAsiaTheme="minorEastAsia"/>
          <w:b/>
          <w:color w:val="000000" w:themeColor="text1"/>
          <w:szCs w:val="21"/>
          <w14:textFill>
            <w14:solidFill>
              <w14:schemeClr w14:val="tx1"/>
            </w14:solidFill>
          </w14:textFill>
        </w:rPr>
        <w:t>一个貌似健康的人，由于患有潜在的疾病或机能障碍，发生突然的、出人意外的非暴力死亡（自然死亡）。</w:t>
      </w:r>
    </w:p>
    <w:p>
      <w:pPr>
        <w:pStyle w:val="36"/>
        <w:snapToGrid/>
        <w:spacing w:after="156" w:afterLines="50"/>
        <w:ind w:left="0" w:leftChars="0" w:firstLine="422"/>
        <w:rPr>
          <w:rStyle w:val="38"/>
          <w:rFonts w:asciiTheme="minorEastAsia" w:hAnsiTheme="minorEastAsia" w:eastAsiaTheme="minorEastAsia"/>
          <w:color w:val="000000" w:themeColor="text1"/>
          <w:sz w:val="21"/>
          <w:szCs w:val="21"/>
          <w14:textFill>
            <w14:solidFill>
              <w14:schemeClr w14:val="tx1"/>
            </w14:solidFill>
          </w14:textFill>
        </w:rPr>
      </w:pPr>
      <w:r>
        <w:rPr>
          <w:rStyle w:val="38"/>
          <w:rFonts w:hint="eastAsia" w:asciiTheme="minorEastAsia" w:hAnsiTheme="minorEastAsia" w:eastAsiaTheme="minorEastAsia"/>
          <w:color w:val="000000" w:themeColor="text1"/>
          <w:sz w:val="21"/>
          <w:szCs w:val="21"/>
          <w14:textFill>
            <w14:solidFill>
              <w14:schemeClr w14:val="tx1"/>
            </w14:solidFill>
          </w14:textFill>
        </w:rPr>
        <w:t>【14</w:t>
      </w:r>
      <w:r>
        <w:rPr>
          <w:rStyle w:val="38"/>
          <w:rFonts w:asciiTheme="minorEastAsia" w:hAnsiTheme="minorEastAsia" w:eastAsiaTheme="minorEastAsia"/>
          <w:color w:val="000000" w:themeColor="text1"/>
          <w:sz w:val="21"/>
          <w:szCs w:val="21"/>
          <w14:textFill>
            <w14:solidFill>
              <w14:schemeClr w14:val="tx1"/>
            </w14:solidFill>
          </w14:textFill>
        </w:rPr>
        <w:t>】</w:t>
      </w:r>
      <w:r>
        <w:rPr>
          <w:rStyle w:val="38"/>
          <w:rFonts w:hint="eastAsia" w:asciiTheme="minorEastAsia" w:hAnsiTheme="minorEastAsia" w:eastAsiaTheme="minorEastAsia"/>
          <w:color w:val="000000" w:themeColor="text1"/>
          <w:sz w:val="21"/>
          <w:szCs w:val="21"/>
          <w14:textFill>
            <w14:solidFill>
              <w14:schemeClr w14:val="tx1"/>
            </w14:solidFill>
          </w14:textFill>
        </w:rPr>
        <w:t>感染艾滋病病毒（</w:t>
      </w:r>
      <w:r>
        <w:rPr>
          <w:rStyle w:val="38"/>
          <w:rFonts w:asciiTheme="minorEastAsia" w:hAnsiTheme="minorEastAsia" w:eastAsiaTheme="minorEastAsia"/>
          <w:color w:val="000000" w:themeColor="text1"/>
          <w:sz w:val="21"/>
          <w:szCs w:val="21"/>
          <w14:textFill>
            <w14:solidFill>
              <w14:schemeClr w14:val="tx1"/>
            </w14:solidFill>
          </w14:textFill>
        </w:rPr>
        <w:t>HIV）或患艾滋病（AIDS）：艾滋病病毒指人类免疫缺陷病毒，英文缩写为HIV。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pStyle w:val="47"/>
        <w:spacing w:after="156"/>
        <w:ind w:firstLine="412" w:firstLineChars="196"/>
        <w:rPr>
          <w:rStyle w:val="19"/>
          <w:rFonts w:asciiTheme="minorEastAsia" w:hAnsiTheme="minorEastAsia" w:eastAsiaTheme="minorEastAsia"/>
          <w:color w:val="000000" w:themeColor="text1"/>
          <w14:textFill>
            <w14:solidFill>
              <w14:schemeClr w14:val="tx1"/>
            </w14:solidFill>
          </w14:textFill>
        </w:rPr>
      </w:pPr>
      <w:r>
        <w:rPr>
          <w:rStyle w:val="19"/>
          <w:rFonts w:hint="eastAsia" w:asciiTheme="minorEastAsia" w:hAnsiTheme="minorEastAsia" w:eastAsiaTheme="minorEastAsia"/>
          <w:color w:val="000000" w:themeColor="text1"/>
          <w14:textFill>
            <w14:solidFill>
              <w14:schemeClr w14:val="tx1"/>
            </w14:solidFill>
          </w14:textFill>
        </w:rPr>
        <w:t>【15】高风险运动：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但不限于潜水，滑水，滑雪，滑冰，驾驶或乘坐滑翔翼、滑翔伞，跳伞，攀岩运动，探险活动，武术比赛，摔跤比赛，柔道，空手道，跆拳道，马术，拳击，特技表演，驾驶卡丁车，赛马，赛车，各种车辆表演，蹦极。</w:t>
      </w:r>
    </w:p>
    <w:p>
      <w:pPr>
        <w:pStyle w:val="36"/>
        <w:snapToGrid/>
        <w:spacing w:after="156" w:afterLines="50"/>
        <w:ind w:left="0" w:leftChars="0" w:firstLine="422"/>
        <w:rPr>
          <w:rStyle w:val="19"/>
          <w:rFonts w:asciiTheme="minorEastAsia" w:hAnsiTheme="minorEastAsia" w:eastAsiaTheme="minorEastAsia"/>
          <w:color w:val="000000" w:themeColor="text1"/>
          <w14:textFill>
            <w14:solidFill>
              <w14:schemeClr w14:val="tx1"/>
            </w14:solidFill>
          </w14:textFill>
        </w:rPr>
      </w:pPr>
      <w:r>
        <w:rPr>
          <w:rStyle w:val="19"/>
          <w:rFonts w:hint="eastAsia" w:asciiTheme="minorEastAsia" w:hAnsiTheme="minorEastAsia" w:eastAsiaTheme="minorEastAsia"/>
          <w:color w:val="000000" w:themeColor="text1"/>
          <w14:textFill>
            <w14:solidFill>
              <w14:schemeClr w14:val="tx1"/>
            </w14:solidFill>
          </w14:textFill>
        </w:rPr>
        <w:t>【16】恐怖主义行为：指任何人或团体因政治、宗教、意识形态或类似目的，通过武力、暴力威胁表示或其他方式，意图影响政府、公众或令其恐慌所采取的任何行动或以任何方式控制、阻止或压制所引致损害的行为。</w:t>
      </w:r>
    </w:p>
    <w:p>
      <w:pPr>
        <w:pStyle w:val="36"/>
        <w:snapToGrid/>
        <w:spacing w:after="156" w:afterLines="50"/>
        <w:ind w:left="0" w:leftChars="0" w:firstLine="422"/>
        <w:rPr>
          <w:rStyle w:val="38"/>
          <w:rFonts w:asciiTheme="minorEastAsia" w:hAnsiTheme="minorEastAsia" w:eastAsiaTheme="minorEastAsia"/>
          <w:color w:val="000000" w:themeColor="text1"/>
          <w:sz w:val="21"/>
          <w:szCs w:val="21"/>
          <w14:textFill>
            <w14:solidFill>
              <w14:schemeClr w14:val="tx1"/>
            </w14:solidFill>
          </w14:textFill>
        </w:rPr>
      </w:pPr>
      <w:r>
        <w:rPr>
          <w:rStyle w:val="19"/>
          <w:rFonts w:hint="eastAsia" w:asciiTheme="minorEastAsia" w:hAnsiTheme="minorEastAsia" w:eastAsiaTheme="minorEastAsia"/>
          <w:color w:val="000000" w:themeColor="text1"/>
          <w14:textFill>
            <w14:solidFill>
              <w14:schemeClr w14:val="tx1"/>
            </w14:solidFill>
          </w14:textFill>
        </w:rPr>
        <w:t>【17</w:t>
      </w:r>
      <w:r>
        <w:rPr>
          <w:rStyle w:val="19"/>
          <w:rFonts w:asciiTheme="minorEastAsia" w:hAnsiTheme="minorEastAsia" w:eastAsiaTheme="minorEastAsia"/>
          <w:color w:val="000000" w:themeColor="text1"/>
          <w14:textFill>
            <w14:solidFill>
              <w14:schemeClr w14:val="tx1"/>
            </w14:solidFill>
          </w14:textFill>
        </w:rPr>
        <w:t>】</w:t>
      </w:r>
      <w:r>
        <w:rPr>
          <w:rStyle w:val="19"/>
          <w:rFonts w:hint="eastAsia" w:asciiTheme="minorEastAsia" w:hAnsiTheme="minorEastAsia" w:eastAsiaTheme="minorEastAsia"/>
          <w:color w:val="000000" w:themeColor="text1"/>
          <w14:textFill>
            <w14:solidFill>
              <w14:schemeClr w14:val="tx1"/>
            </w14:solidFill>
          </w14:textFill>
        </w:rPr>
        <w:t>职业/半职业体育运动：是一种追求竞技比赛票房价值、以商业牟利为目的的竞技体育活动。其中，职业/半职业运动员一般均有明确的运动训练目标与计划安排，且职业运动员以此为生，而半职业运动员通常拥有第二份正常工作。</w:t>
      </w:r>
    </w:p>
    <w:p>
      <w:pPr>
        <w:pStyle w:val="36"/>
        <w:snapToGrid/>
        <w:spacing w:after="156" w:afterLines="50"/>
        <w:ind w:left="0" w:leftChars="0" w:firstLine="422"/>
        <w:rPr>
          <w:rStyle w:val="38"/>
          <w:rFonts w:asciiTheme="minorEastAsia" w:hAnsiTheme="minorEastAsia" w:eastAsiaTheme="minorEastAsia"/>
          <w:color w:val="000000" w:themeColor="text1"/>
          <w:sz w:val="21"/>
          <w:szCs w:val="21"/>
          <w14:textFill>
            <w14:solidFill>
              <w14:schemeClr w14:val="tx1"/>
            </w14:solidFill>
          </w14:textFill>
        </w:rPr>
      </w:pPr>
    </w:p>
    <w:p>
      <w:pPr>
        <w:pStyle w:val="36"/>
        <w:spacing w:after="93" w:afterLines="30"/>
        <w:ind w:left="0" w:leftChars="0" w:firstLine="422"/>
        <w:rPr>
          <w:rStyle w:val="38"/>
          <w:rFonts w:asciiTheme="minorEastAsia" w:hAnsiTheme="minorEastAsia" w:eastAsiaTheme="minorEastAsia"/>
          <w:color w:val="000000" w:themeColor="text1"/>
          <w:sz w:val="21"/>
          <w:szCs w:val="21"/>
          <w14:textFill>
            <w14:solidFill>
              <w14:schemeClr w14:val="tx1"/>
            </w14:solidFill>
          </w14:textFill>
        </w:rPr>
      </w:pPr>
    </w:p>
    <w:p>
      <w:pPr>
        <w:pStyle w:val="39"/>
        <w:autoSpaceDE w:val="0"/>
        <w:autoSpaceDN w:val="0"/>
        <w:spacing w:before="156" w:beforeLines="50"/>
        <w:ind w:left="-283" w:leftChars="-135" w:right="-57" w:rightChars="-27" w:firstLine="141" w:firstLineChars="67"/>
        <w:textAlignment w:val="bottom"/>
        <w:rPr>
          <w:rFonts w:hint="eastAsia" w:asciiTheme="minorEastAsia" w:hAnsiTheme="minorEastAsia"/>
          <w:b/>
          <w:color w:val="000000" w:themeColor="text1"/>
          <w:sz w:val="24"/>
          <w14:textFill>
            <w14:solidFill>
              <w14:schemeClr w14:val="tx1"/>
            </w14:solidFill>
          </w14:textFill>
        </w:rPr>
      </w:pPr>
      <w:r>
        <w:rPr>
          <w:rFonts w:hint="eastAsia" w:asciiTheme="minorEastAsia" w:hAnsiTheme="minorEastAsia" w:eastAsiaTheme="minorEastAsia"/>
          <w:b/>
          <w:color w:val="000000" w:themeColor="text1"/>
          <w:sz w:val="21"/>
          <w:szCs w:val="21"/>
          <w14:textFill>
            <w14:solidFill>
              <w14:schemeClr w14:val="tx1"/>
            </w14:solidFill>
          </w14:textFill>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20"/>
      <w:jc w:val="center"/>
    </w:pPr>
    <w:r>
      <w:rPr>
        <w:rFonts w:hint="eastAsia"/>
        <w:sz w:val="21"/>
        <w:szCs w:val="21"/>
      </w:rPr>
      <w:t>第</w:t>
    </w:r>
    <w:r>
      <w:rPr>
        <w:bCs/>
        <w:sz w:val="21"/>
        <w:szCs w:val="21"/>
      </w:rPr>
      <w:fldChar w:fldCharType="begin"/>
    </w:r>
    <w:r>
      <w:rPr>
        <w:sz w:val="21"/>
        <w:szCs w:val="21"/>
      </w:rPr>
      <w:instrText xml:space="preserve">PAGE</w:instrText>
    </w:r>
    <w:r>
      <w:rPr>
        <w:bCs/>
        <w:sz w:val="21"/>
        <w:szCs w:val="21"/>
      </w:rPr>
      <w:fldChar w:fldCharType="separate"/>
    </w:r>
    <w:r>
      <w:rPr>
        <w:sz w:val="21"/>
        <w:szCs w:val="21"/>
      </w:rPr>
      <w:t>1</w:t>
    </w:r>
    <w:r>
      <w:rPr>
        <w:bCs/>
        <w:sz w:val="21"/>
        <w:szCs w:val="21"/>
      </w:rPr>
      <w:fldChar w:fldCharType="end"/>
    </w:r>
    <w:r>
      <w:rPr>
        <w:rFonts w:hint="eastAsia"/>
        <w:bCs/>
        <w:sz w:val="21"/>
        <w:szCs w:val="21"/>
      </w:rPr>
      <w:t xml:space="preserve">页 </w:t>
    </w:r>
    <w:r>
      <w:rPr>
        <w:bCs/>
        <w:sz w:val="21"/>
        <w:szCs w:val="21"/>
      </w:rPr>
      <w:t xml:space="preserve"> </w:t>
    </w:r>
    <w:r>
      <w:rPr>
        <w:rFonts w:hint="eastAsia"/>
        <w:bCs/>
        <w:sz w:val="21"/>
        <w:szCs w:val="21"/>
      </w:rPr>
      <w:t>共</w:t>
    </w:r>
    <w:r>
      <w:rPr>
        <w:bCs/>
        <w:sz w:val="21"/>
        <w:szCs w:val="21"/>
      </w:rPr>
      <w:fldChar w:fldCharType="begin"/>
    </w:r>
    <w:r>
      <w:rPr>
        <w:sz w:val="21"/>
        <w:szCs w:val="21"/>
      </w:rPr>
      <w:instrText xml:space="preserve">NUMPAGES</w:instrText>
    </w:r>
    <w:r>
      <w:rPr>
        <w:bCs/>
        <w:sz w:val="21"/>
        <w:szCs w:val="21"/>
      </w:rPr>
      <w:fldChar w:fldCharType="separate"/>
    </w:r>
    <w:r>
      <w:rPr>
        <w:sz w:val="21"/>
        <w:szCs w:val="21"/>
      </w:rPr>
      <w:t>8</w:t>
    </w:r>
    <w:r>
      <w:rPr>
        <w:bCs/>
        <w:sz w:val="21"/>
        <w:szCs w:val="21"/>
      </w:rPr>
      <w:fldChar w:fldCharType="end"/>
    </w:r>
    <w:r>
      <w:rPr>
        <w:rFonts w:hint="eastAsia"/>
        <w:bCs/>
        <w:sz w:val="21"/>
        <w:szCs w:val="21"/>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6F"/>
    <w:rsid w:val="00011CF3"/>
    <w:rsid w:val="00022837"/>
    <w:rsid w:val="000B5C89"/>
    <w:rsid w:val="000E1635"/>
    <w:rsid w:val="0011360A"/>
    <w:rsid w:val="0019131E"/>
    <w:rsid w:val="001A23FB"/>
    <w:rsid w:val="001C68A1"/>
    <w:rsid w:val="00204E04"/>
    <w:rsid w:val="002164AC"/>
    <w:rsid w:val="00220DE6"/>
    <w:rsid w:val="002419C1"/>
    <w:rsid w:val="002818E5"/>
    <w:rsid w:val="00287437"/>
    <w:rsid w:val="00293699"/>
    <w:rsid w:val="002D6716"/>
    <w:rsid w:val="002E0E9D"/>
    <w:rsid w:val="002E434D"/>
    <w:rsid w:val="00353435"/>
    <w:rsid w:val="00355B43"/>
    <w:rsid w:val="003E2E82"/>
    <w:rsid w:val="00452D28"/>
    <w:rsid w:val="00470D11"/>
    <w:rsid w:val="00471C6F"/>
    <w:rsid w:val="004D4658"/>
    <w:rsid w:val="004D588D"/>
    <w:rsid w:val="00521E78"/>
    <w:rsid w:val="00526AA9"/>
    <w:rsid w:val="005571E4"/>
    <w:rsid w:val="00591827"/>
    <w:rsid w:val="005A78B4"/>
    <w:rsid w:val="005F2D0F"/>
    <w:rsid w:val="0061675E"/>
    <w:rsid w:val="00627209"/>
    <w:rsid w:val="00650796"/>
    <w:rsid w:val="00682EA7"/>
    <w:rsid w:val="00692D7C"/>
    <w:rsid w:val="006A2FE0"/>
    <w:rsid w:val="00781C59"/>
    <w:rsid w:val="008122D0"/>
    <w:rsid w:val="00813F00"/>
    <w:rsid w:val="00850E48"/>
    <w:rsid w:val="00851923"/>
    <w:rsid w:val="00875D51"/>
    <w:rsid w:val="00882CDB"/>
    <w:rsid w:val="008B71E6"/>
    <w:rsid w:val="008B783D"/>
    <w:rsid w:val="009A08F0"/>
    <w:rsid w:val="009B2475"/>
    <w:rsid w:val="009C6004"/>
    <w:rsid w:val="00A2236F"/>
    <w:rsid w:val="00A35B5A"/>
    <w:rsid w:val="00A655A0"/>
    <w:rsid w:val="00B251C9"/>
    <w:rsid w:val="00B25E2C"/>
    <w:rsid w:val="00B56656"/>
    <w:rsid w:val="00BB441E"/>
    <w:rsid w:val="00BC6592"/>
    <w:rsid w:val="00BD01AC"/>
    <w:rsid w:val="00BF2E50"/>
    <w:rsid w:val="00C02938"/>
    <w:rsid w:val="00C4479D"/>
    <w:rsid w:val="00C5702F"/>
    <w:rsid w:val="00C60C5A"/>
    <w:rsid w:val="00CC5259"/>
    <w:rsid w:val="00DC1CDC"/>
    <w:rsid w:val="00DD73DD"/>
    <w:rsid w:val="00E0606E"/>
    <w:rsid w:val="00E177F8"/>
    <w:rsid w:val="00E47EDE"/>
    <w:rsid w:val="00E629BE"/>
    <w:rsid w:val="00EF6B99"/>
    <w:rsid w:val="00F06B22"/>
    <w:rsid w:val="00F2364F"/>
    <w:rsid w:val="00F239E2"/>
    <w:rsid w:val="00F47E2F"/>
    <w:rsid w:val="00F830A4"/>
    <w:rsid w:val="00FB0717"/>
    <w:rsid w:val="00FD2CDD"/>
    <w:rsid w:val="00FE2314"/>
    <w:rsid w:val="00FF52B2"/>
    <w:rsid w:val="3B9E2924"/>
    <w:rsid w:val="4753750F"/>
    <w:rsid w:val="6F771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widowControl/>
      <w:spacing w:before="340" w:after="330" w:line="578" w:lineRule="auto"/>
      <w:jc w:val="left"/>
      <w:outlineLvl w:val="0"/>
    </w:pPr>
    <w:rPr>
      <w:rFonts w:ascii="宋体" w:hAnsi="宋体" w:eastAsia="黑体" w:cs="宋体"/>
      <w:b/>
      <w:bCs/>
      <w:kern w:val="44"/>
      <w:sz w:val="48"/>
      <w:szCs w:val="44"/>
    </w:rPr>
  </w:style>
  <w:style w:type="paragraph" w:styleId="3">
    <w:name w:val="heading 2"/>
    <w:basedOn w:val="1"/>
    <w:next w:val="1"/>
    <w:link w:val="26"/>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8">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32"/>
    <w:unhideWhenUsed/>
    <w:qFormat/>
    <w:uiPriority w:val="99"/>
    <w:rPr>
      <w:b/>
      <w:bCs/>
    </w:rPr>
  </w:style>
  <w:style w:type="paragraph" w:styleId="6">
    <w:name w:val="annotation text"/>
    <w:basedOn w:val="1"/>
    <w:link w:val="31"/>
    <w:unhideWhenUsed/>
    <w:qFormat/>
    <w:uiPriority w:val="0"/>
    <w:pPr>
      <w:jc w:val="left"/>
    </w:pPr>
  </w:style>
  <w:style w:type="paragraph" w:styleId="7">
    <w:name w:val="Body Text Indent"/>
    <w:basedOn w:val="1"/>
    <w:link w:val="75"/>
    <w:unhideWhenUsed/>
    <w:qFormat/>
    <w:uiPriority w:val="99"/>
    <w:pPr>
      <w:spacing w:after="120"/>
      <w:ind w:left="420" w:leftChars="200"/>
    </w:pPr>
  </w:style>
  <w:style w:type="paragraph" w:styleId="8">
    <w:name w:val="Block Text"/>
    <w:basedOn w:val="1"/>
    <w:semiHidden/>
    <w:qFormat/>
    <w:uiPriority w:val="0"/>
    <w:pPr>
      <w:spacing w:before="120"/>
      <w:ind w:left="79" w:right="57"/>
    </w:pPr>
    <w:rPr>
      <w:rFonts w:ascii="宋体" w:hAnsi="宋体" w:eastAsia="宋体" w:cs="Times New Roman"/>
      <w:szCs w:val="20"/>
    </w:rPr>
  </w:style>
  <w:style w:type="paragraph" w:styleId="9">
    <w:name w:val="Plain Text"/>
    <w:basedOn w:val="1"/>
    <w:link w:val="20"/>
    <w:qFormat/>
    <w:uiPriority w:val="0"/>
    <w:rPr>
      <w:rFonts w:ascii="宋体" w:hAnsi="Courier New" w:eastAsia="宋体" w:cs="Times New Roman"/>
      <w:szCs w:val="24"/>
    </w:rPr>
  </w:style>
  <w:style w:type="paragraph" w:styleId="10">
    <w:name w:val="Body Text Indent 2"/>
    <w:basedOn w:val="1"/>
    <w:link w:val="56"/>
    <w:qFormat/>
    <w:uiPriority w:val="0"/>
    <w:pPr>
      <w:spacing w:after="120" w:line="480" w:lineRule="auto"/>
      <w:ind w:left="420" w:leftChars="200"/>
    </w:pPr>
    <w:rPr>
      <w:rFonts w:ascii="Times New Roman" w:hAnsi="Times New Roman" w:eastAsia="宋体" w:cs="Times New Roman"/>
      <w:kern w:val="0"/>
      <w:sz w:val="20"/>
      <w:szCs w:val="24"/>
    </w:rPr>
  </w:style>
  <w:style w:type="paragraph" w:styleId="11">
    <w:name w:val="Balloon Text"/>
    <w:basedOn w:val="1"/>
    <w:link w:val="33"/>
    <w:unhideWhenUsed/>
    <w:qFormat/>
    <w:uiPriority w:val="0"/>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0"/>
    <w:qFormat/>
    <w:uiPriority w:val="0"/>
    <w:pPr>
      <w:spacing w:before="240" w:after="60" w:line="312" w:lineRule="auto"/>
      <w:jc w:val="center"/>
      <w:outlineLvl w:val="1"/>
    </w:pPr>
    <w:rPr>
      <w:rFonts w:ascii="Cambria" w:hAnsi="Cambria" w:eastAsia="宋体" w:cs="Times New Roman"/>
      <w:b/>
      <w:bCs/>
      <w:kern w:val="28"/>
      <w:sz w:val="32"/>
      <w:szCs w:val="32"/>
    </w:rPr>
  </w:style>
  <w:style w:type="paragraph" w:styleId="15">
    <w:name w:val="Body Text Indent 3"/>
    <w:basedOn w:val="1"/>
    <w:link w:val="74"/>
    <w:qFormat/>
    <w:uiPriority w:val="0"/>
    <w:pPr>
      <w:spacing w:after="120"/>
      <w:ind w:left="420" w:leftChars="200"/>
    </w:pPr>
    <w:rPr>
      <w:rFonts w:ascii="Times New Roman" w:hAnsi="Times New Roman" w:eastAsia="宋体" w:cs="Times New Roman"/>
      <w:sz w:val="16"/>
      <w:szCs w:val="16"/>
    </w:rPr>
  </w:style>
  <w:style w:type="paragraph" w:styleId="16">
    <w:name w:val="Body Text 2"/>
    <w:basedOn w:val="1"/>
    <w:link w:val="43"/>
    <w:qFormat/>
    <w:uiPriority w:val="0"/>
    <w:pPr>
      <w:jc w:val="left"/>
    </w:pPr>
    <w:rPr>
      <w:rFonts w:ascii="宋体" w:hAnsi="宋体" w:eastAsia="宋体" w:cs="Times New Roman"/>
      <w:szCs w:val="24"/>
    </w:rPr>
  </w:style>
  <w:style w:type="paragraph" w:styleId="17">
    <w:name w:val="Title"/>
    <w:basedOn w:val="1"/>
    <w:next w:val="1"/>
    <w:link w:val="38"/>
    <w:qFormat/>
    <w:uiPriority w:val="0"/>
    <w:pPr>
      <w:spacing w:before="240" w:after="60"/>
      <w:jc w:val="center"/>
      <w:outlineLvl w:val="0"/>
    </w:pPr>
    <w:rPr>
      <w:rFonts w:ascii="Cambria" w:hAnsi="Cambria" w:eastAsia="宋体" w:cs="Times New Roman"/>
      <w:b/>
      <w:bCs/>
      <w:kern w:val="0"/>
      <w:sz w:val="32"/>
      <w:szCs w:val="32"/>
    </w:rPr>
  </w:style>
  <w:style w:type="character" w:styleId="19">
    <w:name w:val="Strong"/>
    <w:basedOn w:val="20"/>
    <w:qFormat/>
    <w:uiPriority w:val="22"/>
    <w:rPr>
      <w:rFonts w:ascii="宋体" w:hAnsi="Courier New" w:eastAsia="宋体" w:cs="Times New Roman"/>
      <w:b/>
      <w:bCs/>
      <w:kern w:val="2"/>
      <w:sz w:val="21"/>
      <w:szCs w:val="24"/>
    </w:rPr>
  </w:style>
  <w:style w:type="character" w:customStyle="1" w:styleId="20">
    <w:name w:val="纯文本 字符"/>
    <w:basedOn w:val="18"/>
    <w:link w:val="9"/>
    <w:qFormat/>
    <w:uiPriority w:val="0"/>
    <w:rPr>
      <w:rFonts w:ascii="宋体" w:hAnsi="Courier New" w:eastAsia="宋体" w:cs="Times New Roman"/>
      <w:szCs w:val="24"/>
    </w:rPr>
  </w:style>
  <w:style w:type="character" w:styleId="21">
    <w:name w:val="page number"/>
    <w:basedOn w:val="18"/>
    <w:qFormat/>
    <w:uiPriority w:val="0"/>
  </w:style>
  <w:style w:type="character" w:styleId="22">
    <w:name w:val="annotation reference"/>
    <w:basedOn w:val="18"/>
    <w:unhideWhenUsed/>
    <w:qFormat/>
    <w:uiPriority w:val="99"/>
    <w:rPr>
      <w:sz w:val="21"/>
      <w:szCs w:val="21"/>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标题 1 字符"/>
    <w:basedOn w:val="18"/>
    <w:link w:val="2"/>
    <w:qFormat/>
    <w:uiPriority w:val="0"/>
    <w:rPr>
      <w:rFonts w:ascii="宋体" w:hAnsi="宋体" w:eastAsia="黑体" w:cs="宋体"/>
      <w:b/>
      <w:bCs/>
      <w:kern w:val="44"/>
      <w:sz w:val="48"/>
      <w:szCs w:val="44"/>
    </w:rPr>
  </w:style>
  <w:style w:type="character" w:customStyle="1" w:styleId="26">
    <w:name w:val="标题 2 字符"/>
    <w:basedOn w:val="18"/>
    <w:link w:val="3"/>
    <w:qFormat/>
    <w:uiPriority w:val="0"/>
    <w:rPr>
      <w:rFonts w:ascii="Arial" w:hAnsi="Arial" w:eastAsia="黑体" w:cs="Times New Roman"/>
      <w:b/>
      <w:bCs/>
      <w:sz w:val="32"/>
      <w:szCs w:val="32"/>
    </w:rPr>
  </w:style>
  <w:style w:type="character" w:customStyle="1" w:styleId="27">
    <w:name w:val="标题 3 字符"/>
    <w:basedOn w:val="18"/>
    <w:link w:val="4"/>
    <w:uiPriority w:val="0"/>
    <w:rPr>
      <w:rFonts w:ascii="Times New Roman" w:hAnsi="Times New Roman" w:eastAsia="宋体" w:cs="Times New Roman"/>
      <w:b/>
      <w:bCs/>
      <w:sz w:val="32"/>
      <w:szCs w:val="32"/>
    </w:rPr>
  </w:style>
  <w:style w:type="paragraph" w:customStyle="1" w:styleId="28">
    <w:name w:val="List Paragraph"/>
    <w:basedOn w:val="1"/>
    <w:qFormat/>
    <w:uiPriority w:val="34"/>
    <w:pPr>
      <w:ind w:firstLine="420" w:firstLineChars="200"/>
    </w:pPr>
  </w:style>
  <w:style w:type="character" w:customStyle="1" w:styleId="29">
    <w:name w:val="页眉 字符"/>
    <w:basedOn w:val="18"/>
    <w:link w:val="13"/>
    <w:uiPriority w:val="99"/>
    <w:rPr>
      <w:sz w:val="18"/>
      <w:szCs w:val="18"/>
    </w:rPr>
  </w:style>
  <w:style w:type="character" w:customStyle="1" w:styleId="30">
    <w:name w:val="页脚 字符"/>
    <w:basedOn w:val="18"/>
    <w:link w:val="12"/>
    <w:uiPriority w:val="99"/>
    <w:rPr>
      <w:sz w:val="18"/>
      <w:szCs w:val="18"/>
    </w:rPr>
  </w:style>
  <w:style w:type="character" w:customStyle="1" w:styleId="31">
    <w:name w:val="批注文字 字符"/>
    <w:basedOn w:val="18"/>
    <w:link w:val="6"/>
    <w:uiPriority w:val="0"/>
  </w:style>
  <w:style w:type="character" w:customStyle="1" w:styleId="32">
    <w:name w:val="批注主题 字符"/>
    <w:basedOn w:val="31"/>
    <w:link w:val="5"/>
    <w:uiPriority w:val="99"/>
    <w:rPr>
      <w:b/>
      <w:bCs/>
    </w:rPr>
  </w:style>
  <w:style w:type="character" w:customStyle="1" w:styleId="33">
    <w:name w:val="批注框文本 字符"/>
    <w:basedOn w:val="18"/>
    <w:link w:val="11"/>
    <w:uiPriority w:val="0"/>
    <w:rPr>
      <w:sz w:val="18"/>
      <w:szCs w:val="18"/>
    </w:rPr>
  </w:style>
  <w:style w:type="character" w:customStyle="1" w:styleId="34">
    <w:name w:val="apple-converted-space"/>
    <w:basedOn w:val="18"/>
    <w:uiPriority w:val="0"/>
  </w:style>
  <w:style w:type="paragraph" w:customStyle="1" w:styleId="35">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36">
    <w:name w:val="条款正文"/>
    <w:basedOn w:val="1"/>
    <w:link w:val="48"/>
    <w:qFormat/>
    <w:uiPriority w:val="0"/>
    <w:pPr>
      <w:adjustRightInd w:val="0"/>
      <w:snapToGrid w:val="0"/>
      <w:ind w:left="840" w:leftChars="400" w:firstLine="420" w:firstLineChars="200"/>
    </w:pPr>
    <w:rPr>
      <w:rFonts w:ascii="Times New Roman" w:hAnsi="Times New Roman" w:eastAsia="宋体" w:cs="Times New Roman"/>
      <w:szCs w:val="24"/>
    </w:rPr>
  </w:style>
  <w:style w:type="paragraph" w:customStyle="1" w:styleId="37">
    <w:name w:val="条款标题"/>
    <w:basedOn w:val="36"/>
    <w:qFormat/>
    <w:uiPriority w:val="0"/>
    <w:pPr>
      <w:tabs>
        <w:tab w:val="left" w:pos="840"/>
      </w:tabs>
      <w:ind w:left="0" w:leftChars="0" w:firstLine="0" w:firstLineChars="0"/>
    </w:pPr>
    <w:rPr>
      <w:b/>
    </w:rPr>
  </w:style>
  <w:style w:type="character" w:customStyle="1" w:styleId="38">
    <w:name w:val="标题 字符"/>
    <w:basedOn w:val="18"/>
    <w:link w:val="17"/>
    <w:uiPriority w:val="0"/>
    <w:rPr>
      <w:rFonts w:ascii="Cambria" w:hAnsi="Cambria" w:eastAsia="宋体" w:cs="Times New Roman"/>
      <w:b/>
      <w:bCs/>
      <w:kern w:val="0"/>
      <w:sz w:val="32"/>
      <w:szCs w:val="32"/>
    </w:rPr>
  </w:style>
  <w:style w:type="paragraph" w:customStyle="1" w:styleId="39">
    <w:name w:val="正文文本 21"/>
    <w:basedOn w:val="1"/>
    <w:uiPriority w:val="0"/>
    <w:pPr>
      <w:adjustRightInd w:val="0"/>
      <w:ind w:firstLine="552"/>
      <w:jc w:val="left"/>
      <w:textAlignment w:val="baseline"/>
    </w:pPr>
    <w:rPr>
      <w:rFonts w:ascii="宋体" w:hAnsi="Times New Roman" w:eastAsia="宋体" w:cs="Times New Roman"/>
      <w:kern w:val="0"/>
      <w:sz w:val="28"/>
      <w:szCs w:val="20"/>
    </w:rPr>
  </w:style>
  <w:style w:type="character" w:customStyle="1" w:styleId="40">
    <w:name w:val="副标题 字符"/>
    <w:basedOn w:val="18"/>
    <w:link w:val="14"/>
    <w:qFormat/>
    <w:uiPriority w:val="0"/>
    <w:rPr>
      <w:rFonts w:ascii="Cambria" w:hAnsi="Cambria" w:eastAsia="宋体" w:cs="Times New Roman"/>
      <w:b/>
      <w:bCs/>
      <w:kern w:val="28"/>
      <w:sz w:val="32"/>
      <w:szCs w:val="32"/>
    </w:rPr>
  </w:style>
  <w:style w:type="paragraph" w:customStyle="1" w:styleId="41">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42">
    <w:name w:val="tf1"/>
    <w:basedOn w:val="18"/>
    <w:uiPriority w:val="0"/>
    <w:rPr>
      <w:sz w:val="18"/>
      <w:szCs w:val="18"/>
    </w:rPr>
  </w:style>
  <w:style w:type="character" w:customStyle="1" w:styleId="43">
    <w:name w:val="正文文本 2 字符"/>
    <w:basedOn w:val="18"/>
    <w:link w:val="16"/>
    <w:uiPriority w:val="0"/>
    <w:rPr>
      <w:rFonts w:ascii="宋体" w:hAnsi="宋体" w:eastAsia="宋体" w:cs="Times New Roman"/>
      <w:szCs w:val="24"/>
    </w:rPr>
  </w:style>
  <w:style w:type="paragraph" w:customStyle="1" w:styleId="44">
    <w:name w:val="列出段落1"/>
    <w:basedOn w:val="1"/>
    <w:uiPriority w:val="0"/>
    <w:pPr>
      <w:ind w:firstLine="420" w:firstLineChars="200"/>
    </w:pPr>
    <w:rPr>
      <w:rFonts w:ascii="Times New Roman" w:hAnsi="Times New Roman" w:eastAsia="宋体" w:cs="Times New Roman"/>
      <w:szCs w:val="24"/>
    </w:rPr>
  </w:style>
  <w:style w:type="paragraph" w:customStyle="1" w:styleId="45">
    <w:name w:val="注解（小四，楷体）"/>
    <w:basedOn w:val="1"/>
    <w:uiPriority w:val="0"/>
    <w:pPr>
      <w:widowControl/>
      <w:contextualSpacing/>
      <w:jc w:val="left"/>
    </w:pPr>
    <w:rPr>
      <w:rFonts w:ascii="楷体" w:hAnsi="楷体" w:eastAsia="楷体" w:cs="宋体"/>
      <w:sz w:val="24"/>
      <w:szCs w:val="24"/>
    </w:rPr>
  </w:style>
  <w:style w:type="paragraph" w:customStyle="1" w:styleId="46">
    <w:name w:val="表格（小四，宋体）"/>
    <w:basedOn w:val="1"/>
    <w:uiPriority w:val="0"/>
    <w:pPr>
      <w:widowControl/>
      <w:contextualSpacing/>
      <w:jc w:val="left"/>
    </w:pPr>
    <w:rPr>
      <w:rFonts w:ascii="宋体" w:hAnsi="宋体" w:eastAsia="宋体" w:cs="宋体"/>
      <w:sz w:val="24"/>
      <w:szCs w:val="24"/>
    </w:rPr>
  </w:style>
  <w:style w:type="paragraph" w:customStyle="1" w:styleId="47">
    <w:name w:val="样式1"/>
    <w:basedOn w:val="36"/>
    <w:link w:val="49"/>
    <w:qFormat/>
    <w:uiPriority w:val="0"/>
    <w:pPr>
      <w:spacing w:afterLines="50"/>
      <w:ind w:left="0" w:leftChars="0" w:firstLine="401" w:firstLineChars="190"/>
    </w:pPr>
  </w:style>
  <w:style w:type="character" w:customStyle="1" w:styleId="48">
    <w:name w:val="条款正文 Char"/>
    <w:basedOn w:val="18"/>
    <w:link w:val="36"/>
    <w:uiPriority w:val="0"/>
    <w:rPr>
      <w:rFonts w:ascii="Times New Roman" w:hAnsi="Times New Roman" w:eastAsia="宋体" w:cs="Times New Roman"/>
      <w:szCs w:val="24"/>
    </w:rPr>
  </w:style>
  <w:style w:type="character" w:customStyle="1" w:styleId="49">
    <w:name w:val="样式1 Char"/>
    <w:basedOn w:val="48"/>
    <w:link w:val="47"/>
    <w:uiPriority w:val="0"/>
    <w:rPr>
      <w:rFonts w:ascii="Times New Roman" w:hAnsi="Times New Roman" w:eastAsia="宋体" w:cs="Times New Roman"/>
      <w:szCs w:val="24"/>
    </w:rPr>
  </w:style>
  <w:style w:type="paragraph" w:customStyle="1" w:styleId="50">
    <w:name w:val="正文文本 22"/>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51">
    <w:name w:val="列出段落2"/>
    <w:basedOn w:val="1"/>
    <w:uiPriority w:val="0"/>
    <w:pPr>
      <w:ind w:firstLine="420" w:firstLineChars="200"/>
    </w:pPr>
    <w:rPr>
      <w:rFonts w:ascii="Times New Roman" w:hAnsi="Times New Roman" w:eastAsia="宋体" w:cs="Times New Roman"/>
      <w:szCs w:val="24"/>
    </w:rPr>
  </w:style>
  <w:style w:type="character" w:customStyle="1" w:styleId="52">
    <w:name w:val="apple-style-span"/>
    <w:basedOn w:val="18"/>
    <w:uiPriority w:val="0"/>
  </w:style>
  <w:style w:type="paragraph" w:customStyle="1" w:styleId="53">
    <w:name w:val="正文文本 23"/>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54">
    <w:name w:val="正文文本 24"/>
    <w:basedOn w:val="1"/>
    <w:qFormat/>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55">
    <w:name w:val="列出段落3"/>
    <w:basedOn w:val="1"/>
    <w:qFormat/>
    <w:uiPriority w:val="0"/>
    <w:pPr>
      <w:ind w:firstLine="420" w:firstLineChars="200"/>
    </w:pPr>
    <w:rPr>
      <w:rFonts w:ascii="Times New Roman" w:hAnsi="Times New Roman" w:eastAsia="宋体" w:cs="Times New Roman"/>
      <w:szCs w:val="24"/>
    </w:rPr>
  </w:style>
  <w:style w:type="character" w:customStyle="1" w:styleId="56">
    <w:name w:val="正文文本缩进 2 字符"/>
    <w:basedOn w:val="18"/>
    <w:link w:val="10"/>
    <w:qFormat/>
    <w:uiPriority w:val="0"/>
    <w:rPr>
      <w:rFonts w:ascii="Times New Roman" w:hAnsi="Times New Roman" w:eastAsia="宋体" w:cs="Times New Roman"/>
      <w:kern w:val="0"/>
      <w:sz w:val="20"/>
      <w:szCs w:val="24"/>
    </w:rPr>
  </w:style>
  <w:style w:type="paragraph" w:customStyle="1" w:styleId="57">
    <w:name w:val="正文文本 25"/>
    <w:basedOn w:val="1"/>
    <w:qFormat/>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58">
    <w:name w:val="列出段落4"/>
    <w:basedOn w:val="1"/>
    <w:qFormat/>
    <w:uiPriority w:val="0"/>
    <w:pPr>
      <w:ind w:firstLine="420" w:firstLineChars="200"/>
    </w:pPr>
    <w:rPr>
      <w:rFonts w:ascii="Times New Roman" w:hAnsi="Times New Roman" w:eastAsia="宋体" w:cs="Times New Roman"/>
      <w:szCs w:val="24"/>
    </w:rPr>
  </w:style>
  <w:style w:type="paragraph" w:customStyle="1" w:styleId="59">
    <w:name w:val="正文文本 26"/>
    <w:basedOn w:val="1"/>
    <w:qFormat/>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60">
    <w:name w:val="列出段落5"/>
    <w:basedOn w:val="1"/>
    <w:qFormat/>
    <w:uiPriority w:val="0"/>
    <w:pPr>
      <w:ind w:firstLine="420" w:firstLineChars="200"/>
    </w:pPr>
    <w:rPr>
      <w:rFonts w:ascii="Times New Roman" w:hAnsi="Times New Roman" w:eastAsia="宋体" w:cs="Times New Roman"/>
      <w:szCs w:val="24"/>
    </w:rPr>
  </w:style>
  <w:style w:type="paragraph" w:customStyle="1" w:styleId="61">
    <w:name w:val="正文文本 27"/>
    <w:basedOn w:val="1"/>
    <w:qFormat/>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62">
    <w:name w:val="列出段落6"/>
    <w:basedOn w:val="1"/>
    <w:uiPriority w:val="0"/>
    <w:pPr>
      <w:ind w:firstLine="420" w:firstLineChars="200"/>
    </w:pPr>
    <w:rPr>
      <w:rFonts w:ascii="Times New Roman" w:hAnsi="Times New Roman" w:eastAsia="宋体" w:cs="Times New Roman"/>
      <w:szCs w:val="24"/>
    </w:rPr>
  </w:style>
  <w:style w:type="paragraph" w:customStyle="1" w:styleId="63">
    <w:name w:val="正文文本 28"/>
    <w:basedOn w:val="1"/>
    <w:qFormat/>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64">
    <w:name w:val="列出段落7"/>
    <w:basedOn w:val="1"/>
    <w:uiPriority w:val="0"/>
    <w:pPr>
      <w:ind w:firstLine="420" w:firstLineChars="200"/>
    </w:pPr>
    <w:rPr>
      <w:rFonts w:ascii="Times New Roman" w:hAnsi="Times New Roman" w:eastAsia="宋体" w:cs="Times New Roman"/>
      <w:szCs w:val="24"/>
    </w:rPr>
  </w:style>
  <w:style w:type="paragraph" w:customStyle="1" w:styleId="65">
    <w:name w:val="正文文本 29"/>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66">
    <w:name w:val="条款大标题"/>
    <w:basedOn w:val="17"/>
    <w:link w:val="67"/>
    <w:qFormat/>
    <w:uiPriority w:val="0"/>
    <w:pPr>
      <w:snapToGrid w:val="0"/>
    </w:pPr>
    <w:rPr>
      <w:kern w:val="2"/>
    </w:rPr>
  </w:style>
  <w:style w:type="character" w:customStyle="1" w:styleId="67">
    <w:name w:val="条款大标题 Char"/>
    <w:basedOn w:val="38"/>
    <w:link w:val="66"/>
    <w:uiPriority w:val="0"/>
    <w:rPr>
      <w:rFonts w:ascii="Cambria" w:hAnsi="Cambria" w:eastAsia="宋体" w:cs="Times New Roman"/>
      <w:kern w:val="0"/>
      <w:sz w:val="32"/>
      <w:szCs w:val="32"/>
    </w:rPr>
  </w:style>
  <w:style w:type="paragraph" w:customStyle="1" w:styleId="68">
    <w:name w:val="清單段落"/>
    <w:basedOn w:val="1"/>
    <w:qFormat/>
    <w:uiPriority w:val="0"/>
    <w:pPr>
      <w:widowControl/>
      <w:ind w:left="480" w:leftChars="200"/>
      <w:jc w:val="left"/>
    </w:pPr>
    <w:rPr>
      <w:rFonts w:ascii="Times New Roman" w:hAnsi="Times New Roman" w:eastAsia="宋体" w:cs="Times New Roman"/>
      <w:kern w:val="0"/>
      <w:sz w:val="24"/>
      <w:szCs w:val="24"/>
    </w:rPr>
  </w:style>
  <w:style w:type="paragraph" w:customStyle="1" w:styleId="69">
    <w:name w:val="列出段落8"/>
    <w:basedOn w:val="1"/>
    <w:qFormat/>
    <w:uiPriority w:val="0"/>
    <w:pPr>
      <w:ind w:firstLine="420" w:firstLineChars="200"/>
    </w:pPr>
    <w:rPr>
      <w:rFonts w:ascii="Times New Roman" w:hAnsi="Times New Roman" w:eastAsia="宋体" w:cs="Times New Roman"/>
      <w:szCs w:val="24"/>
    </w:rPr>
  </w:style>
  <w:style w:type="paragraph" w:customStyle="1" w:styleId="70">
    <w:name w:val="正文文本 210"/>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71">
    <w:name w:val="正文文本 211"/>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72">
    <w:name w:val="正文文本 212"/>
    <w:basedOn w:val="1"/>
    <w:uiPriority w:val="0"/>
    <w:pPr>
      <w:adjustRightInd w:val="0"/>
      <w:ind w:firstLine="552"/>
      <w:jc w:val="left"/>
      <w:textAlignment w:val="baseline"/>
    </w:pPr>
    <w:rPr>
      <w:rFonts w:ascii="宋体" w:hAnsi="Times New Roman" w:eastAsia="宋体" w:cs="Times New Roman"/>
      <w:kern w:val="0"/>
      <w:sz w:val="28"/>
      <w:szCs w:val="20"/>
    </w:rPr>
  </w:style>
  <w:style w:type="paragraph" w:customStyle="1" w:styleId="73">
    <w:name w:val="列出段落9"/>
    <w:basedOn w:val="1"/>
    <w:uiPriority w:val="0"/>
    <w:pPr>
      <w:ind w:firstLine="420" w:firstLineChars="200"/>
    </w:pPr>
    <w:rPr>
      <w:rFonts w:ascii="Times New Roman" w:hAnsi="Times New Roman" w:eastAsia="宋体" w:cs="Times New Roman"/>
      <w:szCs w:val="24"/>
    </w:rPr>
  </w:style>
  <w:style w:type="character" w:customStyle="1" w:styleId="74">
    <w:name w:val="正文文本缩进 3 字符"/>
    <w:basedOn w:val="18"/>
    <w:link w:val="15"/>
    <w:uiPriority w:val="0"/>
    <w:rPr>
      <w:rFonts w:ascii="Times New Roman" w:hAnsi="Times New Roman" w:eastAsia="宋体" w:cs="Times New Roman"/>
      <w:sz w:val="16"/>
      <w:szCs w:val="16"/>
    </w:rPr>
  </w:style>
  <w:style w:type="character" w:customStyle="1" w:styleId="75">
    <w:name w:val="正文文本缩进 字符"/>
    <w:basedOn w:val="18"/>
    <w:link w:val="7"/>
    <w:semiHidden/>
    <w:uiPriority w:val="99"/>
  </w:style>
  <w:style w:type="paragraph" w:customStyle="1" w:styleId="76">
    <w:name w:val="正文文本 213"/>
    <w:basedOn w:val="1"/>
    <w:qFormat/>
    <w:uiPriority w:val="0"/>
    <w:pPr>
      <w:adjustRightInd w:val="0"/>
      <w:ind w:firstLine="552"/>
      <w:jc w:val="left"/>
      <w:textAlignment w:val="baseline"/>
    </w:pPr>
    <w:rPr>
      <w:rFonts w:ascii="宋体" w:hAnsi="Times New Roman" w:eastAsia="宋体" w:cs="Times New Roman"/>
      <w:kern w:val="0"/>
      <w:sz w:val="2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8</Pages>
  <Words>1141</Words>
  <Characters>6506</Characters>
  <Lines>54</Lines>
  <Paragraphs>15</Paragraphs>
  <TotalTime>0</TotalTime>
  <ScaleCrop>false</ScaleCrop>
  <LinksUpToDate>false</LinksUpToDate>
  <CharactersWithSpaces>7632</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2013-11-29T15:45:00Z</dcterms:created>
  <dc:creator>宋松</dc:creator>
  <cp:lastModifiedBy>jack</cp:lastModifiedBy>
  <cp:lastPrinted>2019-02-18T16:24:00Z</cp:lastPrinted>
  <dcterms:modified xsi:type="dcterms:W3CDTF">2021-07-28T13:23:28Z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70333B83C7F044878435134117DD35AF</vt:lpwstr>
  </property>
</Properties>
</file>