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eastAsia="zh-CN"/>
        </w:rPr>
        <w:t>1</w:t>
      </w:r>
      <w:r>
        <w:rPr>
          <w:rFonts w:hint="eastAsia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CN"/>
        </w:rPr>
        <w:t>怡康会员购买特定药品或消费金额满足特定条件后，可获得保险的领取资格条件，本次领取保险有效期为一年。</w:t>
      </w:r>
    </w:p>
    <w:p>
      <w:pPr>
        <w:numPr>
          <w:numId w:val="0"/>
        </w:numPr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CN"/>
        </w:rPr>
        <w:t>本次领取的保险不是实时出具保单，每月25日前登记领取的会员，获赠保险生效日为次月1号；每月26日至月底等级领取的会员，获赠保险生效日延后至下下个月1号。</w:t>
      </w:r>
    </w:p>
    <w:p>
      <w:pPr>
        <w:numPr>
          <w:numId w:val="0"/>
        </w:numPr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CN"/>
        </w:rPr>
        <w:t>单个被保险人一年内领取的骨折津贴保额上限为1万元，超出保额后会员可绑定其他被保险人重新领取剩余保额。</w:t>
      </w:r>
    </w:p>
    <w:p>
      <w:pPr>
        <w:numPr>
          <w:ilvl w:val="0"/>
          <w:numId w:val="0"/>
        </w:num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4、被保险人在骨折出险后不能领取骨折津贴保额，对于骨折出险后获得的保额，保险人有权进行拒保、退保等操作。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B5237"/>
    <w:rsid w:val="FC7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2021-07-28T13:28:00Z</dcterms:created>
  <dc:creator>jack</dc:creator>
  <cp:lastModifiedBy>jack</cp:lastModifiedBy>
  <dcterms:modified xsi:type="dcterms:W3CDTF">2021-07-28T13:28:25Z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