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Seed Selection Experiments and Discussion Brief</w:t>
      </w:r>
    </w:p>
    <w:p>
      <w:pPr/>
      <w:r>
        <w:t>23 September 2026  |  For the next research meeting</w:t>
      </w:r>
    </w:p>
    <w:p>
      <w:pPr/>
      <w:r>
        <w:t>Our current aim is to choose a limited number of Graph A vertices whose verified partners in Graph B most improve seeded graph matching. Predictive models help identify candidate signals; the main test is whether a selection rule improves accuracy at the same query budget on new graph pairs.</w:t>
      </w:r>
    </w:p>
    <w:p>
      <w:pPr>
        <w:pStyle w:val="Heading1"/>
      </w:pPr>
      <w:r>
        <w:t>Results to discuss</w:t>
      </w:r>
    </w:p>
    <w:p>
      <w:pPr/>
      <w:r>
        <w:t>Fixed pair classification used one synthetic graph pair per model, 900 training seed sets and 100 randomly sampled test sets. Success meant at least 90 percent final accuracy on unseeded vertices with one SGM run capped at 30 iterations.</w:t>
      </w:r>
    </w:p>
    <w:tbl>
      <w:tblPr>
        <w:tblW w:type="auto" w:w="0"/>
        <w:jc w:val="center"/>
        <w:tblLayout w:type="fixed"/>
        <w:tblLook w:firstColumn="1" w:firstRow="1" w:lastColumn="0" w:lastRow="0" w:noHBand="0" w:noVBand="1" w:val="04A0"/>
      </w:tblPr>
      <w:tblGrid>
        <w:gridCol w:w="3499"/>
        <w:gridCol w:w="2232"/>
        <w:gridCol w:w="2232"/>
      </w:tblGrid>
      <w:tr>
        <w:trPr>
          <w:tblHeader/>
        </w:trPr>
        <w:tc>
          <w:tcPr>
            <w:tcW w:type="dxa" w:w="3293"/>
            <w:shd w:fill="E7EDF3"/>
            <w:tcBorders>
              <w:top w:val="single" w:color="D9D9D9" w:sz="4"/>
              <w:left w:val="single" w:color="D9D9D9" w:sz="4"/>
              <w:bottom w:val="single" w:color="D9D9D9" w:sz="4"/>
              <w:right w:val="single" w:color="D9D9D9" w:sz="4"/>
            </w:tcBorders>
            <w:vAlign w:val="center"/>
          </w:tcPr>
          <w:p>
            <w:r>
              <w:rPr>
                <w:b/>
                <w:sz w:val="18"/>
              </w:rPr>
              <w:t>Graph model</w:t>
            </w:r>
          </w:p>
        </w:tc>
        <w:tc>
          <w:tcPr>
            <w:tcW w:type="dxa" w:w="3293"/>
            <w:shd w:fill="E7EDF3"/>
            <w:tcBorders>
              <w:top w:val="single" w:color="D9D9D9" w:sz="4"/>
              <w:left w:val="single" w:color="D9D9D9" w:sz="4"/>
              <w:bottom w:val="single" w:color="D9D9D9" w:sz="4"/>
              <w:right w:val="single" w:color="D9D9D9" w:sz="4"/>
            </w:tcBorders>
            <w:vAlign w:val="center"/>
          </w:tcPr>
          <w:p>
            <w:r>
              <w:rPr>
                <w:b/>
                <w:sz w:val="18"/>
              </w:rPr>
              <w:t>Logistic ROC AUC</w:t>
            </w:r>
          </w:p>
        </w:tc>
        <w:tc>
          <w:tcPr>
            <w:tcW w:type="dxa" w:w="3293"/>
            <w:shd w:fill="E7EDF3"/>
            <w:tcBorders>
              <w:top w:val="single" w:color="D9D9D9" w:sz="4"/>
              <w:left w:val="single" w:color="D9D9D9" w:sz="4"/>
              <w:bottom w:val="single" w:color="D9D9D9" w:sz="4"/>
              <w:right w:val="single" w:color="D9D9D9" w:sz="4"/>
            </w:tcBorders>
            <w:vAlign w:val="center"/>
          </w:tcPr>
          <w:p>
            <w:r>
              <w:rPr>
                <w:b/>
                <w:sz w:val="18"/>
              </w:rPr>
              <w:t>Forest ROC AUC</w:t>
            </w:r>
          </w:p>
        </w:tc>
      </w:tr>
      <w:tr>
        <w:tc>
          <w:tcPr>
            <w:tcW w:type="dxa" w:w="3499"/>
            <w:tcBorders>
              <w:top w:val="single" w:color="D9D9D9" w:sz="4"/>
              <w:left w:val="single" w:color="D9D9D9" w:sz="4"/>
              <w:bottom w:val="single" w:color="D9D9D9" w:sz="4"/>
              <w:right w:val="single" w:color="D9D9D9" w:sz="4"/>
            </w:tcBorders>
            <w:vAlign w:val="center"/>
          </w:tcPr>
          <w:p>
            <w:pPr>
              <w:spacing w:after="0" w:line="245" w:lineRule="auto"/>
            </w:pPr>
            <w:r>
              <w:rPr>
                <w:sz w:val="18"/>
              </w:rPr>
              <w:t>Sparse ER</w:t>
            </w:r>
          </w:p>
        </w:tc>
        <w:tc>
          <w:tcPr>
            <w:tcW w:type="dxa" w:w="2232"/>
            <w:tcBorders>
              <w:top w:val="single" w:color="D9D9D9" w:sz="4"/>
              <w:left w:val="single" w:color="D9D9D9" w:sz="4"/>
              <w:bottom w:val="single" w:color="D9D9D9" w:sz="4"/>
              <w:right w:val="single" w:color="D9D9D9" w:sz="4"/>
            </w:tcBorders>
            <w:vAlign w:val="center"/>
          </w:tcPr>
          <w:p>
            <w:pPr>
              <w:spacing w:after="0" w:line="245" w:lineRule="auto"/>
            </w:pPr>
            <w:r>
              <w:rPr>
                <w:sz w:val="18"/>
              </w:rPr>
              <w:t>0.829</w:t>
            </w:r>
          </w:p>
        </w:tc>
        <w:tc>
          <w:tcPr>
            <w:tcW w:type="dxa" w:w="2232"/>
            <w:tcBorders>
              <w:top w:val="single" w:color="D9D9D9" w:sz="4"/>
              <w:left w:val="single" w:color="D9D9D9" w:sz="4"/>
              <w:bottom w:val="single" w:color="D9D9D9" w:sz="4"/>
              <w:right w:val="single" w:color="D9D9D9" w:sz="4"/>
            </w:tcBorders>
            <w:vAlign w:val="center"/>
          </w:tcPr>
          <w:p>
            <w:pPr>
              <w:spacing w:after="0" w:line="245" w:lineRule="auto"/>
            </w:pPr>
            <w:r>
              <w:rPr>
                <w:sz w:val="18"/>
              </w:rPr>
              <w:t>0.803</w:t>
            </w:r>
          </w:p>
        </w:tc>
      </w:tr>
      <w:tr>
        <w:tc>
          <w:tcPr>
            <w:tcW w:type="dxa" w:w="3499"/>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Sparse SBM</w:t>
            </w:r>
          </w:p>
        </w:tc>
        <w:tc>
          <w:tcPr>
            <w:tcW w:type="dxa" w:w="223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0.720</w:t>
            </w:r>
          </w:p>
        </w:tc>
        <w:tc>
          <w:tcPr>
            <w:tcW w:type="dxa" w:w="223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0.669</w:t>
            </w:r>
          </w:p>
        </w:tc>
      </w:tr>
      <w:tr>
        <w:tc>
          <w:tcPr>
            <w:tcW w:type="dxa" w:w="3499"/>
            <w:tcBorders>
              <w:top w:val="single" w:color="D9D9D9" w:sz="4"/>
              <w:left w:val="single" w:color="D9D9D9" w:sz="4"/>
              <w:bottom w:val="single" w:color="D9D9D9" w:sz="4"/>
              <w:right w:val="single" w:color="D9D9D9" w:sz="4"/>
            </w:tcBorders>
            <w:vAlign w:val="center"/>
          </w:tcPr>
          <w:p>
            <w:pPr>
              <w:spacing w:after="0" w:line="245" w:lineRule="auto"/>
            </w:pPr>
            <w:r>
              <w:rPr>
                <w:sz w:val="18"/>
              </w:rPr>
              <w:t>Pareto Chung Lu plus ER</w:t>
            </w:r>
          </w:p>
        </w:tc>
        <w:tc>
          <w:tcPr>
            <w:tcW w:type="dxa" w:w="2232"/>
            <w:tcBorders>
              <w:top w:val="single" w:color="D9D9D9" w:sz="4"/>
              <w:left w:val="single" w:color="D9D9D9" w:sz="4"/>
              <w:bottom w:val="single" w:color="D9D9D9" w:sz="4"/>
              <w:right w:val="single" w:color="D9D9D9" w:sz="4"/>
            </w:tcBorders>
            <w:vAlign w:val="center"/>
          </w:tcPr>
          <w:p>
            <w:pPr>
              <w:spacing w:after="0" w:line="245" w:lineRule="auto"/>
            </w:pPr>
            <w:r>
              <w:rPr>
                <w:sz w:val="18"/>
              </w:rPr>
              <w:t>0.715</w:t>
            </w:r>
          </w:p>
        </w:tc>
        <w:tc>
          <w:tcPr>
            <w:tcW w:type="dxa" w:w="2232"/>
            <w:tcBorders>
              <w:top w:val="single" w:color="D9D9D9" w:sz="4"/>
              <w:left w:val="single" w:color="D9D9D9" w:sz="4"/>
              <w:bottom w:val="single" w:color="D9D9D9" w:sz="4"/>
              <w:right w:val="single" w:color="D9D9D9" w:sz="4"/>
            </w:tcBorders>
            <w:vAlign w:val="center"/>
          </w:tcPr>
          <w:p>
            <w:pPr>
              <w:spacing w:after="0" w:line="245" w:lineRule="auto"/>
            </w:pPr>
            <w:r>
              <w:rPr>
                <w:sz w:val="18"/>
              </w:rPr>
              <w:t>0.690</w:t>
            </w:r>
          </w:p>
        </w:tc>
      </w:tr>
      <w:tr>
        <w:tc>
          <w:tcPr>
            <w:tcW w:type="dxa" w:w="3499"/>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IER</w:t>
            </w:r>
          </w:p>
        </w:tc>
        <w:tc>
          <w:tcPr>
            <w:tcW w:type="dxa" w:w="223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0.780</w:t>
            </w:r>
          </w:p>
        </w:tc>
        <w:tc>
          <w:tcPr>
            <w:tcW w:type="dxa" w:w="223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0.756</w:t>
            </w:r>
          </w:p>
        </w:tc>
      </w:tr>
    </w:tbl>
    <w:p>
      <w:pPr/>
      <w:r>
        <w:t>Multi-hop coverage is the most consistent association in ER, IER and the current heavy-tailed model; direct two-witness coverage leads in SBM. The features are correlated, and these fixed-pair scores do not establish transfer to new graph pairs or a causal effect.</w:t>
      </w:r>
    </w:p>
    <w:p>
      <w:pPr/>
      <w:r>
        <w:t>Direct selection is more encouraging than prediction alone. In Claude’s exploratory comparisons on fresh sparse synthetic pairs, top-degree seed sets needed about 25 to 30 percent fewer queries than random sets to reach 50 percent success. At focused budgets on 48 new pairs, top degree succeeded in 52 percent of runs versus 8 percent for random sets. Greedy two-witness coverage reached 59 percent, but its difference from top degree is statistically unresolved. These runs used a separate SGM reimplementation and need confirmation with graspologic.</w:t>
      </w:r>
    </w:p>
    <w:p>
      <w:pPr/>
      <w:r>
        <w:t>Solver variation matters. In a graspologic audit of 200 PAPER seed sets with five runs each, 51 percent had both successes and failures across runs; the original one-run label disagreed with the five-run majority for 19.5 percent of sets. In the current one-seed examples, a few restarts can already produce roughly 98 to 100 percent baseline accuracy, leaving little room for one more query.</w:t>
      </w:r>
    </w:p>
    <w:p>
      <w:pPr>
        <w:pStyle w:val="Heading1"/>
      </w:pPr>
      <w:r>
        <w:t>Feature explanations</w:t>
      </w:r>
    </w:p>
    <w:tbl>
      <w:tblPr>
        <w:tblW w:type="auto" w:w="0"/>
        <w:jc w:val="center"/>
        <w:tblLayout w:type="fixed"/>
        <w:tblLook w:firstColumn="1" w:firstRow="1" w:lastColumn="0" w:lastRow="0" w:noHBand="0" w:noVBand="1" w:val="04A0"/>
      </w:tblPr>
      <w:tblGrid>
        <w:gridCol w:w="2362"/>
        <w:gridCol w:w="7243"/>
      </w:tblGrid>
      <w:tr>
        <w:trPr>
          <w:tblHeader/>
        </w:trPr>
        <w:tc>
          <w:tcPr>
            <w:tcW w:type="dxa" w:w="4939"/>
            <w:shd w:fill="E7EDF3"/>
            <w:tcBorders>
              <w:top w:val="single" w:color="D9D9D9" w:sz="4"/>
              <w:left w:val="single" w:color="D9D9D9" w:sz="4"/>
              <w:bottom w:val="single" w:color="D9D9D9" w:sz="4"/>
              <w:right w:val="single" w:color="D9D9D9" w:sz="4"/>
            </w:tcBorders>
            <w:vAlign w:val="center"/>
          </w:tcPr>
          <w:p>
            <w:r>
              <w:rPr>
                <w:b/>
                <w:sz w:val="18"/>
              </w:rPr>
              <w:t>Feature</w:t>
            </w:r>
          </w:p>
        </w:tc>
        <w:tc>
          <w:tcPr>
            <w:tcW w:type="dxa" w:w="4939"/>
            <w:shd w:fill="E7EDF3"/>
            <w:tcBorders>
              <w:top w:val="single" w:color="D9D9D9" w:sz="4"/>
              <w:left w:val="single" w:color="D9D9D9" w:sz="4"/>
              <w:bottom w:val="single" w:color="D9D9D9" w:sz="4"/>
              <w:right w:val="single" w:color="D9D9D9" w:sz="4"/>
            </w:tcBorders>
            <w:vAlign w:val="center"/>
          </w:tcPr>
          <w:p>
            <w:r>
              <w:rPr>
                <w:b/>
                <w:sz w:val="18"/>
              </w:rPr>
              <w:t>What it measures and why it may matter</w:t>
            </w:r>
          </w:p>
        </w:tc>
      </w:tr>
      <w:tr>
        <w:tc>
          <w:tcPr>
            <w:tcW w:type="dxa" w:w="2362"/>
            <w:tcBorders>
              <w:top w:val="single" w:color="D9D9D9" w:sz="4"/>
              <w:left w:val="single" w:color="D9D9D9" w:sz="4"/>
              <w:bottom w:val="single" w:color="D9D9D9" w:sz="4"/>
              <w:right w:val="single" w:color="D9D9D9" w:sz="4"/>
            </w:tcBorders>
            <w:vAlign w:val="center"/>
          </w:tcPr>
          <w:p>
            <w:pPr>
              <w:spacing w:after="0" w:line="245" w:lineRule="auto"/>
            </w:pPr>
            <w:r>
              <w:rPr>
                <w:sz w:val="18"/>
              </w:rPr>
              <w:t>Mean seed degree</w:t>
            </w:r>
          </w:p>
        </w:tc>
        <w:tc>
          <w:tcPr>
            <w:tcW w:type="dxa" w:w="7243"/>
            <w:tcBorders>
              <w:top w:val="single" w:color="D9D9D9" w:sz="4"/>
              <w:left w:val="single" w:color="D9D9D9" w:sz="4"/>
              <w:bottom w:val="single" w:color="D9D9D9" w:sz="4"/>
              <w:right w:val="single" w:color="D9D9D9" w:sz="4"/>
            </w:tcBorders>
            <w:vAlign w:val="center"/>
          </w:tcPr>
          <w:p>
            <w:pPr>
              <w:spacing w:after="0" w:line="245" w:lineRule="auto"/>
            </w:pPr>
            <w:r>
              <w:rPr>
                <w:sz w:val="18"/>
              </w:rPr>
              <w:t>Average number of Graph A neighbours per chosen seed. High values create many possible seed to nonseed witnesses.</w:t>
            </w:r>
          </w:p>
        </w:tc>
      </w:tr>
      <w:tr>
        <w:tc>
          <w:tcPr>
            <w:tcW w:type="dxa" w:w="236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One hop coverage</w:t>
            </w:r>
          </w:p>
        </w:tc>
        <w:tc>
          <w:tcPr>
            <w:tcW w:type="dxa" w:w="7243"/>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Fraction of nonseeds adjacent to at least one seed. It measures reach, not redundant evidence.</w:t>
            </w:r>
          </w:p>
        </w:tc>
      </w:tr>
      <w:tr>
        <w:tc>
          <w:tcPr>
            <w:tcW w:type="dxa" w:w="2362"/>
            <w:tcBorders>
              <w:top w:val="single" w:color="D9D9D9" w:sz="4"/>
              <w:left w:val="single" w:color="D9D9D9" w:sz="4"/>
              <w:bottom w:val="single" w:color="D9D9D9" w:sz="4"/>
              <w:right w:val="single" w:color="D9D9D9" w:sz="4"/>
            </w:tcBorders>
            <w:vAlign w:val="center"/>
          </w:tcPr>
          <w:p>
            <w:pPr>
              <w:spacing w:after="0" w:line="245" w:lineRule="auto"/>
            </w:pPr>
            <w:r>
              <w:rPr>
                <w:sz w:val="18"/>
              </w:rPr>
              <w:t>Two witness coverage</w:t>
            </w:r>
          </w:p>
        </w:tc>
        <w:tc>
          <w:tcPr>
            <w:tcW w:type="dxa" w:w="7243"/>
            <w:tcBorders>
              <w:top w:val="single" w:color="D9D9D9" w:sz="4"/>
              <w:left w:val="single" w:color="D9D9D9" w:sz="4"/>
              <w:bottom w:val="single" w:color="D9D9D9" w:sz="4"/>
              <w:right w:val="single" w:color="D9D9D9" w:sz="4"/>
            </w:tcBorders>
            <w:vAlign w:val="center"/>
          </w:tcPr>
          <w:p>
            <w:pPr>
              <w:spacing w:after="0" w:line="245" w:lineRule="auto"/>
            </w:pPr>
            <w:r>
              <w:rPr>
                <w:sz w:val="18"/>
              </w:rPr>
              <w:t>Fraction of nonseeds adjacent to at least two seeds. Multiple verified neighbours may make the correct partner easier to distinguish.</w:t>
            </w:r>
          </w:p>
        </w:tc>
      </w:tr>
      <w:tr>
        <w:tc>
          <w:tcPr>
            <w:tcW w:type="dxa" w:w="236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Three hop seed count</w:t>
            </w:r>
          </w:p>
        </w:tc>
        <w:tc>
          <w:tcPr>
            <w:tcW w:type="dxa" w:w="7243"/>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Average number of seeds within three steps of a nonseed. It captures broader reach, especially in sparse graphs.</w:t>
            </w:r>
          </w:p>
        </w:tc>
      </w:tr>
      <w:tr>
        <w:tc>
          <w:tcPr>
            <w:tcW w:type="dxa" w:w="2362"/>
            <w:tcBorders>
              <w:top w:val="single" w:color="D9D9D9" w:sz="4"/>
              <w:left w:val="single" w:color="D9D9D9" w:sz="4"/>
              <w:bottom w:val="single" w:color="D9D9D9" w:sz="4"/>
              <w:right w:val="single" w:color="D9D9D9" w:sz="4"/>
            </w:tcBorders>
            <w:vAlign w:val="center"/>
          </w:tcPr>
          <w:p>
            <w:pPr>
              <w:spacing w:after="0" w:line="245" w:lineRule="auto"/>
            </w:pPr>
            <w:r>
              <w:rPr>
                <w:sz w:val="18"/>
              </w:rPr>
              <w:t>Covering radius</w:t>
            </w:r>
          </w:p>
        </w:tc>
        <w:tc>
          <w:tcPr>
            <w:tcW w:type="dxa" w:w="7243"/>
            <w:tcBorders>
              <w:top w:val="single" w:color="D9D9D9" w:sz="4"/>
              <w:left w:val="single" w:color="D9D9D9" w:sz="4"/>
              <w:bottom w:val="single" w:color="D9D9D9" w:sz="4"/>
              <w:right w:val="single" w:color="D9D9D9" w:sz="4"/>
            </w:tcBorders>
            <w:vAlign w:val="center"/>
          </w:tcPr>
          <w:p>
            <w:pPr>
              <w:spacing w:after="0" w:line="245" w:lineRule="auto"/>
            </w:pPr>
            <w:r>
              <w:rPr>
                <w:sz w:val="18"/>
              </w:rPr>
              <w:t>Largest shortest path distance from a nonseed to its nearest seed, with disconnected vertices counted separately. Smaller values mean no vertex is very far from the seed set.</w:t>
            </w:r>
          </w:p>
        </w:tc>
      </w:tr>
      <w:tr>
        <w:tc>
          <w:tcPr>
            <w:tcW w:type="dxa" w:w="2362"/>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Seed signature entropy</w:t>
            </w:r>
          </w:p>
        </w:tc>
        <w:tc>
          <w:tcPr>
            <w:tcW w:type="dxa" w:w="7243"/>
            <w:tcBorders>
              <w:top w:val="single" w:color="D9D9D9" w:sz="4"/>
              <w:left w:val="single" w:color="D9D9D9" w:sz="4"/>
              <w:bottom w:val="single" w:color="D9D9D9" w:sz="4"/>
              <w:right w:val="single" w:color="D9D9D9" w:sz="4"/>
            </w:tcBorders>
            <w:vAlign w:val="center"/>
            <w:shd w:fill="F8FAFC"/>
          </w:tcPr>
          <w:p>
            <w:pPr>
              <w:spacing w:after="0" w:line="245" w:lineRule="auto"/>
            </w:pPr>
            <w:r>
              <w:rPr>
                <w:sz w:val="18"/>
              </w:rPr>
              <w:t>Diversity of nonseeds’ adjacency vectors to the seeds. Higher entropy means fewer nonseeds share the same visible seed-neighbour pattern.</w:t>
            </w:r>
          </w:p>
        </w:tc>
      </w:tr>
      <w:tr>
        <w:tc>
          <w:tcPr>
            <w:tcW w:type="dxa" w:w="2362"/>
            <w:tcBorders>
              <w:top w:val="single" w:color="D9D9D9" w:sz="4"/>
              <w:left w:val="single" w:color="D9D9D9" w:sz="4"/>
              <w:bottom w:val="single" w:color="D9D9D9" w:sz="4"/>
              <w:right w:val="single" w:color="D9D9D9" w:sz="4"/>
            </w:tcBorders>
            <w:vAlign w:val="center"/>
          </w:tcPr>
          <w:p>
            <w:pPr>
              <w:spacing w:after="0" w:line="245" w:lineRule="auto"/>
            </w:pPr>
            <w:r>
              <w:rPr>
                <w:sz w:val="18"/>
              </w:rPr>
              <w:t>Mean seed pair distance</w:t>
            </w:r>
          </w:p>
        </w:tc>
        <w:tc>
          <w:tcPr>
            <w:tcW w:type="dxa" w:w="7243"/>
            <w:tcBorders>
              <w:top w:val="single" w:color="D9D9D9" w:sz="4"/>
              <w:left w:val="single" w:color="D9D9D9" w:sz="4"/>
              <w:bottom w:val="single" w:color="D9D9D9" w:sz="4"/>
              <w:right w:val="single" w:color="D9D9D9" w:sz="4"/>
            </w:tcBorders>
            <w:vAlign w:val="center"/>
          </w:tcPr>
          <w:p>
            <w:pPr>
              <w:spacing w:after="0" w:line="245" w:lineRule="auto"/>
            </w:pPr>
            <w:r>
              <w:rPr>
                <w:sz w:val="18"/>
              </w:rPr>
              <w:t>Average shortest path between seeds. It measures how concentrated or dispersed the chosen seeds are.</w:t>
            </w:r>
          </w:p>
        </w:tc>
      </w:tr>
    </w:tbl>
    <w:p>
      <w:pPr/>
      <w:r>
        <w:t>All features above can be computed from Graph A before querying. H0 is first-step matching accuracy and requires known truth in simulation. Preserved-edge fraction is computed after SGM proposes a match; it is a possible confidence or stopping signal, not a pre-query seed feature.</w:t>
      </w:r>
    </w:p>
    <w:p>
      <w:pPr>
        <w:pStyle w:val="Heading1"/>
      </w:pPr>
      <w:r>
        <w:t>Implementation questions</w:t>
      </w:r>
    </w:p>
    <w:p>
      <w:pPr>
        <w:keepLines/>
      </w:pPr>
      <w:r>
        <w:t>Graspologic starts from the barycenter, a flat doubly stochastic matrix, when init is omitted. Our calls also use zero initialization perturbation and one run. With shuffle_input enabled by default, its assignment step randomly reorders score-matrix rows before solving the linear assignment problem, reducing bias from arbitrary vertex order. Equal-scoring assignments can then be resolved differently; later Frank-Wolfe steps may follow different paths. A fixed rng reproduces a run. The professor’s deterministic R implementation may use the same barycenter but fixed tie handling. This should be checked directly rather than assumed equivalent.</w:t>
      </w:r>
    </w:p>
    <w:p>
      <w:pPr/>
      <w:r>
        <w:t>The current generator called PAPER is not the PAPER model of Crane and Xu. Their model is a preferential-attachment tree plus independent ER edges. Our code draws Pareto expected degrees, makes independent Chung-Lu-type edges with probability proportional to the degree product plus p, then draws a correlated second graph. In the current fixed n=600 Graph A, p=0.005 and rho=0.70; there are 1,721 edges, mean degree 5.74, maximum degree 36, 6 isolated and 12 degree-one vertices, and 582 vertices in the 2-core. It is sparse and more heterogeneous than sparse ER, but not a tree or a single star. Its graph-pair variation should not be attributed to a PA growth tree without a new implementation.</w:t>
      </w:r>
    </w:p>
    <w:p>
      <w:pPr>
        <w:pStyle w:val="Heading1"/>
      </w:pPr>
      <w:r>
        <w:t>SeedGNN idea for this week</w:t>
      </w:r>
    </w:p>
    <w:p>
      <w:pPr/>
      <w:r>
        <w:t>SeedGNN is a supervised graph matcher trained across graph pairs. It learns multi-hop witness information and can promote confident predicted pairs as additional internal seeds. Our proposed selector would solve a different task: choose which true correspondences to pay to reveal before SeedGNN runs. If the selector and matcher both seek higher accuracy, this is cooperative seed-policy learning rather than an adversarial attack. A genuinely adversarial version would choose seeds that make the matcher fail, and would answer a robustness question.</w:t>
      </w:r>
    </w:p>
    <w:p>
      <w:pPr/>
      <w:r>
        <w:t>First freeze a trained SeedGNN and compare equal-budget random, top-degree and two-witness seed sets on held-out graph pairs. If seed choice creates meaningful gains, collect those outcomes and train a small selector using only information available before the query: Graph A, the unlabeled Graph B, and any already verified pairs. The candidate’s unrevealed partner must not enter the selector. Optimizing a discrete seed set through downstream accuracy would be a later, more costly step.</w:t>
      </w:r>
    </w:p>
    <w:p>
      <w:pPr>
        <w:pStyle w:val="Heading1"/>
      </w:pPr>
      <w:r>
        <w:t>Decisions for next meeting</w:t>
      </w:r>
    </w:p>
    <w:p>
      <w:pPr>
        <w:pStyle w:val="ListBullet"/>
        <w:spacing w:after="60"/>
      </w:pPr>
      <w:r>
        <w:rPr>
          <w:b/>
        </w:rPr>
        <w:t xml:space="preserve">Primary outcome. </w:t>
      </w:r>
      <w:r>
        <w:t>Final nonseed accuracy, success probability at a declared threshold, or queries needed to reach a target; compare rules at equal query and compute budgets.</w:t>
      </w:r>
    </w:p>
    <w:p>
      <w:pPr>
        <w:pStyle w:val="ListBullet"/>
        <w:spacing w:after="60"/>
      </w:pPr>
      <w:r>
        <w:rPr>
          <w:b/>
        </w:rPr>
        <w:t xml:space="preserve">SGM protocol. </w:t>
      </w:r>
      <w:r>
        <w:t>Choose a fixed iteration cap and restart count after checking graspologic versus the reimplementation. Keep 30 iterations as a sensitivity analysis if the primary protocol changes.</w:t>
      </w:r>
    </w:p>
    <w:p>
      <w:pPr>
        <w:pStyle w:val="ListBullet"/>
        <w:spacing w:after="60"/>
      </w:pPr>
      <w:r>
        <w:rPr>
          <w:b/>
        </w:rPr>
        <w:t xml:space="preserve">Graph model. </w:t>
      </w:r>
      <w:r>
        <w:t>Rename the current heavy-tailed generator accurately or implement and calibrate the true PA-tree-plus-ER PAPER model before drawing PAPER-specific conclusions.</w:t>
      </w:r>
    </w:p>
    <w:p>
      <w:pPr>
        <w:pStyle w:val="ListBullet"/>
        <w:spacing w:after="60"/>
      </w:pPr>
      <w:r>
        <w:rPr>
          <w:b/>
        </w:rPr>
        <w:t xml:space="preserve">Next experiment. </w:t>
      </w:r>
      <w:r>
        <w:t>Confirm top degree versus greedy two-witness coverage on new synthetic pairs. Recalibrate one-seed baselines so an extra query has room to help.</w:t>
      </w:r>
    </w:p>
    <w:p>
      <w:pPr/>
      <w:r>
        <w:t>Real-world graphs are deferred while the synthetic graph models, solver protocol and selection baselines are established.</w:t>
      </w:r>
    </w:p>
    <w:p>
      <w:pPr>
        <w:pStyle w:val="Heading1"/>
      </w:pPr>
      <w:r>
        <w:t>Sources</w:t>
      </w:r>
    </w:p>
    <w:p>
      <w:pPr>
        <w:spacing w:after="60"/>
      </w:pPr>
      <w:r>
        <w:rPr>
          <w:sz w:val="17"/>
        </w:rPr>
        <w:t>Project: fixed_pair_seed_set_classification/SEED_SET_SELECTION_FINDINGS.md and SOLVER_VARIANCE_AUDIT.md</w:t>
      </w:r>
    </w:p>
    <w:p>
      <w:pPr>
        <w:spacing w:after="60"/>
      </w:pPr>
      <w:r>
        <w:rPr>
          <w:sz w:val="17"/>
        </w:rPr>
        <w:t>Project: claude_seed_query_experiments/REPORT.md and results; cross_pair_seed_set_quality/data_collection.py; utils/Graphs.py</w:t>
      </w:r>
    </w:p>
    <w:p>
      <w:pPr>
        <w:spacing w:after="60"/>
      </w:pPr>
      <w:r>
        <w:rPr>
          <w:sz w:val="17"/>
        </w:rPr>
        <w:t>Graspologic graph_match documentation: https://graspologic-org.github.io/graspologic/latest/reference/reference/match.html</w:t>
      </w:r>
    </w:p>
    <w:p>
      <w:pPr>
        <w:spacing w:after="60"/>
      </w:pPr>
      <w:r>
        <w:rPr>
          <w:sz w:val="17"/>
        </w:rPr>
        <w:t>Crane and Xu, Root and community inference on the latent growth process of a network: https://academic.oup.com/jrsssb/article/86/4/825/7283069</w:t>
      </w:r>
    </w:p>
    <w:p>
      <w:pPr>
        <w:spacing w:after="60"/>
      </w:pPr>
      <w:r>
        <w:rPr>
          <w:sz w:val="17"/>
        </w:rPr>
        <w:t>Yu, Xu and Lin, SeedGNN: Graph Neural Network for Supervised Seeded Graph Matching: https://proceedings.mlr.press/v202/yu23h/yu23h.pdf</w:t>
      </w:r>
    </w:p>
    <w:sectPr w:rsidR="00FC693F" w:rsidRPr="0006063C" w:rsidSect="00034616">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