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2.png" ContentType="image/png"/>
  <Override PartName="/word/media/rId54.png" ContentType="image/png"/>
  <Override PartName="/word/media/rId43.png" ContentType="image/png"/>
  <Override PartName="/word/media/rId40.png" ContentType="image/png"/>
  <Override PartName="/word/media/rId55.png" ContentType="image/png"/>
  <Override PartName="/word/media/rId46.png" ContentType="image/png"/>
  <Override PartName="/word/media/rId37.png" ContentType="image/png"/>
  <Override PartName="/word/media/rId36.png" ContentType="image/png"/>
  <Override PartName="/word/media/rId53.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Local</w:t>
      </w:r>
      <w:r>
        <w:t xml:space="preserve"> </w:t>
      </w:r>
      <w:r>
        <w:t xml:space="preserve">drivers</w:t>
      </w:r>
      <w:r>
        <w:t xml:space="preserve"> </w:t>
      </w:r>
      <w:r>
        <w:t xml:space="preserve">of</w:t>
      </w:r>
      <w:r>
        <w:t xml:space="preserve"> </w:t>
      </w:r>
      <w:r>
        <w:t xml:space="preserve">the</w:t>
      </w:r>
      <w:r>
        <w:t xml:space="preserve"> </w:t>
      </w:r>
      <w:r>
        <w:t xml:space="preserve">COVID-19</w:t>
      </w:r>
      <w:r>
        <w:t xml:space="preserve"> </w:t>
      </w:r>
      <w:r>
        <w:t xml:space="preserve">lockdown</w:t>
      </w:r>
      <w:r>
        <w:t xml:space="preserve"> </w:t>
      </w:r>
      <w:r>
        <w:t xml:space="preserve">crime</w:t>
      </w:r>
      <w:r>
        <w:t xml:space="preserve"> </w:t>
      </w:r>
      <w:r>
        <w:t xml:space="preserve">drop</w:t>
      </w:r>
      <w:r>
        <w:t xml:space="preserve"> </w:t>
      </w:r>
      <w:r>
        <w:t xml:space="preserve">in</w:t>
      </w:r>
      <w:r>
        <w:t xml:space="preserve"> </w:t>
      </w:r>
      <w:r>
        <w:t xml:space="preserve">England</w:t>
      </w:r>
      <w:r>
        <w:t xml:space="preserve"> </w:t>
      </w:r>
      <w:r>
        <w:t xml:space="preserve">and</w:t>
      </w:r>
      <w:r>
        <w:t xml:space="preserve"> </w:t>
      </w:r>
      <w:r>
        <w:t xml:space="preserve">Wales</w:t>
      </w:r>
    </w:p>
    <w:p>
      <w:pPr>
        <w:pStyle w:val="Author"/>
      </w:pPr>
      <w:r>
        <w:t xml:space="preserve">Samuel</w:t>
      </w:r>
      <w:r>
        <w:t xml:space="preserve"> </w:t>
      </w:r>
      <w:r>
        <w:t xml:space="preserve">Langton</w:t>
      </w:r>
    </w:p>
    <w:p>
      <w:pPr>
        <w:pStyle w:val="Author"/>
      </w:pPr>
      <w:r>
        <w:t xml:space="preserve">Anthony</w:t>
      </w:r>
      <w:r>
        <w:t xml:space="preserve"> </w:t>
      </w:r>
      <w:r>
        <w:t xml:space="preserve">Dixon</w:t>
      </w:r>
    </w:p>
    <w:p>
      <w:pPr>
        <w:pStyle w:val="Author"/>
      </w:pPr>
      <w:r>
        <w:t xml:space="preserve">Graham</w:t>
      </w:r>
      <w:r>
        <w:t xml:space="preserve"> </w:t>
      </w:r>
      <w:r>
        <w:t xml:space="preserve">Farrell</w:t>
      </w:r>
    </w:p>
    <w:p>
      <w:pPr>
        <w:pStyle w:val="Heading1"/>
      </w:pPr>
      <w:bookmarkStart w:id="20" w:name="introduction"/>
      <w:r>
        <w:t xml:space="preserve">Introduction</w:t>
      </w:r>
      <w:bookmarkEnd w:id="20"/>
    </w:p>
    <w:p>
      <w:pPr>
        <w:pStyle w:val="FirstParagraph"/>
      </w:pPr>
      <w:r>
        <w:t xml:space="preserve">Efforts to slow the spread of COVID-19 through social distancing and restrictions on citizen mobility have induced dramatic and unprecedented changes in police-recorded crime. Studies from international case study sites have reported a decline in most crime types following the imposition of</w:t>
      </w:r>
      <w:r>
        <w:t xml:space="preserve"> </w:t>
      </w:r>
      <w:r>
        <w:t xml:space="preserve">“</w:t>
      </w:r>
      <w:r>
        <w:t xml:space="preserve">stay at home</w:t>
      </w:r>
      <w:r>
        <w:t xml:space="preserve">”</w:t>
      </w:r>
      <w:r>
        <w:t xml:space="preserve"> </w:t>
      </w:r>
      <w:r>
        <w:t xml:space="preserve">(or equivalent) orders</w:t>
      </w:r>
      <w:r>
        <w:t xml:space="preserve"> </w:t>
      </w:r>
      <w:r>
        <w:t xml:space="preserve">(Estévez-Soto, 2020)</w:t>
      </w:r>
      <w:r>
        <w:t xml:space="preserve">. Findings have tended to align with expectations from opportunity perspectives on crime. Lockdown mobility patterns appear to have disrupted the typical convergence of motivated offenders, suitable targets and capable guardians, reducing opportunities for victimization</w:t>
      </w:r>
      <w:r>
        <w:t xml:space="preserve"> </w:t>
      </w:r>
      <w:r>
        <w:t xml:space="preserve">(Stickle &amp; Felson, 2020)</w:t>
      </w:r>
      <w:r>
        <w:t xml:space="preserve">. As lockdown restrictions were slowly repealed, routine activities converged back to pre-pandemic levels and we witnessed a resurgence in criminal activity</w:t>
      </w:r>
      <w:r>
        <w:t xml:space="preserve"> </w:t>
      </w:r>
      <w:r>
        <w:t xml:space="preserve">(Langton et al., 2021)</w:t>
      </w:r>
      <w:r>
        <w:t xml:space="preserve">.</w:t>
      </w:r>
    </w:p>
    <w:p>
      <w:pPr>
        <w:pStyle w:val="BodyText"/>
      </w:pPr>
      <w:r>
        <w:t xml:space="preserve">While existing studies have provided insight into lockdown crime and mobility patterns, research has almost exclusively been undertaken using macro-level units of analysis, such as cities or countries. Less is known about the localized drivers of the lockdown crime drop or the degree to which macro-level trends are masking geographic inequalities in victimization. Pre-pandemic research examining the (in)stability of crime at fine-grained spatial scales</w:t>
      </w:r>
      <w:r>
        <w:t xml:space="preserve"> </w:t>
      </w:r>
      <w:r>
        <w:t xml:space="preserve">(Curman et al., 2015; Weisburd et al., 2012)</w:t>
      </w:r>
      <w:r>
        <w:t xml:space="preserve"> </w:t>
      </w:r>
      <w:r>
        <w:t xml:space="preserve">and inequalities in the crime drop</w:t>
      </w:r>
      <w:r>
        <w:t xml:space="preserve"> </w:t>
      </w:r>
      <w:r>
        <w:t xml:space="preserve">(Adepeju et al., 2021; Ignatans &amp; Pease, n.d.; McVie et al., 2020)</w:t>
      </w:r>
      <w:r>
        <w:t xml:space="preserve"> </w:t>
      </w:r>
      <w:r>
        <w:t xml:space="preserve">would certainly suggest that local areas are unlikely to have experienced lockdown crime trends in unison. Rather, we might expect specific places, typically associated with high ambient populations and plentiful opportunities for crime, to have driven the wider trend, with most local areas remaining fairly stable.</w:t>
      </w:r>
    </w:p>
    <w:p>
      <w:pPr>
        <w:pStyle w:val="BodyText"/>
      </w:pPr>
      <w:r>
        <w:t xml:space="preserve">Examining the localized drivers of the lockdown crime drop (and subsequent resurgence) represents the primary motivation of this paper. We decompose the macro-level trend in police-recorded crime observed in England and Wales between February and August 2020. We deploy non-parametric longitudinal clustering to identify clusters of meso-level units which contributed disproportionately to the nationwide drop and subsequent resurgence in crime during the nationwide lockdown. The spatial patterning, opportunity structure and crime type profile of these local areas are quantified and summarized for their consistency with expectations from opportunity and mobility theories of crime</w:t>
      </w:r>
      <w:r>
        <w:t xml:space="preserve"> </w:t>
      </w:r>
      <w:r>
        <w:t xml:space="preserve">(Halford et al., 2020)</w:t>
      </w:r>
      <w:r>
        <w:t xml:space="preserve">.</w:t>
      </w:r>
    </w:p>
    <w:p>
      <w:pPr>
        <w:pStyle w:val="Heading1"/>
      </w:pPr>
      <w:bookmarkStart w:id="21" w:name="background"/>
      <w:r>
        <w:t xml:space="preserve">Background</w:t>
      </w:r>
      <w:bookmarkEnd w:id="21"/>
    </w:p>
    <w:p>
      <w:pPr>
        <w:pStyle w:val="FirstParagraph"/>
      </w:pPr>
      <w:r>
        <w:t xml:space="preserve">Recent months have seen a wave of interest in describing and explaining changes in crime in response to restrictions on mobility brought about to limit the spread of COVID-19. Studies include case study sites in the United States</w:t>
      </w:r>
      <w:r>
        <w:t xml:space="preserve"> </w:t>
      </w:r>
      <w:r>
        <w:t xml:space="preserve">(Ashby, 2020; Campedelli, Aziani, et al., 2020; Gerell et al., 2020; Mohler et al., 2020; Piquero et al., 2020)</w:t>
      </w:r>
      <w:r>
        <w:t xml:space="preserve">, Australia</w:t>
      </w:r>
      <w:r>
        <w:t xml:space="preserve"> </w:t>
      </w:r>
      <w:r>
        <w:t xml:space="preserve">(J. Payne &amp; Morgan, 2020a, 2020b)</w:t>
      </w:r>
      <w:r>
        <w:t xml:space="preserve">, the United Kingdom</w:t>
      </w:r>
      <w:r>
        <w:t xml:space="preserve"> </w:t>
      </w:r>
      <w:r>
        <w:t xml:space="preserve">(Buil-Gil et al., 2020; Halford et al., 2020; Langton et al., 2021)</w:t>
      </w:r>
      <w:r>
        <w:t xml:space="preserve"> </w:t>
      </w:r>
      <w:r>
        <w:t xml:space="preserve">Canada</w:t>
      </w:r>
      <w:r>
        <w:t xml:space="preserve"> </w:t>
      </w:r>
      <w:r>
        <w:t xml:space="preserve">(Hodgkinson &amp; Andresen, 2020)</w:t>
      </w:r>
      <w:r>
        <w:t xml:space="preserve"> </w:t>
      </w:r>
      <w:r>
        <w:t xml:space="preserve">and Mexico</w:t>
      </w:r>
      <w:r>
        <w:t xml:space="preserve"> </w:t>
      </w:r>
      <w:r>
        <w:t xml:space="preserve">(Estévez-Soto, 2020)</w:t>
      </w:r>
      <w:r>
        <w:t xml:space="preserve">. Generally speaking, findings are consistent with opportunity perspectives and the mobility theory of crime during the pandemic</w:t>
      </w:r>
      <w:r>
        <w:t xml:space="preserve"> </w:t>
      </w:r>
      <w:r>
        <w:t xml:space="preserve">(Halford et al., 2020; Langton et al., 2021)</w:t>
      </w:r>
      <w:r>
        <w:t xml:space="preserve">. That is, legally-enforced restrictions on people’s mobility and social interactions limited opportunities for criminality which in turn resulted in a macro-level decline in crime. As restrictions were relaxed, these opportunities reemerged, mobility patterns converged back to normality, and crime began to</w:t>
      </w:r>
      <w:r>
        <w:t xml:space="preserve"> </w:t>
      </w:r>
      <w:r>
        <w:t xml:space="preserve">‘</w:t>
      </w:r>
      <w:r>
        <w:t xml:space="preserve">bounce back</w:t>
      </w:r>
      <w:r>
        <w:t xml:space="preserve">’</w:t>
      </w:r>
      <w:r>
        <w:t xml:space="preserve"> </w:t>
      </w:r>
      <w:r>
        <w:t xml:space="preserve">– often to levels that would have been expected without the global pandemic and ensuing lockdowns.</w:t>
      </w:r>
    </w:p>
    <w:p>
      <w:pPr>
        <w:pStyle w:val="BodyText"/>
      </w:pPr>
      <w:r>
        <w:t xml:space="preserve">That said, little is known about the localized drivers of these macro-level trends. To what extent have local areas experienced the lockdown crime drop in unison? This exploration represents a unique test of opportunity perspectives on crime, which would stipulate that only a small number of local areas will have driven the lockdown crime drop. In the pre-pandemic era, longitudinal studies have consistently demonstrated that, in a macro-level crime drop scenario, most meso or micro-level areas remained remarkably stable. Instead, a disproportionately large volume of the macro-level change is attributable to a small number of units</w:t>
      </w:r>
      <w:r>
        <w:t xml:space="preserve"> </w:t>
      </w:r>
      <w:r>
        <w:t xml:space="preserve">(e.g. Weisburd et al., 2004; Adepeju et al., 2021; Bannister et al., 2018; Curman et al., 2015; Vandeviver &amp; Steenbeek, 2019)</w:t>
      </w:r>
      <w:r>
        <w:t xml:space="preserve">. This finding can be credited to highly localized opportunity structures, which can differ considerably within the same city, and even within the same neighborhood</w:t>
      </w:r>
      <w:r>
        <w:t xml:space="preserve"> </w:t>
      </w:r>
      <w:r>
        <w:t xml:space="preserve">(Eck et al., 2000; Weisburd et al., 2012)</w:t>
      </w:r>
      <w:r>
        <w:t xml:space="preserve">. A shift in these local structures, brought about either through intervention (e.g. hotspot policing) or rapid changes in routine activities</w:t>
      </w:r>
      <w:r>
        <w:t xml:space="preserve"> </w:t>
      </w:r>
      <w:r>
        <w:t xml:space="preserve">(Griffiths &amp; Chavez, 2004)</w:t>
      </w:r>
      <w:r>
        <w:t xml:space="preserve"> </w:t>
      </w:r>
      <w:r>
        <w:t xml:space="preserve">can bring about wider (macro) change in crime rates.</w:t>
      </w:r>
    </w:p>
    <w:p>
      <w:pPr>
        <w:pStyle w:val="BodyText"/>
      </w:pPr>
      <w:r>
        <w:t xml:space="preserve">In a lockdown scenario, we might expect these effects to be both exaggerated (in scale) and instantaneous (in time). For instance, public transport hubs typically act as major crime generators due to the vast congregation of ambient populations in time and space facilitating the convergence of motivated offenders and suitable targets</w:t>
      </w:r>
      <w:r>
        <w:t xml:space="preserve"> </w:t>
      </w:r>
      <w:r>
        <w:t xml:space="preserve">(Newton, 2018)</w:t>
      </w:r>
      <w:r>
        <w:t xml:space="preserve">. In lockdown, public transport services were either closed completely, or open only for a limited number of essential purposes. With the necessary convergence of offenders and victims disrupted, often quite literally overnight, we would expect these customarily high crime places to fall considerably, driving the macro-level trend. By contrast, areas typically devoid of criminal opportunity, with say, little or no ambient populations, may remain largely unaffected by lockdown restrictions on mobility, and in turn, contribute little to any macro-level change. In other words, while lockdowns are imposed at a city or national level, their effect on crime will likely be moderated by the opportunity structure of local areas.</w:t>
      </w:r>
    </w:p>
    <w:p>
      <w:pPr>
        <w:pStyle w:val="BodyText"/>
      </w:pPr>
      <w:r>
        <w:t xml:space="preserve">Preliminary evidence from the United States certainly suggests that macro lockdown crime trends might mask underlying variation. Using police-recorded crime data in San Francisco and Oakland,</w:t>
      </w:r>
      <w:r>
        <w:t xml:space="preserve"> </w:t>
      </w:r>
      <w:r>
        <w:t xml:space="preserve">Shayegh &amp; Malpede (2020)</w:t>
      </w:r>
      <w:r>
        <w:t xml:space="preserve"> </w:t>
      </w:r>
      <w:r>
        <w:t xml:space="preserve">provided visual descriptive evidence which indicated a degree of geographic variation in pre and post-lockdown crime. In Detroit, a study using a small sample of block units found that, amidst a fall in burglaries following a stay at home order, there was a shift in concentrations away from residential areas towards mixed and non-residential parts of the city</w:t>
      </w:r>
      <w:r>
        <w:t xml:space="preserve"> </w:t>
      </w:r>
      <w:r>
        <w:t xml:space="preserve">(Felson et al., 2020)</w:t>
      </w:r>
      <w:r>
        <w:t xml:space="preserve">. In Chicago, there is evidence of variability in the extent to which lockdown policies impacted upon crime. A small proportion of communities drove the citywide decline, with most areas remaining largely unchanged, and some areas even</w:t>
      </w:r>
      <w:r>
        <w:t xml:space="preserve"> </w:t>
      </w:r>
      <w:r>
        <w:rPr>
          <w:i/>
        </w:rPr>
        <w:t xml:space="preserve">increasing</w:t>
      </w:r>
      <w:r>
        <w:t xml:space="preserve">, bucking the trend entirely</w:t>
      </w:r>
      <w:r>
        <w:t xml:space="preserve"> </w:t>
      </w:r>
      <w:r>
        <w:t xml:space="preserve">(Campedelli, Favarin, et al., 2020)</w:t>
      </w:r>
      <w:r>
        <w:t xml:space="preserve">. Using regional units of analysis nested within the state of Queensland, Australia,</w:t>
      </w:r>
      <w:r>
        <w:t xml:space="preserve"> </w:t>
      </w:r>
      <w:r>
        <w:t xml:space="preserve">Payne et al. (2021)</w:t>
      </w:r>
      <w:r>
        <w:t xml:space="preserve"> </w:t>
      </w:r>
      <w:r>
        <w:t xml:space="preserve">found a degree of diversity in crime rate trends, suggesting that the lockdown crime drop was not</w:t>
      </w:r>
      <w:r>
        <w:t xml:space="preserve"> </w:t>
      </w:r>
      <w:r>
        <w:t xml:space="preserve">‘</w:t>
      </w:r>
      <w:r>
        <w:t xml:space="preserve">universal</w:t>
      </w:r>
      <w:r>
        <w:t xml:space="preserve">’</w:t>
      </w:r>
      <w:r>
        <w:t xml:space="preserve">. In the United Kingdom, however, we have not seen a comprehensive decomposition of local variation and longitudinal (in)stability underpinning the lockdown crime drop and subsequent resurgence, or indeed an exploration of the opportunity structures characterizing the local areas which have driven macro-level changes.</w:t>
      </w:r>
    </w:p>
    <w:p>
      <w:pPr>
        <w:pStyle w:val="BodyText"/>
      </w:pPr>
      <w:r>
        <w:t xml:space="preserve">In this paper, we aim to identify the localized drivers of the lockdown crime drop in England and Wales. We achieve this using 7-months of police-recorded crime data between February and August, 2020. First, we summarize the nationwide (macro) trend in terms of absolute crime counts and concentration. Second, using a non-parametric longitudinal clustering technique, we identify meaningful clusters of meso-level areas which unpick stable (and volatile) local areas underpinning the macro-level trend. Third, we describe the clusters identified in terms of their spatial patterning, opportunity structures, and crime type profile.</w:t>
      </w:r>
    </w:p>
    <w:p>
      <w:pPr>
        <w:pStyle w:val="Heading1"/>
      </w:pPr>
      <w:bookmarkStart w:id="22" w:name="data-and-method"/>
      <w:r>
        <w:t xml:space="preserve">Data and Method</w:t>
      </w:r>
      <w:bookmarkEnd w:id="22"/>
    </w:p>
    <w:p>
      <w:pPr>
        <w:pStyle w:val="FirstParagraph"/>
      </w:pPr>
      <w:r>
        <w:t xml:space="preserve">To examine localized instability in the lockdown crime drop, we make use of three data sources, namely, open police-recorded crime data, geographic boundaries from Ordnance Survey and the Office for National Statistics (ONS), and data sourced from the Open Street Map API. Each of these are now outlined in turn, followed by an outline of the methods deployed. Code to replicate the data downloads, handling, analyses and visualization reported here are openly available (</w:t>
      </w:r>
      <w:hyperlink r:id="rId23">
        <w:r>
          <w:rPr>
            <w:rStyle w:val="Hyperlink"/>
          </w:rPr>
          <w:t xml:space="preserve">https://github.com/langtonhugh/covid_spatial</w:t>
        </w:r>
      </w:hyperlink>
      <w:r>
        <w:t xml:space="preserve">).</w:t>
      </w:r>
    </w:p>
    <w:p>
      <w:pPr>
        <w:pStyle w:val="Heading2"/>
      </w:pPr>
      <w:bookmarkStart w:id="24" w:name="crime-data"/>
      <w:r>
        <w:t xml:space="preserve">Crime data</w:t>
      </w:r>
      <w:bookmarkEnd w:id="24"/>
    </w:p>
    <w:p>
      <w:pPr>
        <w:pStyle w:val="FirstParagraph"/>
      </w:pPr>
      <w:r>
        <w:t xml:space="preserve">Open police-recorded data on crime and anti-social behavior in England and Wales is published through an online web portal (</w:t>
      </w:r>
      <w:hyperlink r:id="rId25">
        <w:r>
          <w:rPr>
            <w:rStyle w:val="Hyperlink"/>
          </w:rPr>
          <w:t xml:space="preserve">https://data.police.uk/</w:t>
        </w:r>
      </w:hyperlink>
      <w:r>
        <w:t xml:space="preserve">). Individual records are released on a month-by-month basis for each of the 43 police forces comprising England and Wales. We used a study period spanning February to August 2020 in order to capture the first six months of the nationwide lockdown (March to August) and the one month preceding the change (February). For reference and comparison to historical trends, we obtained data for the same months in 2018 and 2019. Individual records are time-stamped by month – the temporal scale of this study. Due to ongoing data issues with Greater Manchester Police, we excluded data from this region, and therefore collated data from 42 out of 43 forces in England and Wales.</w:t>
      </w:r>
    </w:p>
    <w:p>
      <w:pPr>
        <w:pStyle w:val="BodyText"/>
      </w:pPr>
      <w:r>
        <w:t xml:space="preserve">Individual open records categorize crime according to thirteen different notifiable offence categories (e.g. burglary, violence and sexual offences, theft from the person, vehicle crime).</w:t>
      </w:r>
      <w:r>
        <w:rPr>
          <w:rStyle w:val="FootnoteReference"/>
        </w:rPr>
        <w:footnoteReference w:id="26"/>
      </w:r>
      <w:r>
        <w:t xml:space="preserve"> </w:t>
      </w:r>
      <w:r>
        <w:t xml:space="preserve">Records also include anti-social behaviour (ASB) which usually captures less serious offences such as nuisance behavior and is not a notifiable offence. Individual records were aggregated to create a count measure for notifiable offences (excluding drugs) by month either at the nationwide (macro) level, or the localized (meso) level, as detailed in the next section. There widespread recognition that drug crime trends, particularly during the COVID-19 lockdown, largely reflect policing proactivity rather than meaningful shifts in criminal behavior</w:t>
      </w:r>
      <w:r>
        <w:t xml:space="preserve"> </w:t>
      </w:r>
      <w:r>
        <w:t xml:space="preserve">(Langton et al., 2021)</w:t>
      </w:r>
      <w:r>
        <w:t xml:space="preserve">. Recognizing that aggregating data across crime types can mask variation</w:t>
      </w:r>
      <w:r>
        <w:t xml:space="preserve"> </w:t>
      </w:r>
      <w:r>
        <w:t xml:space="preserve">(Andresen et al., 2017)</w:t>
      </w:r>
      <w:r>
        <w:t xml:space="preserve"> </w:t>
      </w:r>
      <w:r>
        <w:t xml:space="preserve">we later decompose our main findings according to the twelve remaining notifiable offences, and refer to additional analyses in the Appendix.</w:t>
      </w:r>
    </w:p>
    <w:p>
      <w:pPr>
        <w:pStyle w:val="Heading2"/>
      </w:pPr>
      <w:bookmarkStart w:id="28" w:name="unit-of-analysis"/>
      <w:r>
        <w:t xml:space="preserve">Unit of analysis</w:t>
      </w:r>
      <w:bookmarkEnd w:id="28"/>
    </w:p>
    <w:p>
      <w:pPr>
        <w:pStyle w:val="FirstParagraph"/>
      </w:pPr>
      <w:r>
        <w:t xml:space="preserve">For nationwide (macro) descriptive statistics, which set the background for the main analyses, we use the geographic region of England and Wales, noting the exclusion of Greater Manchester. For localized (meso) analysis, we aggregate offences to Lower Super Output Area (LSOA). LSOA are a meso-level geographic units designed for the reporting of official statistics at small geographies</w:t>
      </w:r>
      <w:r>
        <w:t xml:space="preserve"> </w:t>
      </w:r>
      <w:r>
        <w:t xml:space="preserve">(Office of National Statistics, 2021)</w:t>
      </w:r>
      <w:r>
        <w:t xml:space="preserve">. England and Wales is comprised of 32,844 LSOA designed to be uniform by resident population size. In 2019, LSOA housed an average of 1,700 people. Data obtained from the open police data portal (see previous section) includes a pre-assigned field stating the LSOA in which the crime occurred, as recorded by the police. Due to the spatial anonymization method used prior to data release, LSOA are the lowest level of aggregation at which we can reasonably assume spatial accuracy across multiple crime types</w:t>
      </w:r>
      <w:r>
        <w:t xml:space="preserve"> </w:t>
      </w:r>
      <w:r>
        <w:t xml:space="preserve">(Tompson et al., 2015)</w:t>
      </w:r>
      <w:r>
        <w:t xml:space="preserve">. Boundaries reflect</w:t>
      </w:r>
      <w:r>
        <w:t xml:space="preserve"> </w:t>
      </w:r>
      <w:r>
        <w:t xml:space="preserve">‘</w:t>
      </w:r>
      <w:r>
        <w:t xml:space="preserve">on the ground</w:t>
      </w:r>
      <w:r>
        <w:t xml:space="preserve">’</w:t>
      </w:r>
      <w:r>
        <w:t xml:space="preserve"> </w:t>
      </w:r>
      <w:r>
        <w:t xml:space="preserve">characteristics such as roads and railways</w:t>
      </w:r>
      <w:r>
        <w:t xml:space="preserve"> </w:t>
      </w:r>
      <w:r>
        <w:t xml:space="preserve">(Office of National Statistics, 2012)</w:t>
      </w:r>
      <w:r>
        <w:t xml:space="preserve">, and as such, we consider LSOA to represent meaningful behavioral spaces to study the opportunity structures of crime. After removing crimes recorded by Greater Manchester Police, crimes recorded to have occurred within the Greater Manchester region, and four LSOAs which contained no crime between 2018 and 2020 (likely due to the spatial anonymization process), our final sample population for the meso-level analysis comprised 33,075 LSOA.</w:t>
      </w:r>
    </w:p>
    <w:p>
      <w:pPr>
        <w:pStyle w:val="Heading2"/>
      </w:pPr>
      <w:bookmarkStart w:id="29" w:name="open-street-map"/>
      <w:r>
        <w:t xml:space="preserve">Open Street Map</w:t>
      </w:r>
      <w:bookmarkEnd w:id="29"/>
    </w:p>
    <w:p>
      <w:pPr>
        <w:pStyle w:val="FirstParagraph"/>
      </w:pPr>
      <w:r>
        <w:t xml:space="preserve">To summarize the opportunity structure of local areas we required a nationwide dataset of theoretically relevant facilities and urban features which could be aggregated at the LSOA level. To this end, we obtained point-level data from the Application Programming Interface (API) for Open Street Map via the</w:t>
      </w:r>
      <w:r>
        <w:t xml:space="preserve"> </w:t>
      </w:r>
      <w:r>
        <w:rPr>
          <w:rStyle w:val="VerbatimChar"/>
        </w:rPr>
        <w:t xml:space="preserve">osmdata</w:t>
      </w:r>
      <w:r>
        <w:t xml:space="preserve"> </w:t>
      </w:r>
      <w:r>
        <w:t xml:space="preserve">package</w:t>
      </w:r>
      <w:r>
        <w:t xml:space="preserve"> </w:t>
      </w:r>
      <w:r>
        <w:t xml:space="preserve">(Padgham et al., 2017)</w:t>
      </w:r>
      <w:r>
        <w:t xml:space="preserve"> </w:t>
      </w:r>
      <w:r>
        <w:t xml:space="preserve">in</w:t>
      </w:r>
      <w:r>
        <w:t xml:space="preserve"> </w:t>
      </w:r>
      <w:r>
        <w:rPr>
          <w:rStyle w:val="VerbatimChar"/>
        </w:rPr>
        <w:t xml:space="preserve">R</w:t>
      </w:r>
      <w:r>
        <w:t xml:space="preserve"> </w:t>
      </w:r>
      <w:r>
        <w:t xml:space="preserve">(R Core Team, 2013)</w:t>
      </w:r>
      <w:r>
        <w:t xml:space="preserve">. Open Street Map is a crowdsourced geospatial database containing a vast array of features which can be used for explaining the temporal and spatial patterning of crime</w:t>
      </w:r>
      <w:r>
        <w:t xml:space="preserve"> </w:t>
      </w:r>
      <w:r>
        <w:t xml:space="preserve">(Langton &amp; Solymosi, 2020)</w:t>
      </w:r>
      <w:r>
        <w:t xml:space="preserve">. Geographic features are identified by pairs of keys and values which can be used to computationally query the API for data. Based on existing research examining the opportunity structures of fine-grained spatial scales, we collated the coordinate locations of the following facilities:</w:t>
      </w:r>
    </w:p>
    <w:p>
      <w:pPr>
        <w:pStyle w:val="Compact"/>
        <w:numPr>
          <w:numId w:val="1001"/>
          <w:ilvl w:val="0"/>
        </w:numPr>
      </w:pPr>
      <w:r>
        <w:t xml:space="preserve">Nightlife: pubs, nightclubs, restaurants.</w:t>
      </w:r>
    </w:p>
    <w:p>
      <w:pPr>
        <w:pStyle w:val="Compact"/>
        <w:numPr>
          <w:numId w:val="1001"/>
          <w:ilvl w:val="0"/>
        </w:numPr>
      </w:pPr>
      <w:r>
        <w:t xml:space="preserve">Shops: convenience stores, malls, shoe shops, department stores, clothes shops, electrical shops, supermarkets, chemists, greengrocers.</w:t>
      </w:r>
    </w:p>
    <w:p>
      <w:pPr>
        <w:pStyle w:val="Compact"/>
        <w:numPr>
          <w:numId w:val="1001"/>
          <w:ilvl w:val="0"/>
        </w:numPr>
      </w:pPr>
      <w:r>
        <w:t xml:space="preserve">Public transport: bus stops and railway stations.</w:t>
      </w:r>
    </w:p>
    <w:p>
      <w:pPr>
        <w:pStyle w:val="Compact"/>
        <w:numPr>
          <w:numId w:val="1001"/>
          <w:ilvl w:val="0"/>
        </w:numPr>
      </w:pPr>
      <w:r>
        <w:t xml:space="preserve">Bicycle parking: bicycle parking lots.</w:t>
      </w:r>
    </w:p>
    <w:p>
      <w:pPr>
        <w:pStyle w:val="FirstParagraph"/>
      </w:pPr>
      <w:r>
        <w:t xml:space="preserve">The point-level data on these features were aggregated to create counts for each facility by LSOA. For simplicity, and due to issues of data sparsity, we sum the counts for each facility according to their overarching description (i.e. nightlife, shops, public transport, bicycle parking). We hypothesize that LSOAs containing a high number of facility counts across each domain will have higher pre-pandemic levels of crime, due to the plentiful opportunities for criminality, and in turn, steeper declines in crime following lockdown due to such opportunities suddenly becoming unavailable. We expect areas with</w:t>
      </w:r>
      <w:r>
        <w:t xml:space="preserve"> </w:t>
      </w:r>
      <w:r>
        <w:rPr>
          <w:i/>
        </w:rPr>
        <w:t xml:space="preserve">low</w:t>
      </w:r>
      <w:r>
        <w:t xml:space="preserve"> </w:t>
      </w:r>
      <w:r>
        <w:t xml:space="preserve">counts across these domains to have similarly low crime levels pre-lockdown, and thus will remain low and stable following lockdown commencement.</w:t>
      </w:r>
    </w:p>
    <w:p>
      <w:pPr>
        <w:pStyle w:val="Heading1"/>
      </w:pPr>
      <w:bookmarkStart w:id="30" w:name="method"/>
      <w:r>
        <w:t xml:space="preserve">Method</w:t>
      </w:r>
      <w:bookmarkEnd w:id="30"/>
    </w:p>
    <w:p>
      <w:pPr>
        <w:pStyle w:val="FirstParagraph"/>
      </w:pPr>
      <w:r>
        <w:t xml:space="preserve">Analyses to examine the localized variation in the lockdown crime drop are conducted in three principal stages. First, an overview of nationwide (macro) trend is provided in terms of both absolute counts and the degree of concentration. Second, the macro-level trend is disentangled using non-parametric clustering techniques on the LSOA (meso) units (N = 33,075). Third, the characteristics of each cluster will be summarized in terms of their opportunity structures, spatial patterning and crime type profile.</w:t>
      </w:r>
    </w:p>
    <w:p>
      <w:pPr>
        <w:pStyle w:val="Heading2"/>
      </w:pPr>
      <w:bookmarkStart w:id="31" w:name="macro-level-descriptives"/>
      <w:r>
        <w:t xml:space="preserve">Macro-level descriptives</w:t>
      </w:r>
      <w:bookmarkEnd w:id="31"/>
    </w:p>
    <w:p>
      <w:pPr>
        <w:pStyle w:val="FirstParagraph"/>
      </w:pPr>
      <w:r>
        <w:t xml:space="preserve">Macro-level descriptives of count trends and concentration for notifiable offences (excluding drugs) are reported for provide context from which we will subsequently unmask local (meso) variation. First, we visualize observed counts between February and August 2020 relative to the same periods in 2018 and 2019. In doing so, we can observe how nationwide crime trends changed in the face of lockdown measures</w:t>
      </w:r>
      <w:r>
        <w:t xml:space="preserve"> </w:t>
      </w:r>
      <w:r>
        <w:t xml:space="preserve">(see also Langton et al., 2021)</w:t>
      </w:r>
      <w:r>
        <w:t xml:space="preserve">. Second, we visualize generalized Gini coefficients</w:t>
      </w:r>
      <w:r>
        <w:t xml:space="preserve"> </w:t>
      </w:r>
      <w:r>
        <w:t xml:space="preserve">(Bernasco &amp; Steenbeek, 2017)</w:t>
      </w:r>
      <w:r>
        <w:t xml:space="preserve"> </w:t>
      </w:r>
      <w:r>
        <w:t xml:space="preserve">to describe the degree of which offences became more (or less) concentrated during lockdown at LSOA level. Again, we report figures for 2018 and 2019 as a point of reference. We use the generalized version of the Gini coefficient to account for data sparsity, as for some crime types reported in the Appendix, the number of crimes falls below the number of LSOAs in the study region. Measures of counts and concentration set scene from which we can disentangle the underlying, meso-level variation.</w:t>
      </w:r>
    </w:p>
    <w:p>
      <w:pPr>
        <w:pStyle w:val="Heading2"/>
      </w:pPr>
      <w:bookmarkStart w:id="32" w:name="meso-level-clustering"/>
      <w:r>
        <w:t xml:space="preserve">Meso-level clustering</w:t>
      </w:r>
      <w:bookmarkEnd w:id="32"/>
    </w:p>
    <w:p>
      <w:pPr>
        <w:pStyle w:val="FirstParagraph"/>
      </w:pPr>
      <w:r>
        <w:t xml:space="preserve">To quantify the degree of meso-level uniformity underpinning the macro-level trend, and identify the potential drivers of the lockdown crime drop, we deploy a longitudinal variant of k-means clustering</w:t>
      </w:r>
      <w:r>
        <w:t xml:space="preserve"> </w:t>
      </w:r>
      <w:r>
        <w:t xml:space="preserve">(Genolini, Alacoque, Sentenac, et al., 2015b; Genolini &amp; Falissard, 2011)</w:t>
      </w:r>
      <w:r>
        <w:t xml:space="preserve">. This non-parametric clustering technique has an established role in crime and place research for examining the longitudinal trajectories of local areas in a macro-level crime drop scenario</w:t>
      </w:r>
      <w:r>
        <w:t xml:space="preserve"> </w:t>
      </w:r>
      <w:r>
        <w:t xml:space="preserve">(Andresen et al., 2017; Curman et al., 2015)</w:t>
      </w:r>
      <w:r>
        <w:t xml:space="preserve">.</w:t>
      </w:r>
    </w:p>
    <w:p>
      <w:pPr>
        <w:pStyle w:val="BodyText"/>
      </w:pPr>
      <w:r>
        <w:t xml:space="preserve">Here, we note that the experimental conditions of the COVID-19 lockdown make the usage of k-means particularly suitable. Existing research adopting the method has tended to investigate</w:t>
      </w:r>
      <w:r>
        <w:t xml:space="preserve"> </w:t>
      </w:r>
      <w:r>
        <w:rPr>
          <w:i/>
        </w:rPr>
        <w:t xml:space="preserve">long-term</w:t>
      </w:r>
      <w:r>
        <w:t xml:space="preserve"> </w:t>
      </w:r>
      <w:r>
        <w:t xml:space="preserve">change over years or decades, focusing on the directional homogeneity (e.g. increasing, decreasing or stable) of clusters, rather than short-term volatility</w:t>
      </w:r>
      <w:r>
        <w:t xml:space="preserve"> </w:t>
      </w:r>
      <w:r>
        <w:t xml:space="preserve">(Andresen et al., 2017)</w:t>
      </w:r>
      <w:r>
        <w:t xml:space="preserve">. And yet, one key strength of k-means is that it is capable of identifying short-term fluctuation in longitudinal trends</w:t>
      </w:r>
      <w:r>
        <w:t xml:space="preserve"> </w:t>
      </w:r>
      <w:r>
        <w:t xml:space="preserve">(Adepeju et al., 2021)</w:t>
      </w:r>
      <w:r>
        <w:t xml:space="preserve">. In this lockdown scenario, the availability of criminal opportunities were withdrawn quite literally overnight, and thus we might expect a similarly rapid and short-term change in crime at fine-grained spatial scales. This sets k-means apart from equivalent model-based methods restricted by polynomial terms, such as group-based trajectory modelling</w:t>
      </w:r>
      <w:r>
        <w:t xml:space="preserve"> </w:t>
      </w:r>
      <w:r>
        <w:t xml:space="preserve">(Weisburd et al., 2004)</w:t>
      </w:r>
      <w:r>
        <w:t xml:space="preserve"> </w:t>
      </w:r>
      <w:r>
        <w:t xml:space="preserve">and non-parametric techniques designed for long-term rather than short-term change</w:t>
      </w:r>
      <w:r>
        <w:t xml:space="preserve"> </w:t>
      </w:r>
      <w:r>
        <w:t xml:space="preserve">(Adepeju et al., 2021)</w:t>
      </w:r>
      <w:r>
        <w:t xml:space="preserve">.</w:t>
      </w:r>
    </w:p>
    <w:p>
      <w:pPr>
        <w:pStyle w:val="BodyText"/>
      </w:pPr>
      <w:r>
        <w:t xml:space="preserve">We deploy k-means using the</w:t>
      </w:r>
      <w:r>
        <w:t xml:space="preserve"> </w:t>
      </w:r>
      <w:r>
        <w:rPr>
          <w:rStyle w:val="VerbatimChar"/>
        </w:rPr>
        <w:t xml:space="preserve">kml</w:t>
      </w:r>
      <w:r>
        <w:t xml:space="preserve"> </w:t>
      </w:r>
      <w:r>
        <w:t xml:space="preserve">package</w:t>
      </w:r>
      <w:r>
        <w:t xml:space="preserve"> </w:t>
      </w:r>
      <w:r>
        <w:t xml:space="preserve">(Genolini, Alacoque, Sentenac, et al., 2015a)</w:t>
      </w:r>
      <w:r>
        <w:t xml:space="preserve"> </w:t>
      </w:r>
      <w:r>
        <w:t xml:space="preserve">in R on notifiable offences (excluding drugs) counts for LSOA in the study region (N = 33,075) between February and August 2020. To achieve a parsimonious cluster solution while minimizing the risk of missing underlying variation, we proposed potential solutions between two and eight clusters respectively, choosing the final solution based on the Calinski-Criterion</w:t>
      </w:r>
      <w:r>
        <w:t xml:space="preserve"> </w:t>
      </w:r>
      <w:r>
        <w:t xml:space="preserve">(Caliński &amp; Harabasz, 1974)</w:t>
      </w:r>
      <w:r>
        <w:t xml:space="preserve">. For each potential solution, twenty redraws with different starting conditions were run to ensure that solutions were stable. Potential cluster solution options were also examined using Principal Component Analysis to establish their suitability.</w:t>
      </w:r>
    </w:p>
    <w:p>
      <w:pPr>
        <w:pStyle w:val="BodyText"/>
      </w:pPr>
      <w:r>
        <w:t xml:space="preserve">We visualize the final cluster solution in a manner which conveys the underlying distribution of observations comprising each cluster at each time point, rather than reporting a summary statistic (e.g. the mean trajectory) in isolation. For each cluster, we also overlay the equivalent trajectories for 2018 and 2019 as a reference point for comparison to a</w:t>
      </w:r>
      <w:r>
        <w:t xml:space="preserve"> </w:t>
      </w:r>
      <w:r>
        <w:t xml:space="preserve">‘</w:t>
      </w:r>
      <w:r>
        <w:t xml:space="preserve">typical</w:t>
      </w:r>
      <w:r>
        <w:t xml:space="preserve">’</w:t>
      </w:r>
      <w:r>
        <w:t xml:space="preserve"> </w:t>
      </w:r>
      <w:r>
        <w:t xml:space="preserve">year. In doing so, we aim to not only identify localized (in)stability in the lockdown crime drop, but also assess the extent to which the trends observed have deviated from previous years.</w:t>
      </w:r>
    </w:p>
    <w:p>
      <w:pPr>
        <w:pStyle w:val="Heading2"/>
      </w:pPr>
      <w:bookmarkStart w:id="33" w:name="cluster-characteristics"/>
      <w:r>
        <w:t xml:space="preserve">Cluster characteristics</w:t>
      </w:r>
      <w:bookmarkEnd w:id="33"/>
    </w:p>
    <w:p>
      <w:pPr>
        <w:pStyle w:val="FirstParagraph"/>
      </w:pPr>
      <w:r>
        <w:t xml:space="preserve">We expect that the meso-level areas driving the lockdown crime drop will be those with plentiful opportunities for crime. That is, a disproportionately large volume of the decline (and subsequent resurgence) will be attributable to a handful of places which had pre-existing high crime levels as a result of their opportunity structure. Using the measures for opportunity generated from Open Street Map (i.e. nightlife, shops, public transport and bicycle parking), we report descriptive statistics on facility counts for each of the clusters obtained from the k-means analysis. In doing so, we expect to unpick a meaningful pattern which is consistent with the opportunity perspective of crime.</w:t>
      </w:r>
    </w:p>
    <w:p>
      <w:pPr>
        <w:pStyle w:val="BodyText"/>
      </w:pPr>
      <w:r>
        <w:t xml:space="preserve">To supplement this, we visualize the spatial patterning of the cluster solutions. For brevity and simplicity, we focus on Birmingham, Liverpool, Leeds, Bradford, Sheffield and Cardiff. We have excluded Greater Manchester due to the lack of police data, and given its size, we determined Greater London to warrant an individual case study for future research. Given these exclusions, the six cities we report represent the five most populous cities in England, and the most populous city in Wales. Study regions are defined by based on the city names appearing in LSOA name.</w:t>
      </w:r>
    </w:p>
    <w:p>
      <w:pPr>
        <w:pStyle w:val="BodyText"/>
      </w:pPr>
      <w:r>
        <w:t xml:space="preserve">Finally, recognizing the unique opportunity structure of specific crimes, we summarize the crime type profile of clusters. For each cluster, we report the percentage breakdown of crimes types. We suspect that clusters will have differing crime type profiles according to the opportunity structures of each grouping.</w:t>
      </w:r>
    </w:p>
    <w:p>
      <w:pPr>
        <w:pStyle w:val="Heading1"/>
      </w:pPr>
      <w:bookmarkStart w:id="34" w:name="results"/>
      <w:r>
        <w:t xml:space="preserve">Results</w:t>
      </w:r>
      <w:bookmarkEnd w:id="34"/>
    </w:p>
    <w:p>
      <w:pPr>
        <w:pStyle w:val="Heading2"/>
      </w:pPr>
      <w:bookmarkStart w:id="35" w:name="nationwide-trends"/>
      <w:r>
        <w:t xml:space="preserve">Nationwide trends</w:t>
      </w:r>
      <w:bookmarkEnd w:id="35"/>
    </w:p>
    <w:p>
      <w:pPr>
        <w:pStyle w:val="FirstParagraph"/>
      </w:pPr>
      <w:r>
        <w:t xml:space="preserve">To set the context for the localized analysis, Figure 2 visualizes crime counts between February and August 2020 for notifiable offences excluding drugs before and after lockdown. This descriptive analysis broadly confirms what has been demonstrated using model-based forecasting analyses elsewhere (Langton et al., 2021) although we note that this descriptive comparison does not account for long-term trends. In April, the first full month of lockdown in England and Wales, we observe a nationwide decline in notifiable offences in comparison to previous years. Upon the relaxation of lockdown rules, crime resurged back to normality, and by August, crime had returned to within a range we might have expected without the nationwide lockdown. This trend represents the</w:t>
      </w:r>
      <w:r>
        <w:t xml:space="preserve"> </w:t>
      </w:r>
      <w:r>
        <w:t xml:space="preserve">‘</w:t>
      </w:r>
      <w:r>
        <w:t xml:space="preserve">global</w:t>
      </w:r>
      <w:r>
        <w:t xml:space="preserve">’</w:t>
      </w:r>
      <w:r>
        <w:t xml:space="preserve"> </w:t>
      </w:r>
      <w:r>
        <w:t xml:space="preserve">trend which we will subsequently disentangle using localized analyses.</w:t>
      </w:r>
    </w:p>
    <w:p>
      <w:pPr>
        <w:pStyle w:val="CaptionedFigure"/>
      </w:pPr>
      <w:r>
        <w:drawing>
          <wp:inline>
            <wp:extent cx="4333460" cy="2886935"/>
            <wp:effectExtent b="0" l="0" r="0" t="0"/>
            <wp:docPr descr="Notitifable offence (excluding drugs) counts in England and Wales during the lockdown period." title="" id="1" name="Picture"/>
            <a:graphic>
              <a:graphicData uri="http://schemas.openxmlformats.org/drawingml/2006/picture">
                <pic:pic>
                  <pic:nvPicPr>
                    <pic:cNvPr descr="visuals/no_raw_counts_gg.png" id="0" name="Picture"/>
                    <pic:cNvPicPr>
                      <a:picLocks noChangeArrowheads="1" noChangeAspect="1"/>
                    </pic:cNvPicPr>
                  </pic:nvPicPr>
                  <pic:blipFill>
                    <a:blip r:embed="rId36"/>
                    <a:stretch>
                      <a:fillRect/>
                    </a:stretch>
                  </pic:blipFill>
                  <pic:spPr bwMode="auto">
                    <a:xfrm>
                      <a:off x="0" y="0"/>
                      <a:ext cx="4333460" cy="2886935"/>
                    </a:xfrm>
                    <a:prstGeom prst="rect">
                      <a:avLst/>
                    </a:prstGeom>
                    <a:noFill/>
                    <a:ln w="9525">
                      <a:noFill/>
                      <a:headEnd/>
                      <a:tailEnd/>
                    </a:ln>
                  </pic:spPr>
                </pic:pic>
              </a:graphicData>
            </a:graphic>
          </wp:inline>
        </w:drawing>
      </w:r>
    </w:p>
    <w:p>
      <w:pPr>
        <w:pStyle w:val="ImageCaption"/>
      </w:pPr>
      <w:r>
        <w:t xml:space="preserve">Notitifable offence (excluding drugs) counts in England and Wales during the lockdown period.</w:t>
      </w:r>
    </w:p>
    <w:p>
      <w:pPr>
        <w:pStyle w:val="BodyText"/>
      </w:pPr>
      <w:r>
        <w:t xml:space="preserve">Figure 3 visualizes the overall level of concentration before and after lockdown, and in comparison to previous years, using the generalized Gini coefficient. Here, it is clear that notifiable offences, even amidst volatile and sharply changing levels in absolute counts (see Figure 2), experienced remarkably stable levels of concentration. There is a marginal dip in concentration during April, the first month of lockdown. This suggests that as crimes fell, those were occurring were</w:t>
      </w:r>
      <w:r>
        <w:t xml:space="preserve"> </w:t>
      </w:r>
      <w:r>
        <w:rPr>
          <w:i/>
        </w:rPr>
        <w:t xml:space="preserve">less</w:t>
      </w:r>
      <w:r>
        <w:t xml:space="preserve"> </w:t>
      </w:r>
      <w:r>
        <w:t xml:space="preserve">concentrated. That is, crimes occurring during the height of lockdown were more spread out that we might have otherwise expected. That said, concentration quickly returned to normal levels.</w:t>
      </w:r>
    </w:p>
    <w:p>
      <w:pPr>
        <w:pStyle w:val="CaptionedFigure"/>
      </w:pPr>
      <w:r>
        <w:drawing>
          <wp:inline>
            <wp:extent cx="4333460" cy="2886935"/>
            <wp:effectExtent b="0" l="0" r="0" t="0"/>
            <wp:docPr descr="Monthly generalized Gini cofficient trends for notitifable offences (excluding drugs) in England and Wales during the lockdown period." title="" id="1" name="Picture"/>
            <a:graphic>
              <a:graphicData uri="http://schemas.openxmlformats.org/drawingml/2006/picture">
                <pic:pic>
                  <pic:nvPicPr>
                    <pic:cNvPr descr="visuals/no_gini_gg.png" id="0" name="Picture"/>
                    <pic:cNvPicPr>
                      <a:picLocks noChangeArrowheads="1" noChangeAspect="1"/>
                    </pic:cNvPicPr>
                  </pic:nvPicPr>
                  <pic:blipFill>
                    <a:blip r:embed="rId37"/>
                    <a:stretch>
                      <a:fillRect/>
                    </a:stretch>
                  </pic:blipFill>
                  <pic:spPr bwMode="auto">
                    <a:xfrm>
                      <a:off x="0" y="0"/>
                      <a:ext cx="4333460" cy="2886935"/>
                    </a:xfrm>
                    <a:prstGeom prst="rect">
                      <a:avLst/>
                    </a:prstGeom>
                    <a:noFill/>
                    <a:ln w="9525">
                      <a:noFill/>
                      <a:headEnd/>
                      <a:tailEnd/>
                    </a:ln>
                  </pic:spPr>
                </pic:pic>
              </a:graphicData>
            </a:graphic>
          </wp:inline>
        </w:drawing>
      </w:r>
    </w:p>
    <w:p>
      <w:pPr>
        <w:pStyle w:val="ImageCaption"/>
      </w:pPr>
      <w:r>
        <w:t xml:space="preserve">Monthly generalized Gini cofficient trends for notitifable offences (excluding drugs) in England and Wales during the lockdown period.</w:t>
      </w:r>
    </w:p>
    <w:p>
      <w:pPr>
        <w:pStyle w:val="BodyText"/>
      </w:pPr>
      <w:r>
        <w:t xml:space="preserve">Based on the dramatic decline and subsequent resurgence of notifiable offences during the study period, we might expect some localized variability. Measures of concentration indicate that there has been stability at the</w:t>
      </w:r>
      <w:r>
        <w:t xml:space="preserve"> </w:t>
      </w:r>
      <w:r>
        <w:t xml:space="preserve">‘</w:t>
      </w:r>
      <w:r>
        <w:t xml:space="preserve">global</w:t>
      </w:r>
      <w:r>
        <w:t xml:space="preserve">’</w:t>
      </w:r>
      <w:r>
        <w:t xml:space="preserve"> </w:t>
      </w:r>
      <w:r>
        <w:t xml:space="preserve">level, but the evidence-base surrounding the law of crime concentration and micro-place (in)stability would certainly give reason to suspect that this masks underlying volatility</w:t>
      </w:r>
      <w:r>
        <w:t xml:space="preserve"> </w:t>
      </w:r>
      <w:r>
        <w:t xml:space="preserve">(Andresen et al., 2017; Weisburd, 2015)</w:t>
      </w:r>
      <w:r>
        <w:t xml:space="preserve">. With this in mind, we now report the localized, meso-level analysis which unpicks the macro-level trend.</w:t>
      </w:r>
    </w:p>
    <w:p>
      <w:pPr>
        <w:pStyle w:val="Heading2"/>
      </w:pPr>
      <w:bookmarkStart w:id="38" w:name="longitudinal-clustering"/>
      <w:r>
        <w:t xml:space="preserve">Longitudinal clustering</w:t>
      </w:r>
      <w:bookmarkEnd w:id="38"/>
    </w:p>
    <w:p>
      <w:pPr>
        <w:pStyle w:val="Heading3"/>
      </w:pPr>
      <w:bookmarkStart w:id="39" w:name="cluster-trends"/>
      <w:r>
        <w:t xml:space="preserve">Cluster trends</w:t>
      </w:r>
      <w:bookmarkEnd w:id="39"/>
    </w:p>
    <w:p>
      <w:pPr>
        <w:pStyle w:val="FirstParagraph"/>
      </w:pPr>
      <w:r>
        <w:t xml:space="preserve">We deploy non-parametric k-means clustering on LSOA (meso) level geographic units (N = 33,075) comprising England and Wales to decompose the macro-level</w:t>
      </w:r>
      <w:r>
        <w:t xml:space="preserve"> </w:t>
      </w:r>
      <w:r>
        <w:t xml:space="preserve">‘</w:t>
      </w:r>
      <w:r>
        <w:t xml:space="preserve">decline and resurgence</w:t>
      </w:r>
      <w:r>
        <w:t xml:space="preserve">’</w:t>
      </w:r>
      <w:r>
        <w:t xml:space="preserve"> </w:t>
      </w:r>
      <w:r>
        <w:t xml:space="preserve">observed between February and August, 2020. Based on an assessment of the Calinski-Criterion statistic</w:t>
      </w:r>
      <w:r>
        <w:t xml:space="preserve"> </w:t>
      </w:r>
      <w:r>
        <w:t xml:space="preserve">(Caliński &amp; Harabasz, 1974)</w:t>
      </w:r>
      <w:r>
        <w:t xml:space="preserve"> </w:t>
      </w:r>
      <w:r>
        <w:t xml:space="preserve">and Principal Component Analysis (see Appendix), we determined the optimal solution to be 6 clusters (see Figure 3). Solid black lines represent the median count for each cluster at any given time point, with the black dotted line showing the mean. Violin plots have been added to convey variation around these points at each time point. These suggest that the mean and median point statistics summarize the underlying data reasonably well, and indicate that clusters are distinct from one another, with little overlap. Additional lines have been added to convey each clusters’ mean and median trend in 2018 and 2019 respectively. These trends suggest that the clusters identified using the 2020 study period were distinct and meaningful even in previous years, and provide a relative baseline from which we can compare lockdown trends.</w:t>
      </w:r>
    </w:p>
    <w:p>
      <w:pPr>
        <w:pStyle w:val="BodyText"/>
      </w:pPr>
      <w:r>
        <w:t xml:space="preserve">Overall, we note that most LSOA were remarkably stable during the pandemic. Clusters A and B could be described and</w:t>
      </w:r>
      <w:r>
        <w:t xml:space="preserve"> </w:t>
      </w:r>
      <w:r>
        <w:t xml:space="preserve">‘</w:t>
      </w:r>
      <w:r>
        <w:t xml:space="preserve">low crime and stable</w:t>
      </w:r>
      <w:r>
        <w:t xml:space="preserve">’</w:t>
      </w:r>
      <w:r>
        <w:t xml:space="preserve">, exhibiting fairly low counts throughout the study period and across years. Together, these clusters comprise 89% of LSOA in England and Wales. Even amidst the stark macro-level decline in notifiable offences (see Figure 2) LSOA in these clusters only experienced marginal average dips in crime. The third largest cluster, cluster C, comprises 10% of LSOA in England and Wales. LSOA in this cluster experienced a more prominent dip in crime, along with cluster D (1.6% of LSOA). Together, we might describe these LSOAs as</w:t>
      </w:r>
      <w:r>
        <w:t xml:space="preserve"> </w:t>
      </w:r>
      <w:r>
        <w:t xml:space="preserve">‘</w:t>
      </w:r>
      <w:r>
        <w:t xml:space="preserve">mid-crime, mid-drop</w:t>
      </w:r>
      <w:r>
        <w:t xml:space="preserve">’</w:t>
      </w:r>
      <w:r>
        <w:t xml:space="preserve">. In both cases, there is a clear deviation from previous years. Notifiable offences fall between March and April, and then began to converge back to levels observed in previous years.</w:t>
      </w:r>
    </w:p>
    <w:p>
      <w:pPr>
        <w:pStyle w:val="CaptionedFigure"/>
      </w:pPr>
      <w:r>
        <w:drawing>
          <wp:inline>
            <wp:extent cx="5943600" cy="7133075"/>
            <wp:effectExtent b="0" l="0" r="0" t="0"/>
            <wp:docPr descr="K-means cluster solutions for LSOA notifiable offences (excluding drugs). Distributions refer to 2020 only." title="" id="1" name="Picture"/>
            <a:graphic>
              <a:graphicData uri="http://schemas.openxmlformats.org/drawingml/2006/picture">
                <pic:pic>
                  <pic:nvPicPr>
                    <pic:cNvPr descr="visuals/kmeans_violin_full_gg.png" id="0" name="Picture"/>
                    <pic:cNvPicPr>
                      <a:picLocks noChangeArrowheads="1" noChangeAspect="1"/>
                    </pic:cNvPicPr>
                  </pic:nvPicPr>
                  <pic:blipFill>
                    <a:blip r:embed="rId40"/>
                    <a:stretch>
                      <a:fillRect/>
                    </a:stretch>
                  </pic:blipFill>
                  <pic:spPr bwMode="auto">
                    <a:xfrm>
                      <a:off x="0" y="0"/>
                      <a:ext cx="5943600" cy="7133075"/>
                    </a:xfrm>
                    <a:prstGeom prst="rect">
                      <a:avLst/>
                    </a:prstGeom>
                    <a:noFill/>
                    <a:ln w="9525">
                      <a:noFill/>
                      <a:headEnd/>
                      <a:tailEnd/>
                    </a:ln>
                  </pic:spPr>
                </pic:pic>
              </a:graphicData>
            </a:graphic>
          </wp:inline>
        </w:drawing>
      </w:r>
    </w:p>
    <w:p>
      <w:pPr>
        <w:pStyle w:val="ImageCaption"/>
      </w:pPr>
      <w:r>
        <w:t xml:space="preserve">K-means cluster solutions for LSOA notifiable offences (excluding drugs). Distributions refer to 2020 only.</w:t>
      </w:r>
    </w:p>
    <w:p>
      <w:pPr>
        <w:pStyle w:val="BodyText"/>
      </w:pPr>
      <w:r>
        <w:t xml:space="preserve">That said, most</w:t>
      </w:r>
      <w:r>
        <w:t xml:space="preserve"> </w:t>
      </w:r>
      <w:r>
        <w:t xml:space="preserve">‘</w:t>
      </w:r>
      <w:r>
        <w:t xml:space="preserve">action</w:t>
      </w:r>
      <w:r>
        <w:t xml:space="preserve">’</w:t>
      </w:r>
      <w:r>
        <w:t xml:space="preserve"> </w:t>
      </w:r>
      <w:r>
        <w:t xml:space="preserve">appears to be occurring amongst a small subset of LSOA. Clusters E and F collectively comprise only 0.33% (N = 110). Yet, their crime counts are much higher, and the decline between March and April is considerable. We might therefore describe these clusters as</w:t>
      </w:r>
      <w:r>
        <w:t xml:space="preserve"> </w:t>
      </w:r>
      <w:r>
        <w:t xml:space="preserve">‘</w:t>
      </w:r>
      <w:r>
        <w:t xml:space="preserve">high crime, major drop</w:t>
      </w:r>
      <w:r>
        <w:t xml:space="preserve">’</w:t>
      </w:r>
      <w:r>
        <w:t xml:space="preserve">: LSOA with plentiful opportunities for crime in typical times, and in turn, LSOA which are most sensitive to the restriction in opportunities which followed after the imposition of lockdown. To further decompose these clusters, we now disentangle the contribution of each cluster.</w:t>
      </w:r>
    </w:p>
    <w:p>
      <w:pPr>
        <w:pStyle w:val="Heading3"/>
      </w:pPr>
      <w:bookmarkStart w:id="41" w:name="contribution-of-each-cluster"/>
      <w:r>
        <w:t xml:space="preserve">Contribution of each cluster</w:t>
      </w:r>
      <w:bookmarkEnd w:id="41"/>
    </w:p>
    <w:p>
      <w:pPr>
        <w:pStyle w:val="FirstParagraph"/>
      </w:pPr>
      <w:r>
        <w:t xml:space="preserve">To further unpick the contribution of these clusters to the nationwide lockdown crime drop, Figure 4 plots the monthly change in counts and percentage of total absolute change (i.e. positive or negative) attributable to each cluster. We can use this visual to identify which clusters drove the initial decline and subsequent nationwide resurgence in crime.</w:t>
      </w:r>
    </w:p>
    <w:p>
      <w:pPr>
        <w:pStyle w:val="BodyText"/>
      </w:pPr>
      <w:r>
        <w:t xml:space="preserve">As expected, the vast majority of change across all clusters occurred between March and April. Between these months, notifiable offences experienced a dramatic fall nationwide. That said, the figure demonstrates that this decline did not occur equitably across local areas. Consistent with the cluster solutions trends in Figure 3, a small number of LSOA (meso) units appear to have contributed disproportionately to the nationwide (macro) trend. For instance, clusters A and B, which comprise 58% and 31% of LSOA in the country, accounted for only 20% and 27% of the total decline between March and April. By contrast, clusters E and F, which together comprised only 0.33% of LSOA (N = 110) contributed to 15% of the nationwide drop in these months. Again, this suggests that most areas remarkably stable, given the nationwide volatility, with just a handful of areas driving the decline the nationwide lockdown crime drop.</w:t>
      </w:r>
    </w:p>
    <w:p>
      <w:pPr>
        <w:pStyle w:val="BodyText"/>
      </w:pPr>
      <w:r>
        <w:t xml:space="preserve">This picture shifts slightly upon the beginning of the resurgence between April and May. Clusters A and B continue to contribute a disproportionately</w:t>
      </w:r>
      <w:r>
        <w:t xml:space="preserve"> </w:t>
      </w:r>
      <w:r>
        <w:rPr>
          <w:i/>
        </w:rPr>
        <w:t xml:space="preserve">small</w:t>
      </w:r>
      <w:r>
        <w:t xml:space="preserve"> </w:t>
      </w:r>
      <w:r>
        <w:t xml:space="preserve">amount to nationwide change, but the proportion increases, with each contributing 24% and 42% to the increase respectively. The contribution of the smallest clusters E and F is small compared to the initial decline, 2% and 0% (when rounded), respectively. This can be largely attributed to the flattening of their crime count trends between these months. In other words, following their initially steep decline between March and April, crime remained reasonably unchanged between April and May in the</w:t>
      </w:r>
      <w:r>
        <w:t xml:space="preserve"> </w:t>
      </w:r>
      <w:r>
        <w:t xml:space="preserve">‘</w:t>
      </w:r>
      <w:r>
        <w:t xml:space="preserve">high crime, major drop</w:t>
      </w:r>
      <w:r>
        <w:t xml:space="preserve">’</w:t>
      </w:r>
      <w:r>
        <w:t xml:space="preserve"> </w:t>
      </w:r>
      <w:r>
        <w:t xml:space="preserve">areas.</w:t>
      </w:r>
    </w:p>
    <w:p>
      <w:pPr>
        <w:pStyle w:val="BodyText"/>
      </w:pPr>
      <w:r>
        <w:t xml:space="preserve">Following the period of stabilization, clusters E and F gather pace during the resurgence, as does cluster D. For instance, between June and July, these three clusters collectively account for 27% of the nationwide increase, despite comprising less than 2% of LSOA in the country. July to August represents an interesting period. Until that point, each cluster, despite their vastly differing relative contributions to change, were directionally homogeneous. In other words, every cluster declined between February and April, and then increased between April and July. Between July and August, clusters began to diverge. Nationwide, there was a marginal increase in notifiable offence counts (see Figure 1), but this clearly masks a great deal of localized variability.</w:t>
      </w:r>
    </w:p>
    <w:p>
      <w:pPr>
        <w:pStyle w:val="BodyText"/>
      </w:pPr>
      <w:r>
        <w:t xml:space="preserve">The</w:t>
      </w:r>
      <w:r>
        <w:t xml:space="preserve"> </w:t>
      </w:r>
      <w:r>
        <w:t xml:space="preserve">‘</w:t>
      </w:r>
      <w:r>
        <w:t xml:space="preserve">low crime and stable</w:t>
      </w:r>
      <w:r>
        <w:t xml:space="preserve">’</w:t>
      </w:r>
      <w:r>
        <w:t xml:space="preserve"> </w:t>
      </w:r>
      <w:r>
        <w:t xml:space="preserve">clusters (A and B) actually</w:t>
      </w:r>
      <w:r>
        <w:t xml:space="preserve"> </w:t>
      </w:r>
      <w:r>
        <w:rPr>
          <w:i/>
        </w:rPr>
        <w:t xml:space="preserve">declined again</w:t>
      </w:r>
      <w:r>
        <w:t xml:space="preserve"> </w:t>
      </w:r>
      <w:r>
        <w:t xml:space="preserve">between July and August, and the higher crime clusters continued to increase. The change is almost imperceptible when viewing average counts in these LSOA (see Figure 3) but the sheer size of these units, collectively comprising 89% of England and Wales, has a major impact on nationwide trends. This is suggestive of highly localized change in opportunities as lockdown rules were relaxed: change which is aggregated away at the macro-level. Stable, low crime areas mitigated against further nationwide increases which may, if they had continued, resulted in a higher crime count in August than observed in previous years.</w:t>
      </w:r>
    </w:p>
    <w:p>
      <w:pPr>
        <w:pStyle w:val="CaptionedFigure"/>
      </w:pPr>
      <w:r>
        <w:drawing>
          <wp:inline>
            <wp:extent cx="5943600" cy="5283510"/>
            <wp:effectExtent b="0" l="0" r="0" t="0"/>
            <wp:docPr descr="Counts and percentage of nationwide change between months attributable to each cluster." title="" id="1" name="Picture"/>
            <a:graphic>
              <a:graphicData uri="http://schemas.openxmlformats.org/drawingml/2006/picture">
                <pic:pic>
                  <pic:nvPicPr>
                    <pic:cNvPr descr="visuals/change_k6_gg.png" id="0" name="Picture"/>
                    <pic:cNvPicPr>
                      <a:picLocks noChangeArrowheads="1" noChangeAspect="1"/>
                    </pic:cNvPicPr>
                  </pic:nvPicPr>
                  <pic:blipFill>
                    <a:blip r:embed="rId42"/>
                    <a:stretch>
                      <a:fillRect/>
                    </a:stretch>
                  </pic:blipFill>
                  <pic:spPr bwMode="auto">
                    <a:xfrm>
                      <a:off x="0" y="0"/>
                      <a:ext cx="5943600" cy="5283510"/>
                    </a:xfrm>
                    <a:prstGeom prst="rect">
                      <a:avLst/>
                    </a:prstGeom>
                    <a:noFill/>
                    <a:ln w="9525">
                      <a:noFill/>
                      <a:headEnd/>
                      <a:tailEnd/>
                    </a:ln>
                  </pic:spPr>
                </pic:pic>
              </a:graphicData>
            </a:graphic>
          </wp:inline>
        </w:drawing>
      </w:r>
    </w:p>
    <w:p>
      <w:pPr>
        <w:pStyle w:val="ImageCaption"/>
      </w:pPr>
      <w:r>
        <w:t xml:space="preserve">Counts and percentage of nationwide change between months attributable to each cluster.</w:t>
      </w:r>
    </w:p>
    <w:p>
      <w:pPr>
        <w:pStyle w:val="BodyText"/>
      </w:pPr>
      <w:r>
        <w:t xml:space="preserve">These findings can be supplemented with a comparison to the previous year. Figure 5 compares the clusters identified in 2020 with the equivalent months in 2019. Here, it is clear that the</w:t>
      </w:r>
      <w:r>
        <w:t xml:space="preserve"> </w:t>
      </w:r>
      <w:r>
        <w:t xml:space="preserve">‘</w:t>
      </w:r>
      <w:r>
        <w:t xml:space="preserve">high crime major drop</w:t>
      </w:r>
      <w:r>
        <w:t xml:space="preserve">’</w:t>
      </w:r>
      <w:r>
        <w:t xml:space="preserve"> </w:t>
      </w:r>
      <w:r>
        <w:t xml:space="preserve">clusters (E and F) contributed the most to the lockdown crime drop relative to their size. By way of example, around 27,000 fewer crimes occurred in cluster A–containing 19,162 LSOA–during April 2020 compared to April 2019 (Figure 5a). This translates to a 24% drop (Figure 5b), and an average fall per LSOA of 1.39 counts (Figure 5c). For cluster F, containing just 9 LSOA, approximately 5,000 fewer crimes occurred (Figure 5a), which translates to an 87% drop (Figure 5b), and an average fall per LSOA of 543 counts (Figure 5c). In other words: whether comparing month-to-month change in 2020, or comparing equivalent months in 2019, the lockdown crime drop was disproportionately driven by a small number of local areas, with most meso-level units remaining fairly stable, even amidst dramatic macro-level change.</w:t>
      </w:r>
    </w:p>
    <w:p>
      <w:pPr>
        <w:pStyle w:val="CaptionedFigure"/>
      </w:pPr>
      <w:r>
        <w:drawing>
          <wp:inline>
            <wp:extent cx="5776928" cy="2165201"/>
            <wp:effectExtent b="0" l="0" r="0" t="0"/>
            <wp:docPr descr="Comparing LSOA clusters between equivalent months in 2020 and 2019 according to (a) absolute difference in counts, (b) percentage difference in counts, (c) average difference in counts." title="" id="1" name="Picture"/>
            <a:graphic>
              <a:graphicData uri="http://schemas.openxmlformats.org/drawingml/2006/picture">
                <pic:pic>
                  <pic:nvPicPr>
                    <pic:cNvPr descr="visuals/heatmaps_gg.png" id="0" name="Picture"/>
                    <pic:cNvPicPr>
                      <a:picLocks noChangeArrowheads="1" noChangeAspect="1"/>
                    </pic:cNvPicPr>
                  </pic:nvPicPr>
                  <pic:blipFill>
                    <a:blip r:embed="rId43"/>
                    <a:stretch>
                      <a:fillRect/>
                    </a:stretch>
                  </pic:blipFill>
                  <pic:spPr bwMode="auto">
                    <a:xfrm>
                      <a:off x="0" y="0"/>
                      <a:ext cx="5776928" cy="2165201"/>
                    </a:xfrm>
                    <a:prstGeom prst="rect">
                      <a:avLst/>
                    </a:prstGeom>
                    <a:noFill/>
                    <a:ln w="9525">
                      <a:noFill/>
                      <a:headEnd/>
                      <a:tailEnd/>
                    </a:ln>
                  </pic:spPr>
                </pic:pic>
              </a:graphicData>
            </a:graphic>
          </wp:inline>
        </w:drawing>
      </w:r>
    </w:p>
    <w:p>
      <w:pPr>
        <w:pStyle w:val="ImageCaption"/>
      </w:pPr>
      <w:r>
        <w:t xml:space="preserve">Comparing LSOA clusters between equivalent months in 2020 and 2019 according to (a) absolute difference in counts, (b) percentage difference in counts, (c) average difference in counts.</w:t>
      </w:r>
    </w:p>
    <w:p>
      <w:pPr>
        <w:pStyle w:val="Heading2"/>
      </w:pPr>
      <w:bookmarkStart w:id="44" w:name="characteristics-of-clusters"/>
      <w:r>
        <w:t xml:space="preserve">Characteristics of clusters</w:t>
      </w:r>
      <w:bookmarkEnd w:id="44"/>
    </w:p>
    <w:p>
      <w:pPr>
        <w:pStyle w:val="Heading3"/>
      </w:pPr>
      <w:bookmarkStart w:id="45" w:name="spatial-distribution"/>
      <w:r>
        <w:t xml:space="preserve">Spatial distribution</w:t>
      </w:r>
      <w:bookmarkEnd w:id="45"/>
    </w:p>
    <w:p>
      <w:pPr>
        <w:pStyle w:val="FirstParagraph"/>
      </w:pPr>
      <w:r>
        <w:t xml:space="preserve">The provide local context to the cluster solutions identified through the k-means clustering, we visualize the spatial patterning of groupings for six major cities in England and Wales (see Figure 5). We find distinct geographic pattern to the clusters identified. Here, it is worth noting that the Bradford region contains the city of Bradford, but also the satellite town of Keighley to the north west. The cluster map thus reflects these two urban centers. Without exception, the city centres and commercial districts of each city are characterised by</w:t>
      </w:r>
      <w:r>
        <w:t xml:space="preserve"> </w:t>
      </w:r>
      <w:r>
        <w:t xml:space="preserve">‘</w:t>
      </w:r>
      <w:r>
        <w:t xml:space="preserve">high crime major drop</w:t>
      </w:r>
      <w:r>
        <w:t xml:space="preserve">’</w:t>
      </w:r>
      <w:r>
        <w:t xml:space="preserve"> </w:t>
      </w:r>
      <w:r>
        <w:t xml:space="preserve">clusters E and F, which in turn often neighbor the</w:t>
      </w:r>
      <w:r>
        <w:t xml:space="preserve"> </w:t>
      </w:r>
      <w:r>
        <w:t xml:space="preserve">‘</w:t>
      </w:r>
      <w:r>
        <w:t xml:space="preserve">mid crime mid drop</w:t>
      </w:r>
      <w:r>
        <w:t xml:space="preserve">’</w:t>
      </w:r>
      <w:r>
        <w:t xml:space="preserve"> </w:t>
      </w:r>
      <w:r>
        <w:t xml:space="preserve">cluster D. By contrast, the</w:t>
      </w:r>
      <w:r>
        <w:t xml:space="preserve"> </w:t>
      </w:r>
      <w:r>
        <w:t xml:space="preserve">‘</w:t>
      </w:r>
      <w:r>
        <w:t xml:space="preserve">low crime and stable</w:t>
      </w:r>
      <w:r>
        <w:t xml:space="preserve">’</w:t>
      </w:r>
      <w:r>
        <w:t xml:space="preserve"> </w:t>
      </w:r>
      <w:r>
        <w:t xml:space="preserve">clusters tend to sit outside of the city centres: cluster B in the suburbs and the sparsely populated cluster A on the periphery of urban conurbations. For a detailed and interactive investigation of the spatial clusters identified for the whole of England and Wales, we refer readers to an openly available online map (anonymized link here).</w:t>
      </w:r>
    </w:p>
    <w:p>
      <w:pPr>
        <w:pStyle w:val="CaptionedFigure"/>
      </w:pPr>
      <w:r>
        <w:drawing>
          <wp:inline>
            <wp:extent cx="5776928" cy="7945187"/>
            <wp:effectExtent b="0" l="0" r="0" t="0"/>
            <wp:docPr descr="Spatial distribution of clusters by major urban conurbation." title="" id="1" name="Picture"/>
            <a:graphic>
              <a:graphicData uri="http://schemas.openxmlformats.org/drawingml/2006/picture">
                <pic:pic>
                  <pic:nvPicPr>
                    <pic:cNvPr descr="visuals/maps_gg.png" id="0" name="Picture"/>
                    <pic:cNvPicPr>
                      <a:picLocks noChangeArrowheads="1" noChangeAspect="1"/>
                    </pic:cNvPicPr>
                  </pic:nvPicPr>
                  <pic:blipFill>
                    <a:blip r:embed="rId46"/>
                    <a:stretch>
                      <a:fillRect/>
                    </a:stretch>
                  </pic:blipFill>
                  <pic:spPr bwMode="auto">
                    <a:xfrm>
                      <a:off x="0" y="0"/>
                      <a:ext cx="5776928" cy="7945187"/>
                    </a:xfrm>
                    <a:prstGeom prst="rect">
                      <a:avLst/>
                    </a:prstGeom>
                    <a:noFill/>
                    <a:ln w="9525">
                      <a:noFill/>
                      <a:headEnd/>
                      <a:tailEnd/>
                    </a:ln>
                  </pic:spPr>
                </pic:pic>
              </a:graphicData>
            </a:graphic>
          </wp:inline>
        </w:drawing>
      </w:r>
    </w:p>
    <w:p>
      <w:pPr>
        <w:pStyle w:val="ImageCaption"/>
      </w:pPr>
      <w:r>
        <w:t xml:space="preserve">Spatial distribution of clusters by major urban conurbation.</w:t>
      </w:r>
    </w:p>
    <w:p>
      <w:pPr>
        <w:pStyle w:val="Heading3"/>
      </w:pPr>
      <w:bookmarkStart w:id="47" w:name="opportunity-structure"/>
      <w:r>
        <w:t xml:space="preserve">Opportunity structure</w:t>
      </w:r>
      <w:bookmarkEnd w:id="47"/>
    </w:p>
    <w:p>
      <w:pPr>
        <w:pStyle w:val="FirstParagraph"/>
      </w:pPr>
      <w:r>
        <w:t xml:space="preserve">We have now identified that, amidst dramatic nationwide change in notifiable offences during lockdown, and stability in overall crime concentrations, there has been considerable underlying volatility, with a small number of local areas driving the macro-level trend. From a theoretical perspective, we expect the clusters to have differing opportunity structures. Table 1 reports a series of descriptive statistics based on the opportunity structure of each cluster using the nationwide data obtained from the Open Street Map API. These findings largely support our expectations, namely, that large, stable clusters have few opportunities for crime, while high crime areas which were responsible for a disproportionately large amount of the crime drop have plentiful features which facilitate crime.</w:t>
      </w:r>
    </w:p>
    <w:p>
      <w:pPr>
        <w:pStyle w:val="BodyText"/>
      </w:pPr>
      <w:r>
        <w:t xml:space="preserve">By way of example, there are sparse opportunities for crime in the largest and most stable cluster A. Most LSOA in this cluster have no nightlife facilities, no shops and no bicycle parking. Public transport is available but it is not common: the median LSOA in cluster A only contained four bus stops or railways stations. As we move along to medium and high crime clusters, which had higher pre-existing crime levels, and thus steeper declines during lockdown, these counts markedly increase. For instance, LSOA in cluster E contain a median of 21 nightlife facilities, 28 shops, 24 public transport nodes and 13 bicycle parking spaces. These counts increase further for cluster F, although we note that the cluster contains only nine LSOA. This is consistent with earlier findings which suggest that the crime decline most in these clusters: areas previously rich in opportunity, in which crime was pervasive, became the drivers of the lockdown crime drop.</w:t>
      </w:r>
    </w:p>
    <w:p>
      <w:pPr>
        <w:pStyle w:val="Heading3"/>
      </w:pPr>
      <w:bookmarkStart w:id="48" w:name="crime-type-profile"/>
      <w:r>
        <w:t xml:space="preserve">Crime type profile</w:t>
      </w:r>
      <w:bookmarkEnd w:id="48"/>
    </w:p>
    <w:p>
      <w:pPr>
        <w:pStyle w:val="FirstParagraph"/>
      </w:pPr>
      <w:r>
        <w:t xml:space="preserve">Given the unique longitudinal trends, spatial patterning and opportunity structure of the clusters identified using the aggregate notifiable offences measure, we might expect the clusters identified to have distinct crime type profiles (see Figure 6). In February, before the restrictions on mobility and social interaction, the crime type profiles of each cluster were already distinct. Higher crime clusters (e.g. E, and F) were weighted heavily towards shoplifting and theft. Low crime and stable clusters, by contrast, had higher proportions of criminal damage and arson, burglary and violence and sexual offences.</w:t>
      </w:r>
    </w:p>
    <w:p>
      <w:pPr>
        <w:pStyle w:val="BodyText"/>
      </w:pPr>
      <w:r>
        <w:t xml:space="preserve">Overall, we observe a degree stability in the distribution of crime types both within and between clusters. The largest, stable clusters (A and B) have remarkably similar crime type profiles. Before lockdown, for each of these clusters, the most prevalent crimes were violence and sexual offences, both comprising 41% of total crime. This proportion increase on lockdown commencement, largely at the expense of burglary and vehicle crime, which decreased as a proportion of total crime. In clusters A and B, and indeed across all clusters, the proportion of total crime attributable to public order also increased. These increases may reflect a seasonal effect: crimes such as violence and sexual offences and public order tend to increase between February and August in typical times, while vehicle crime and burglary are usually stable (</w:t>
      </w:r>
      <w:r>
        <w:t xml:space="preserve">Langton et al. (2021)</w:t>
      </w:r>
      <w:r>
        <w:t xml:space="preserve">; see Appendix). This does not, by any means, indicate that these crimes increased during lockdown – counts declined considerably – but rather, these crimes declined less steeply relative to other offence categories. In the case of public order, this may be a result of lockdown-specific activity. Public order includes offences relating to processions and assemblies, and thus may capture gatherings which violated COVID-19 guidelines</w:t>
      </w:r>
      <w:r>
        <w:t xml:space="preserve"> </w:t>
      </w:r>
      <w:r>
        <w:t xml:space="preserve">(Crown Prosecution Service, 2021)</w:t>
      </w:r>
      <w:r>
        <w:t xml:space="preserve">, and protests such as those relating to Black Lives Matter. Increases in public order offences across these areas would slow and work against a fall in a more typical public order crimes.</w:t>
      </w:r>
    </w:p>
    <w:p>
      <w:pPr>
        <w:pStyle w:val="BodyText"/>
      </w:pPr>
      <w:r>
        <w:t xml:space="preserve">Notable disparities between clusters arise with regards to theft from the person and other theft in cluster F, which as reported earlier, drove a considerable part of the nationwide decline in crime. Theft in these LSOA was squeezed upon lockdown commencement. In February, theft crime types comprised 53% of total crime, but by April, this figure had dropped to 13%. This occurred despite these crime types typically remaining stable during equivalent times of year (</w:t>
      </w:r>
      <w:r>
        <w:t xml:space="preserve">Langton et al. (2021)</w:t>
      </w:r>
      <w:r>
        <w:t xml:space="preserve">; see Appendix). Somewhat surprisingly, given the spatial distribution and opportunity structures of clusters E and F in city centres, shoplifting did not experience a similar squeeze in these LSOA.</w:t>
      </w:r>
    </w:p>
    <w:p>
      <w:pPr>
        <w:pStyle w:val="CaptionedFigure"/>
      </w:pPr>
      <w:r>
        <w:drawing>
          <wp:inline>
            <wp:extent cx="5776928" cy="2886935"/>
            <wp:effectExtent b="0" l="0" r="0" t="0"/>
            <wp:docPr descr="Crime type characteristics of each cluster solution." title="" id="1" name="Picture"/>
            <a:graphic>
              <a:graphicData uri="http://schemas.openxmlformats.org/drawingml/2006/picture">
                <pic:pic>
                  <pic:nvPicPr>
                    <pic:cNvPr descr="visuals/traj_crimes_monthly_k6_gg.png" id="0" name="Picture"/>
                    <pic:cNvPicPr>
                      <a:picLocks noChangeArrowheads="1" noChangeAspect="1"/>
                    </pic:cNvPicPr>
                  </pic:nvPicPr>
                  <pic:blipFill>
                    <a:blip r:embed="rId49"/>
                    <a:stretch>
                      <a:fillRect/>
                    </a:stretch>
                  </pic:blipFill>
                  <pic:spPr bwMode="auto">
                    <a:xfrm>
                      <a:off x="0" y="0"/>
                      <a:ext cx="5776928" cy="2886935"/>
                    </a:xfrm>
                    <a:prstGeom prst="rect">
                      <a:avLst/>
                    </a:prstGeom>
                    <a:noFill/>
                    <a:ln w="9525">
                      <a:noFill/>
                      <a:headEnd/>
                      <a:tailEnd/>
                    </a:ln>
                  </pic:spPr>
                </pic:pic>
              </a:graphicData>
            </a:graphic>
          </wp:inline>
        </w:drawing>
      </w:r>
    </w:p>
    <w:p>
      <w:pPr>
        <w:pStyle w:val="ImageCaption"/>
      </w:pPr>
      <w:r>
        <w:t xml:space="preserve">Crime type characteristics of each cluster solution.</w:t>
      </w:r>
    </w:p>
    <w:p>
      <w:pPr>
        <w:pStyle w:val="Heading1"/>
      </w:pPr>
      <w:bookmarkStart w:id="50" w:name="discussion"/>
      <w:r>
        <w:t xml:space="preserve">Discussion</w:t>
      </w:r>
      <w:bookmarkEnd w:id="50"/>
    </w:p>
    <w:p>
      <w:pPr>
        <w:pStyle w:val="FirstParagraph"/>
      </w:pPr>
      <w:r>
        <w:t xml:space="preserve">The finding that a small number of fine-grained geographic units drove macro-level crime trends, with most areas otherwise remaining fairly stable, is consistent with results from other study sites. Evidence from Queensland, Australia</w:t>
      </w:r>
      <w:r>
        <w:t xml:space="preserve"> </w:t>
      </w:r>
      <w:r>
        <w:t xml:space="preserve">(Payne et al., 2021)</w:t>
      </w:r>
      <w:r>
        <w:t xml:space="preserve"> </w:t>
      </w:r>
      <w:r>
        <w:t xml:space="preserve">and the Chicago, United States</w:t>
      </w:r>
      <w:r>
        <w:t xml:space="preserve"> </w:t>
      </w:r>
      <w:r>
        <w:t xml:space="preserve">(Campedelli, Favarin, et al., 2020)</w:t>
      </w:r>
      <w:r>
        <w:t xml:space="preserve"> </w:t>
      </w:r>
      <w:r>
        <w:t xml:space="preserve">certainly suggests that the lockdown crime drop was not uniform, but instead, the macro-level trend masked underlying variation. In the pre-pandemic era, studies have consistently found that local areas (e.g. street segments, neighborhoods) do not experience macro-level trends in unison, but rather, change tends to be attributable to a handful of areas</w:t>
      </w:r>
      <w:r>
        <w:t xml:space="preserve"> </w:t>
      </w:r>
      <w:r>
        <w:t xml:space="preserve">(Andresen et al., 2017; Weisburd et al., 2012)</w:t>
      </w:r>
      <w:r>
        <w:t xml:space="preserve">. Here, for the first time, we have exploited the quasi-</w:t>
      </w:r>
      <w:r>
        <w:t xml:space="preserve">‘</w:t>
      </w:r>
      <w:r>
        <w:t xml:space="preserve">natural experiment</w:t>
      </w:r>
      <w:r>
        <w:t xml:space="preserve">’</w:t>
      </w:r>
      <w:r>
        <w:t xml:space="preserve"> </w:t>
      </w:r>
      <w:r>
        <w:t xml:space="preserve">conditions of the pandemic to decompose this variation during both the</w:t>
      </w:r>
      <w:r>
        <w:t xml:space="preserve"> </w:t>
      </w:r>
      <w:r>
        <w:rPr>
          <w:i/>
        </w:rPr>
        <w:t xml:space="preserve">decline</w:t>
      </w:r>
      <w:r>
        <w:t xml:space="preserve"> </w:t>
      </w:r>
      <w:r>
        <w:t xml:space="preserve">and</w:t>
      </w:r>
      <w:r>
        <w:t xml:space="preserve"> </w:t>
      </w:r>
      <w:r>
        <w:rPr>
          <w:i/>
        </w:rPr>
        <w:t xml:space="preserve">resurgence</w:t>
      </w:r>
      <w:r>
        <w:t xml:space="preserve"> </w:t>
      </w:r>
      <w:r>
        <w:t xml:space="preserve">stages of a macro-level trend, over a short period of time. Interestingly, the degree of concentration, as measured by the generalized Gini coefficient, remained remarkably stable, even amidst this macro and meso-level change. This suggests that the law-like behavior of crime concentration</w:t>
      </w:r>
      <w:r>
        <w:t xml:space="preserve"> </w:t>
      </w:r>
      <w:r>
        <w:t xml:space="preserve">(Weisburd, 2015)</w:t>
      </w:r>
      <w:r>
        <w:t xml:space="preserve"> </w:t>
      </w:r>
      <w:r>
        <w:t xml:space="preserve">holds even in this highly volatile and unusual unusual scenario.</w:t>
      </w:r>
    </w:p>
    <w:p>
      <w:pPr>
        <w:pStyle w:val="BodyText"/>
      </w:pPr>
      <w:r>
        <w:t xml:space="preserve">Findings suggest that the macro-level effect of lockdown on crime has been moderated by highly localized characteristics. Previously criminogenic areas, characterised by plentiful opportunities for crime, and often located in city centers, were the most susceptible to decline following the introduction of</w:t>
      </w:r>
      <w:r>
        <w:t xml:space="preserve"> </w:t>
      </w:r>
      <w:r>
        <w:t xml:space="preserve">“</w:t>
      </w:r>
      <w:r>
        <w:t xml:space="preserve">stay at home</w:t>
      </w:r>
      <w:r>
        <w:t xml:space="preserve">”</w:t>
      </w:r>
      <w:r>
        <w:t xml:space="preserve"> </w:t>
      </w:r>
      <w:r>
        <w:t xml:space="preserve">measures. Containing a disproportionately large number of nighttime economy facilities (e.g. pubs, nightclubs), commercial outlets (e.g. malls, convenience stores), public transport nodes (e.g. railway stations, bus stops) and bicycle parking spaces, these areas had typically acted as major crime attractors and generators. In March, overnight, as the hospitality sector closed its doors, non-essential shops closed, and transport either closed to became unnecessary, these key features became unavailable or unusable. In turn, these areas contributed a considerable (and disproportionate) amount to the nationwide decline in crime.</w:t>
      </w:r>
    </w:p>
    <w:p>
      <w:pPr>
        <w:pStyle w:val="BodyText"/>
      </w:pPr>
      <w:r>
        <w:t xml:space="preserve">That being said, it is notable that the local drivers of the lockdown crime drop experienced only a modest resurgence upon the easing of lockdown restrictions. By August, the clusters identified as</w:t>
      </w:r>
      <w:r>
        <w:t xml:space="preserve"> </w:t>
      </w:r>
      <w:r>
        <w:t xml:space="preserve">‘</w:t>
      </w:r>
      <w:r>
        <w:t xml:space="preserve">high crime major drop</w:t>
      </w:r>
      <w:r>
        <w:t xml:space="preserve">’</w:t>
      </w:r>
      <w:r>
        <w:t xml:space="preserve"> </w:t>
      </w:r>
      <w:r>
        <w:t xml:space="preserve">remained well below the crime counts observed in 2018 and 2019, by which point the low and mid-crime clusters had returned to historical levels. This can likely be attributed to crime type profile of clusters. The drivers of the lockdown crime drop were weighted heavily towards theft (theft from the person, other theft) and shoplifting compared to the low and mid-crime clusters. Instead, low and mid-crime areas were characterized by a larger proportion of violence and sexual offences. Breaking nationwide trends down by crime type, we observe starkly different resurgence trends across these crime types. Types of theft and shoplifting had still not returned to normality by August, while violence and sexual offences had converged back to normality. This is evidenced by a descriptive comparison to 2018 and 2019 (see Appendix) and more advanced forecasting techniques which account for long-term trends</w:t>
      </w:r>
      <w:r>
        <w:t xml:space="preserve"> </w:t>
      </w:r>
      <w:r>
        <w:t xml:space="preserve">(see Langton et al., 2021)</w:t>
      </w:r>
      <w:r>
        <w:t xml:space="preserve">. This may reflect the asymmetric manner of lockdown in England and Wales. While it came into force instantaneously and equitably across the country, lockdown was lifted in stages. For instance, a select number of commercial outlets (e.g. gardening centers) were reopened in May, but restrictions on the hospitality sector and public transport remained in place until July.</w:t>
      </w:r>
    </w:p>
    <w:p>
      <w:pPr>
        <w:pStyle w:val="BodyText"/>
      </w:pPr>
      <w:r>
        <w:t xml:space="preserve">Here, we would note some weaknesses in the study. First, the crime measure of</w:t>
      </w:r>
      <w:r>
        <w:t xml:space="preserve"> </w:t>
      </w:r>
      <w:r>
        <w:t xml:space="preserve">‘</w:t>
      </w:r>
      <w:r>
        <w:t xml:space="preserve">notifiable offences (excluding drugs)</w:t>
      </w:r>
      <w:r>
        <w:t xml:space="preserve">’</w:t>
      </w:r>
      <w:r>
        <w:t xml:space="preserve"> </w:t>
      </w:r>
      <w:r>
        <w:t xml:space="preserve">aggregates away some detail in longitudinal trends. The crime type profile findings certainly go some way in addressing this, and we have now set a baseline from which further investigations can be conducted. However, further insight could be gained from replicating this analyses for major crime types which we know to have distinct opportunity structures, such as burglary and theft. Here, we would note that the generalized Gini coefficients by crime type (see Appendix) certainly suggest that there may be differences between crime types. Secondly, the Open Street Map API used to quantify the prevalence of criminal opportunities in each cluster is imperfect. Studies have found an association between contributions to Open Street Map and contextual characteristics such as poverty and distance from the city center – factors that are also known to be associated with crime. Due to computational issues and API query limits, some features were also unobtainable on a national scale, such as the residential buildings footprints. While we would argue that Open Street Map is unique in its ability to offer open data on opportunity structures nationwide, we would encourage future research to verify these findings using other data sources.</w:t>
      </w:r>
    </w:p>
    <w:p>
      <w:pPr>
        <w:pStyle w:val="Heading1"/>
      </w:pPr>
      <w:bookmarkStart w:id="51" w:name="conclusion"/>
      <w:r>
        <w:t xml:space="preserve">Conclusion</w:t>
      </w:r>
      <w:bookmarkEnd w:id="51"/>
    </w:p>
    <w:p>
      <w:pPr>
        <w:pStyle w:val="FirstParagraph"/>
      </w:pPr>
      <w:r>
        <w:t xml:space="preserve">This paper has aimed to investigate the localized drivers of the COVID-19 crime drop in England and Wales. Using 7-months of police-recorded data on notifiable offences (excluding drugs), we decomposed the (macro) nationwide decline in crime according to clusters of (meso) local areas, each with distinct longitudinal trajectories. Findings provide substantial evidence to suggest that the nationwide decline in crime during lockdown has been driven by a disproportionately small number of localized geographic areas. We find that these localized drivers, dominating city centers, had pre-existing high levels of crime, likely attributable to their unique opportunity structures, containing numerous nightlife facilities, commercial shops, public transport nodes and bicycle parking spaces. Clusters demonstrate a degree of stability in their crime type profiles, but the</w:t>
      </w:r>
      <w:r>
        <w:t xml:space="preserve"> </w:t>
      </w:r>
      <w:r>
        <w:t xml:space="preserve">‘</w:t>
      </w:r>
      <w:r>
        <w:t xml:space="preserve">high crime major drop</w:t>
      </w:r>
      <w:r>
        <w:t xml:space="preserve">’</w:t>
      </w:r>
      <w:r>
        <w:t xml:space="preserve"> </w:t>
      </w:r>
      <w:r>
        <w:t xml:space="preserve">areas appear to be weighted towards theft and shoplifting. Despite their dramatic declines, these areas experienced a fairly slow resurgence upon the relaxation of lockdown rules, remaining below historical levels even by the time low and mid-crime clusters had returned to normality.</w:t>
      </w:r>
    </w:p>
    <w:p>
      <w:pPr>
        <w:pStyle w:val="Heading1"/>
      </w:pPr>
      <w:bookmarkStart w:id="52" w:name="appendix"/>
      <w:r>
        <w:t xml:space="preserve">Appendix</w:t>
      </w:r>
      <w:bookmarkEnd w:id="52"/>
    </w:p>
    <w:p>
      <w:pPr>
        <w:pStyle w:val="CaptionedFigure"/>
      </w:pPr>
      <w:r>
        <w:drawing>
          <wp:inline>
            <wp:extent cx="5768810" cy="7211394"/>
            <wp:effectExtent b="0" l="0" r="0" t="0"/>
            <wp:docPr descr="Counts by offence type in England and Wales during the lockdown period." title="" id="1" name="Picture"/>
            <a:graphic>
              <a:graphicData uri="http://schemas.openxmlformats.org/drawingml/2006/picture">
                <pic:pic>
                  <pic:nvPicPr>
                    <pic:cNvPr descr="visuals/raw_counts_gg.png" id="0" name="Picture"/>
                    <pic:cNvPicPr>
                      <a:picLocks noChangeArrowheads="1" noChangeAspect="1"/>
                    </pic:cNvPicPr>
                  </pic:nvPicPr>
                  <pic:blipFill>
                    <a:blip r:embed="rId53"/>
                    <a:stretch>
                      <a:fillRect/>
                    </a:stretch>
                  </pic:blipFill>
                  <pic:spPr bwMode="auto">
                    <a:xfrm>
                      <a:off x="0" y="0"/>
                      <a:ext cx="5768810" cy="7211394"/>
                    </a:xfrm>
                    <a:prstGeom prst="rect">
                      <a:avLst/>
                    </a:prstGeom>
                    <a:noFill/>
                    <a:ln w="9525">
                      <a:noFill/>
                      <a:headEnd/>
                      <a:tailEnd/>
                    </a:ln>
                  </pic:spPr>
                </pic:pic>
              </a:graphicData>
            </a:graphic>
          </wp:inline>
        </w:drawing>
      </w:r>
    </w:p>
    <w:p>
      <w:pPr>
        <w:pStyle w:val="ImageCaption"/>
      </w:pPr>
      <w:r>
        <w:t xml:space="preserve">Counts by offence type in England and Wales during the lockdown period.</w:t>
      </w:r>
    </w:p>
    <w:p>
      <w:pPr>
        <w:pStyle w:val="CaptionedFigure"/>
      </w:pPr>
      <w:r>
        <w:drawing>
          <wp:inline>
            <wp:extent cx="5048281" cy="7211394"/>
            <wp:effectExtent b="0" l="0" r="0" t="0"/>
            <wp:docPr descr="Monthly generalized Gini cofficient trends by offence type in England and Wales during the lockdown period." title="" id="1" name="Picture"/>
            <a:graphic>
              <a:graphicData uri="http://schemas.openxmlformats.org/drawingml/2006/picture">
                <pic:pic>
                  <pic:nvPicPr>
                    <pic:cNvPr descr="visuals/gini_gg.png" id="0" name="Picture"/>
                    <pic:cNvPicPr>
                      <a:picLocks noChangeArrowheads="1" noChangeAspect="1"/>
                    </pic:cNvPicPr>
                  </pic:nvPicPr>
                  <pic:blipFill>
                    <a:blip r:embed="rId54"/>
                    <a:stretch>
                      <a:fillRect/>
                    </a:stretch>
                  </pic:blipFill>
                  <pic:spPr bwMode="auto">
                    <a:xfrm>
                      <a:off x="0" y="0"/>
                      <a:ext cx="5048281" cy="7211394"/>
                    </a:xfrm>
                    <a:prstGeom prst="rect">
                      <a:avLst/>
                    </a:prstGeom>
                    <a:noFill/>
                    <a:ln w="9525">
                      <a:noFill/>
                      <a:headEnd/>
                      <a:tailEnd/>
                    </a:ln>
                  </pic:spPr>
                </pic:pic>
              </a:graphicData>
            </a:graphic>
          </wp:inline>
        </w:drawing>
      </w:r>
    </w:p>
    <w:p>
      <w:pPr>
        <w:pStyle w:val="ImageCaption"/>
      </w:pPr>
      <w:r>
        <w:t xml:space="preserve">Monthly generalized Gini cofficient trends by offence type in England and Wales during the lockdown period.</w:t>
      </w:r>
    </w:p>
    <w:p>
      <w:pPr>
        <w:pStyle w:val="CaptionedFigure"/>
      </w:pPr>
      <w:r>
        <w:drawing>
          <wp:inline>
            <wp:extent cx="5416061" cy="2165201"/>
            <wp:effectExtent b="0" l="0" r="0" t="0"/>
            <wp:docPr descr="Select crime types with long-term increases in counts." title="" id="1" name="Picture"/>
            <a:graphic>
              <a:graphicData uri="http://schemas.openxmlformats.org/drawingml/2006/picture">
                <pic:pic>
                  <pic:nvPicPr>
                    <pic:cNvPr descr="visuals/long_term_gg.png" id="0" name="Picture"/>
                    <pic:cNvPicPr>
                      <a:picLocks noChangeArrowheads="1" noChangeAspect="1"/>
                    </pic:cNvPicPr>
                  </pic:nvPicPr>
                  <pic:blipFill>
                    <a:blip r:embed="rId55"/>
                    <a:stretch>
                      <a:fillRect/>
                    </a:stretch>
                  </pic:blipFill>
                  <pic:spPr bwMode="auto">
                    <a:xfrm>
                      <a:off x="0" y="0"/>
                      <a:ext cx="5416061" cy="2165201"/>
                    </a:xfrm>
                    <a:prstGeom prst="rect">
                      <a:avLst/>
                    </a:prstGeom>
                    <a:noFill/>
                    <a:ln w="9525">
                      <a:noFill/>
                      <a:headEnd/>
                      <a:tailEnd/>
                    </a:ln>
                  </pic:spPr>
                </pic:pic>
              </a:graphicData>
            </a:graphic>
          </wp:inline>
        </w:drawing>
      </w:r>
    </w:p>
    <w:p>
      <w:pPr>
        <w:pStyle w:val="ImageCaption"/>
      </w:pPr>
      <w:r>
        <w:t xml:space="preserve">Select crime types with long-term increases in counts.</w:t>
      </w:r>
    </w:p>
    <w:p>
      <w:pPr>
        <w:pStyle w:val="Heading1"/>
      </w:pPr>
      <w:bookmarkStart w:id="56" w:name="references"/>
      <w:r>
        <w:t xml:space="preserve">References</w:t>
      </w:r>
      <w:bookmarkEnd w:id="56"/>
    </w:p>
    <w:bookmarkStart w:id="104" w:name="refs"/>
    <w:bookmarkStart w:id="58" w:name="ref-akmed2021mon"/>
    <w:p>
      <w:pPr>
        <w:pStyle w:val="Bibliography"/>
      </w:pPr>
      <w:r>
        <w:t xml:space="preserve">Adepeju, M., Langton, S., &amp; Bannister, J. (2021). Nchored k-medoids: A novel adaptation of k-medoids further refined to measure long-term instability in the exposure to crime.</w:t>
      </w:r>
      <w:r>
        <w:t xml:space="preserve"> </w:t>
      </w:r>
      <w:r>
        <w:rPr>
          <w:i/>
        </w:rPr>
        <w:t xml:space="preserve">Journal of Computational Social Science</w:t>
      </w:r>
      <w:r>
        <w:t xml:space="preserve">.</w:t>
      </w:r>
      <w:r>
        <w:t xml:space="preserve"> </w:t>
      </w:r>
      <w:hyperlink r:id="rId57">
        <w:r>
          <w:rPr>
            <w:rStyle w:val="Hyperlink"/>
          </w:rPr>
          <w:t xml:space="preserve">https://doi.org/https://doi.org/10.1007/s42001-021-00103-1</w:t>
        </w:r>
      </w:hyperlink>
    </w:p>
    <w:bookmarkEnd w:id="58"/>
    <w:bookmarkStart w:id="59" w:name="ref-andresen2017trajectories"/>
    <w:p>
      <w:pPr>
        <w:pStyle w:val="Bibliography"/>
      </w:pPr>
      <w:r>
        <w:t xml:space="preserve">Andresen, M. A., Curman, A. S., &amp; Linning, S. J. (2017). The trajectories of crime at places: Understanding the patterns of disaggregated crime types.</w:t>
      </w:r>
      <w:r>
        <w:t xml:space="preserve"> </w:t>
      </w:r>
      <w:r>
        <w:rPr>
          <w:i/>
        </w:rPr>
        <w:t xml:space="preserve">Journal of Quantitative Criminology</w:t>
      </w:r>
      <w:r>
        <w:t xml:space="preserve">,</w:t>
      </w:r>
      <w:r>
        <w:t xml:space="preserve"> </w:t>
      </w:r>
      <w:r>
        <w:rPr>
          <w:i/>
        </w:rPr>
        <w:t xml:space="preserve">33</w:t>
      </w:r>
      <w:r>
        <w:t xml:space="preserve">(3), 427–449.</w:t>
      </w:r>
    </w:p>
    <w:bookmarkEnd w:id="59"/>
    <w:bookmarkStart w:id="60" w:name="ref-ashby2020initial"/>
    <w:p>
      <w:pPr>
        <w:pStyle w:val="Bibliography"/>
      </w:pPr>
      <w:r>
        <w:t xml:space="preserve">Ashby, M. (2020). Initial evidence on the relationship between the coronavirus pandemic and crime in the united states.</w:t>
      </w:r>
      <w:r>
        <w:t xml:space="preserve"> </w:t>
      </w:r>
      <w:r>
        <w:rPr>
          <w:i/>
        </w:rPr>
        <w:t xml:space="preserve">Crime Science</w:t>
      </w:r>
      <w:r>
        <w:t xml:space="preserve">,</w:t>
      </w:r>
      <w:r>
        <w:t xml:space="preserve"> </w:t>
      </w:r>
      <w:r>
        <w:rPr>
          <w:i/>
        </w:rPr>
        <w:t xml:space="preserve">9</w:t>
      </w:r>
      <w:r>
        <w:t xml:space="preserve">, 1–16.</w:t>
      </w:r>
    </w:p>
    <w:bookmarkEnd w:id="60"/>
    <w:bookmarkStart w:id="61" w:name="ref-bannister2018local"/>
    <w:p>
      <w:pPr>
        <w:pStyle w:val="Bibliography"/>
      </w:pPr>
      <w:r>
        <w:t xml:space="preserve">Bannister, J., Bates, E., &amp; Kearns, A. (2018). Local variance in the crime drop: A longitudinal study of neighbourhoods in greater glasgow, scotland.</w:t>
      </w:r>
      <w:r>
        <w:t xml:space="preserve"> </w:t>
      </w:r>
      <w:r>
        <w:rPr>
          <w:i/>
        </w:rPr>
        <w:t xml:space="preserve">The British Journal of Criminology</w:t>
      </w:r>
      <w:r>
        <w:t xml:space="preserve">,</w:t>
      </w:r>
      <w:r>
        <w:t xml:space="preserve"> </w:t>
      </w:r>
      <w:r>
        <w:rPr>
          <w:i/>
        </w:rPr>
        <w:t xml:space="preserve">58</w:t>
      </w:r>
      <w:r>
        <w:t xml:space="preserve">(1), 177–199.</w:t>
      </w:r>
    </w:p>
    <w:bookmarkEnd w:id="61"/>
    <w:bookmarkStart w:id="62" w:name="ref-bernasco2017more"/>
    <w:p>
      <w:pPr>
        <w:pStyle w:val="Bibliography"/>
      </w:pPr>
      <w:r>
        <w:t xml:space="preserve">Bernasco, W., &amp; Steenbeek, W. (2017). More places than crimes: Implications for evaluating the law of crime concentration at place.</w:t>
      </w:r>
      <w:r>
        <w:t xml:space="preserve"> </w:t>
      </w:r>
      <w:r>
        <w:rPr>
          <w:i/>
        </w:rPr>
        <w:t xml:space="preserve">Journal of Quantitative Criminology</w:t>
      </w:r>
      <w:r>
        <w:t xml:space="preserve">,</w:t>
      </w:r>
      <w:r>
        <w:t xml:space="preserve"> </w:t>
      </w:r>
      <w:r>
        <w:rPr>
          <w:i/>
        </w:rPr>
        <w:t xml:space="preserve">33</w:t>
      </w:r>
      <w:r>
        <w:t xml:space="preserve">(3), 451–467.</w:t>
      </w:r>
    </w:p>
    <w:bookmarkEnd w:id="62"/>
    <w:bookmarkStart w:id="63" w:name="ref-buil2020cybercrime"/>
    <w:p>
      <w:pPr>
        <w:pStyle w:val="Bibliography"/>
      </w:pPr>
      <w:r>
        <w:t xml:space="preserve">Buil-Gil, D., Miro-Llinares, F., Moneva, A., Kemp, S., &amp; Diaz-Castano, N. (2020). Cybercrime and shifts in opportunities during covid-19: A preliminary analysis in the uk.</w:t>
      </w:r>
      <w:r>
        <w:t xml:space="preserve"> </w:t>
      </w:r>
      <w:r>
        <w:rPr>
          <w:i/>
        </w:rPr>
        <w:t xml:space="preserve">European Societies</w:t>
      </w:r>
      <w:r>
        <w:t xml:space="preserve">, 1–13.</w:t>
      </w:r>
    </w:p>
    <w:bookmarkEnd w:id="63"/>
    <w:bookmarkStart w:id="64" w:name="ref-calinski1974dendrite"/>
    <w:p>
      <w:pPr>
        <w:pStyle w:val="Bibliography"/>
      </w:pPr>
      <w:r>
        <w:t xml:space="preserve">Caliński, T., &amp; Harabasz, J. (1974). A dendrite method for cluster analysis.</w:t>
      </w:r>
      <w:r>
        <w:t xml:space="preserve"> </w:t>
      </w:r>
      <w:r>
        <w:rPr>
          <w:i/>
        </w:rPr>
        <w:t xml:space="preserve">Communications in Statistics-Theory and Methods</w:t>
      </w:r>
      <w:r>
        <w:t xml:space="preserve">,</w:t>
      </w:r>
      <w:r>
        <w:t xml:space="preserve"> </w:t>
      </w:r>
      <w:r>
        <w:rPr>
          <w:i/>
        </w:rPr>
        <w:t xml:space="preserve">3</w:t>
      </w:r>
      <w:r>
        <w:t xml:space="preserve">(1), 1–27.</w:t>
      </w:r>
    </w:p>
    <w:bookmarkEnd w:id="64"/>
    <w:bookmarkStart w:id="65" w:name="ref-campedelli2020exploring"/>
    <w:p>
      <w:pPr>
        <w:pStyle w:val="Bibliography"/>
      </w:pPr>
      <w:r>
        <w:t xml:space="preserve">Campedelli, G. M., Aziani, A., &amp; Favarin, S. (2020).</w:t>
      </w:r>
      <w:r>
        <w:t xml:space="preserve"> </w:t>
      </w:r>
      <w:r>
        <w:rPr>
          <w:i/>
        </w:rPr>
        <w:t xml:space="preserve">Exploring the effects of covid-19 containment policies on crime: An empirical analysis of the short-term aftermath in los angeles</w:t>
      </w:r>
      <w:r>
        <w:t xml:space="preserve">.</w:t>
      </w:r>
    </w:p>
    <w:bookmarkEnd w:id="65"/>
    <w:bookmarkStart w:id="66" w:name="ref-campedelli2020disentangling"/>
    <w:p>
      <w:pPr>
        <w:pStyle w:val="Bibliography"/>
      </w:pPr>
      <w:r>
        <w:t xml:space="preserve">Campedelli, G. M., Favarin, S., Aziani, A., &amp; Piquero, A. R. (2020). Disentangling community-level changes in crime trends during the covid-19 pandemic in chicago.</w:t>
      </w:r>
      <w:r>
        <w:t xml:space="preserve"> </w:t>
      </w:r>
      <w:r>
        <w:rPr>
          <w:i/>
        </w:rPr>
        <w:t xml:space="preserve">Crime Science</w:t>
      </w:r>
      <w:r>
        <w:t xml:space="preserve">,</w:t>
      </w:r>
      <w:r>
        <w:t xml:space="preserve"> </w:t>
      </w:r>
      <w:r>
        <w:rPr>
          <w:i/>
        </w:rPr>
        <w:t xml:space="preserve">9</w:t>
      </w:r>
      <w:r>
        <w:t xml:space="preserve">(1), 1–18.</w:t>
      </w:r>
    </w:p>
    <w:bookmarkEnd w:id="66"/>
    <w:bookmarkStart w:id="68" w:name="ref-crown2021"/>
    <w:p>
      <w:pPr>
        <w:pStyle w:val="Bibliography"/>
      </w:pPr>
      <w:r>
        <w:t xml:space="preserve">Crown Prosecution Service. (2021).</w:t>
      </w:r>
      <w:r>
        <w:t xml:space="preserve"> </w:t>
      </w:r>
      <w:r>
        <w:rPr>
          <w:i/>
        </w:rPr>
        <w:t xml:space="preserve">6500 coronavirus-related prosecutions in first six months of the pandemic</w:t>
      </w:r>
      <w:r>
        <w:t xml:space="preserve">.</w:t>
      </w:r>
      <w:r>
        <w:t xml:space="preserve"> </w:t>
      </w:r>
      <w:hyperlink r:id="rId67">
        <w:r>
          <w:rPr>
            <w:rStyle w:val="Hyperlink"/>
          </w:rPr>
          <w:t xml:space="preserve">https://www.cps.gov.uk/cps/news/6500-coronavirus-related-prosecutions-first-six-months-pandemic</w:t>
        </w:r>
      </w:hyperlink>
    </w:p>
    <w:bookmarkEnd w:id="68"/>
    <w:bookmarkStart w:id="69" w:name="ref-curman2015crime"/>
    <w:p>
      <w:pPr>
        <w:pStyle w:val="Bibliography"/>
      </w:pPr>
      <w:r>
        <w:t xml:space="preserve">Curman, A. S., Andresen, M. A., &amp; Brantingham, P. J. (2015). Crime and place: A longitudinal examination of street segment patterns in vancouver, bc.</w:t>
      </w:r>
      <w:r>
        <w:t xml:space="preserve"> </w:t>
      </w:r>
      <w:r>
        <w:rPr>
          <w:i/>
        </w:rPr>
        <w:t xml:space="preserve">Journal of Quantitative Criminology</w:t>
      </w:r>
      <w:r>
        <w:t xml:space="preserve">,</w:t>
      </w:r>
      <w:r>
        <w:t xml:space="preserve"> </w:t>
      </w:r>
      <w:r>
        <w:rPr>
          <w:i/>
        </w:rPr>
        <w:t xml:space="preserve">31</w:t>
      </w:r>
      <w:r>
        <w:t xml:space="preserve">(1), 127–147.</w:t>
      </w:r>
    </w:p>
    <w:bookmarkEnd w:id="69"/>
    <w:bookmarkStart w:id="70" w:name="ref-eck2000finding"/>
    <w:p>
      <w:pPr>
        <w:pStyle w:val="Bibliography"/>
      </w:pPr>
      <w:r>
        <w:t xml:space="preserve">Eck, J. E., Gersh, J. S., &amp; Taylor, C. (2000). Finding crime hot spots through repeat address mapping.</w:t>
      </w:r>
      <w:r>
        <w:t xml:space="preserve"> </w:t>
      </w:r>
      <w:r>
        <w:rPr>
          <w:i/>
        </w:rPr>
        <w:t xml:space="preserve">Analyzing Crime Patterns: Frontiers of Practice</w:t>
      </w:r>
      <w:r>
        <w:t xml:space="preserve">, 49–64.</w:t>
      </w:r>
    </w:p>
    <w:bookmarkEnd w:id="70"/>
    <w:bookmarkStart w:id="71" w:name="ref-estevez2020crime"/>
    <w:p>
      <w:pPr>
        <w:pStyle w:val="Bibliography"/>
      </w:pPr>
      <w:r>
        <w:t xml:space="preserve">Estévez-Soto, P. R. (2020).</w:t>
      </w:r>
      <w:r>
        <w:t xml:space="preserve"> </w:t>
      </w:r>
      <w:r>
        <w:rPr>
          <w:i/>
        </w:rPr>
        <w:t xml:space="preserve">Crime and covid-19: Effect of changes in routine activities in mexico city</w:t>
      </w:r>
      <w:r>
        <w:t xml:space="preserve">.</w:t>
      </w:r>
    </w:p>
    <w:bookmarkEnd w:id="71"/>
    <w:bookmarkStart w:id="72" w:name="ref-felson2020routine"/>
    <w:p>
      <w:pPr>
        <w:pStyle w:val="Bibliography"/>
      </w:pPr>
      <w:r>
        <w:t xml:space="preserve">Felson, M., Jiang, S., &amp; Xu, Y. (2020). Routine activity effects of the covid-19 pandemic on burglary in detroit, march, 2020.</w:t>
      </w:r>
      <w:r>
        <w:t xml:space="preserve"> </w:t>
      </w:r>
      <w:r>
        <w:rPr>
          <w:i/>
        </w:rPr>
        <w:t xml:space="preserve">Crime Science</w:t>
      </w:r>
      <w:r>
        <w:t xml:space="preserve">,</w:t>
      </w:r>
      <w:r>
        <w:t xml:space="preserve"> </w:t>
      </w:r>
      <w:r>
        <w:rPr>
          <w:i/>
        </w:rPr>
        <w:t xml:space="preserve">9</w:t>
      </w:r>
      <w:r>
        <w:t xml:space="preserve">(1), 1–7.</w:t>
      </w:r>
    </w:p>
    <w:bookmarkEnd w:id="72"/>
    <w:bookmarkStart w:id="74" w:name="ref-kmlpack"/>
    <w:p>
      <w:pPr>
        <w:pStyle w:val="Bibliography"/>
      </w:pPr>
      <w:r>
        <w:t xml:space="preserve">Genolini, C., Alacoque, X., Sentenac, M., &amp; Arnaud, C. (2015a). kml and kml3d: R packages to cluster longitudinal data.</w:t>
      </w:r>
      <w:r>
        <w:t xml:space="preserve"> </w:t>
      </w:r>
      <w:r>
        <w:rPr>
          <w:i/>
        </w:rPr>
        <w:t xml:space="preserve">Journal of Statistical Software</w:t>
      </w:r>
      <w:r>
        <w:t xml:space="preserve">,</w:t>
      </w:r>
      <w:r>
        <w:t xml:space="preserve"> </w:t>
      </w:r>
      <w:r>
        <w:rPr>
          <w:i/>
        </w:rPr>
        <w:t xml:space="preserve">65</w:t>
      </w:r>
      <w:r>
        <w:t xml:space="preserve">(4), 1–34.</w:t>
      </w:r>
      <w:r>
        <w:t xml:space="preserve"> </w:t>
      </w:r>
      <w:hyperlink r:id="rId73">
        <w:r>
          <w:rPr>
            <w:rStyle w:val="Hyperlink"/>
          </w:rPr>
          <w:t xml:space="preserve">http://www.jstatsoft.org/v65/i04/</w:t>
        </w:r>
      </w:hyperlink>
    </w:p>
    <w:bookmarkEnd w:id="74"/>
    <w:bookmarkStart w:id="75" w:name="ref-genolini2015kml"/>
    <w:p>
      <w:pPr>
        <w:pStyle w:val="Bibliography"/>
      </w:pPr>
      <w:r>
        <w:t xml:space="preserve">Genolini, C., Alacoque, X., Sentenac, M., Arnaud, C., &amp; others. (2015b). Kml and kml3d: R packages to cluster longitudinal data.</w:t>
      </w:r>
      <w:r>
        <w:t xml:space="preserve"> </w:t>
      </w:r>
      <w:r>
        <w:rPr>
          <w:i/>
        </w:rPr>
        <w:t xml:space="preserve">Journal of Statistical Software</w:t>
      </w:r>
      <w:r>
        <w:t xml:space="preserve">,</w:t>
      </w:r>
      <w:r>
        <w:t xml:space="preserve"> </w:t>
      </w:r>
      <w:r>
        <w:rPr>
          <w:i/>
        </w:rPr>
        <w:t xml:space="preserve">65</w:t>
      </w:r>
      <w:r>
        <w:t xml:space="preserve">(4), 1–34.</w:t>
      </w:r>
    </w:p>
    <w:bookmarkEnd w:id="75"/>
    <w:bookmarkStart w:id="76" w:name="ref-genolini2011kml"/>
    <w:p>
      <w:pPr>
        <w:pStyle w:val="Bibliography"/>
      </w:pPr>
      <w:r>
        <w:t xml:space="preserve">Genolini, C., &amp; Falissard, B. (2011). KmL: A package to cluster longitudinal data.</w:t>
      </w:r>
      <w:r>
        <w:t xml:space="preserve"> </w:t>
      </w:r>
      <w:r>
        <w:rPr>
          <w:i/>
        </w:rPr>
        <w:t xml:space="preserve">Computer Methods and Programs in Biomedicine</w:t>
      </w:r>
      <w:r>
        <w:t xml:space="preserve">,</w:t>
      </w:r>
      <w:r>
        <w:t xml:space="preserve"> </w:t>
      </w:r>
      <w:r>
        <w:rPr>
          <w:i/>
        </w:rPr>
        <w:t xml:space="preserve">104</w:t>
      </w:r>
      <w:r>
        <w:t xml:space="preserve">(3), e112–e121.</w:t>
      </w:r>
    </w:p>
    <w:bookmarkEnd w:id="76"/>
    <w:bookmarkStart w:id="77" w:name="ref-gerell2020minor"/>
    <w:p>
      <w:pPr>
        <w:pStyle w:val="Bibliography"/>
      </w:pPr>
      <w:r>
        <w:t xml:space="preserve">Gerell, M., Kardell, J., &amp; Kindgren, J. (2020). Minor covid-19 association with crime in sweden.</w:t>
      </w:r>
      <w:r>
        <w:t xml:space="preserve"> </w:t>
      </w:r>
      <w:r>
        <w:rPr>
          <w:i/>
        </w:rPr>
        <w:t xml:space="preserve">Crime Science</w:t>
      </w:r>
      <w:r>
        <w:t xml:space="preserve">,</w:t>
      </w:r>
      <w:r>
        <w:t xml:space="preserve"> </w:t>
      </w:r>
      <w:r>
        <w:rPr>
          <w:i/>
        </w:rPr>
        <w:t xml:space="preserve">9</w:t>
      </w:r>
      <w:r>
        <w:t xml:space="preserve">(1), 1–9.</w:t>
      </w:r>
    </w:p>
    <w:bookmarkEnd w:id="77"/>
    <w:bookmarkStart w:id="78" w:name="ref-griffiths2004communities"/>
    <w:p>
      <w:pPr>
        <w:pStyle w:val="Bibliography"/>
      </w:pPr>
      <w:r>
        <w:t xml:space="preserve">Griffiths, E., &amp; Chavez, J. M. (2004). Communities, street guns and homicide trajectories in chicago, 1980–1995: Merging methods for examining homicide trends across space and time.</w:t>
      </w:r>
      <w:r>
        <w:t xml:space="preserve"> </w:t>
      </w:r>
      <w:r>
        <w:rPr>
          <w:i/>
        </w:rPr>
        <w:t xml:space="preserve">Criminology</w:t>
      </w:r>
      <w:r>
        <w:t xml:space="preserve">,</w:t>
      </w:r>
      <w:r>
        <w:t xml:space="preserve"> </w:t>
      </w:r>
      <w:r>
        <w:rPr>
          <w:i/>
        </w:rPr>
        <w:t xml:space="preserve">42</w:t>
      </w:r>
      <w:r>
        <w:t xml:space="preserve">(4), 941–978.</w:t>
      </w:r>
    </w:p>
    <w:bookmarkEnd w:id="78"/>
    <w:bookmarkStart w:id="79" w:name="ref-halford2020crime"/>
    <w:p>
      <w:pPr>
        <w:pStyle w:val="Bibliography"/>
      </w:pPr>
      <w:r>
        <w:t xml:space="preserve">Halford, E., Dixon, A., Farrell, G., Malleson, N., &amp; Tilley, N. (2020). Crime and coronavirus: Social distancing, lockdown, and the mobility elasticity of crime.</w:t>
      </w:r>
      <w:r>
        <w:t xml:space="preserve"> </w:t>
      </w:r>
      <w:r>
        <w:rPr>
          <w:i/>
        </w:rPr>
        <w:t xml:space="preserve">Crime Science</w:t>
      </w:r>
      <w:r>
        <w:t xml:space="preserve">,</w:t>
      </w:r>
      <w:r>
        <w:t xml:space="preserve"> </w:t>
      </w:r>
      <w:r>
        <w:rPr>
          <w:i/>
        </w:rPr>
        <w:t xml:space="preserve">9</w:t>
      </w:r>
      <w:r>
        <w:t xml:space="preserve">(1), 1–12.</w:t>
      </w:r>
    </w:p>
    <w:bookmarkEnd w:id="79"/>
    <w:bookmarkStart w:id="80" w:name="ref-hodgkinson2020show"/>
    <w:p>
      <w:pPr>
        <w:pStyle w:val="Bibliography"/>
      </w:pPr>
      <w:r>
        <w:t xml:space="preserve">Hodgkinson, T., &amp; Andresen, M. A. (2020). Show me a man or a woman alone and i’ll show you a saint: Changes in the frequency of criminal incidents during the covid-19 pandemic.</w:t>
      </w:r>
      <w:r>
        <w:t xml:space="preserve"> </w:t>
      </w:r>
      <w:r>
        <w:rPr>
          <w:i/>
        </w:rPr>
        <w:t xml:space="preserve">Journal of Criminal Justice</w:t>
      </w:r>
      <w:r>
        <w:t xml:space="preserve">,</w:t>
      </w:r>
      <w:r>
        <w:t xml:space="preserve"> </w:t>
      </w:r>
      <w:r>
        <w:rPr>
          <w:i/>
        </w:rPr>
        <w:t xml:space="preserve">69</w:t>
      </w:r>
      <w:r>
        <w:t xml:space="preserve">, 101706.</w:t>
      </w:r>
    </w:p>
    <w:bookmarkEnd w:id="80"/>
    <w:bookmarkStart w:id="81" w:name="ref-ignatans2016whom"/>
    <w:p>
      <w:pPr>
        <w:pStyle w:val="Bibliography"/>
      </w:pPr>
      <w:r>
        <w:t xml:space="preserve">Ignatans, D., &amp; Pease, K. (n.d.). On whom does the burden of crime fall now? Changes over time in counts and concentration.</w:t>
      </w:r>
      <w:r>
        <w:t xml:space="preserve"> </w:t>
      </w:r>
      <w:r>
        <w:rPr>
          <w:i/>
        </w:rPr>
        <w:t xml:space="preserve">International Review of Victimology</w:t>
      </w:r>
      <w:r>
        <w:t xml:space="preserve">,</w:t>
      </w:r>
      <w:r>
        <w:t xml:space="preserve"> </w:t>
      </w:r>
      <w:r>
        <w:rPr>
          <w:i/>
        </w:rPr>
        <w:t xml:space="preserve">22</w:t>
      </w:r>
      <w:r>
        <w:t xml:space="preserve">(1), 55–63.</w:t>
      </w:r>
    </w:p>
    <w:bookmarkEnd w:id="81"/>
    <w:bookmarkStart w:id="82" w:name="ref-langton2021cs"/>
    <w:p>
      <w:pPr>
        <w:pStyle w:val="Bibliography"/>
      </w:pPr>
      <w:r>
        <w:t xml:space="preserve">Langton, S., Dixon, A., &amp; Farrell, G. (2021). Social change and crime rate trends: A routine activity approach.</w:t>
      </w:r>
      <w:r>
        <w:t xml:space="preserve"> </w:t>
      </w:r>
      <w:r>
        <w:rPr>
          <w:i/>
        </w:rPr>
        <w:t xml:space="preserve">Crime Science</w:t>
      </w:r>
      <w:r>
        <w:t xml:space="preserve">.</w:t>
      </w:r>
    </w:p>
    <w:bookmarkEnd w:id="82"/>
    <w:bookmarkStart w:id="83" w:name="ref-langton2020open"/>
    <w:p>
      <w:pPr>
        <w:pStyle w:val="Bibliography"/>
      </w:pPr>
      <w:r>
        <w:t xml:space="preserve">Langton, S., &amp; Solymosi, R. (2020).</w:t>
      </w:r>
      <w:r>
        <w:t xml:space="preserve"> </w:t>
      </w:r>
      <w:r>
        <w:rPr>
          <w:i/>
        </w:rPr>
        <w:t xml:space="preserve">Open street map for crime and place</w:t>
      </w:r>
      <w:r>
        <w:t xml:space="preserve">.</w:t>
      </w:r>
    </w:p>
    <w:bookmarkEnd w:id="83"/>
    <w:bookmarkStart w:id="84" w:name="ref-mcvie2020increasing"/>
    <w:p>
      <w:pPr>
        <w:pStyle w:val="Bibliography"/>
      </w:pPr>
      <w:r>
        <w:t xml:space="preserve">McVie, S., Norris, P., &amp; Pillinger, R. (2020). Increasing inequality in experience of victimization during the crime drop: Analysing patterns of victimization in scotland from 1993 to 2014–15.</w:t>
      </w:r>
      <w:r>
        <w:t xml:space="preserve"> </w:t>
      </w:r>
      <w:r>
        <w:rPr>
          <w:i/>
        </w:rPr>
        <w:t xml:space="preserve">The British Journal of Criminology</w:t>
      </w:r>
      <w:r>
        <w:t xml:space="preserve">,</w:t>
      </w:r>
      <w:r>
        <w:t xml:space="preserve"> </w:t>
      </w:r>
      <w:r>
        <w:rPr>
          <w:i/>
        </w:rPr>
        <w:t xml:space="preserve">60</w:t>
      </w:r>
      <w:r>
        <w:t xml:space="preserve">(3), 782–802.</w:t>
      </w:r>
    </w:p>
    <w:bookmarkEnd w:id="84"/>
    <w:bookmarkStart w:id="85" w:name="ref-mohler2020impact"/>
    <w:p>
      <w:pPr>
        <w:pStyle w:val="Bibliography"/>
      </w:pPr>
      <w:r>
        <w:t xml:space="preserve">Mohler, G., Bertozzi, A. L., Carter, J., Short, M. B., Sledge, D., Tita, G. E., Uchida, C. D., &amp; Brantingham, P. J. (2020). Impact of social distancing during covid-19 pandemic on crime in los angeles and indianapolis.</w:t>
      </w:r>
      <w:r>
        <w:t xml:space="preserve"> </w:t>
      </w:r>
      <w:r>
        <w:rPr>
          <w:i/>
        </w:rPr>
        <w:t xml:space="preserve">Journal of Criminal Justice</w:t>
      </w:r>
      <w:r>
        <w:t xml:space="preserve">, 101692.</w:t>
      </w:r>
    </w:p>
    <w:bookmarkEnd w:id="85"/>
    <w:bookmarkStart w:id="86" w:name="ref-newton2018macro"/>
    <w:p>
      <w:pPr>
        <w:pStyle w:val="Bibliography"/>
      </w:pPr>
      <w:r>
        <w:t xml:space="preserve">Newton, A. (2018).</w:t>
      </w:r>
      <w:r>
        <w:t xml:space="preserve"> </w:t>
      </w:r>
      <w:r>
        <w:rPr>
          <w:i/>
        </w:rPr>
        <w:t xml:space="preserve">Macro-level generators of crime, including parks, stadiums, and transit stations</w:t>
      </w:r>
      <w:r>
        <w:t xml:space="preserve">.</w:t>
      </w:r>
    </w:p>
    <w:bookmarkEnd w:id="86"/>
    <w:bookmarkStart w:id="88" w:name="ref-onslsoachange"/>
    <w:p>
      <w:pPr>
        <w:pStyle w:val="Bibliography"/>
      </w:pPr>
      <w:r>
        <w:t xml:space="preserve">Office of National Statistics. (2012).</w:t>
      </w:r>
      <w:r>
        <w:t xml:space="preserve"> </w:t>
      </w:r>
      <w:r>
        <w:rPr>
          <w:i/>
        </w:rPr>
        <w:t xml:space="preserve">Census geography</w:t>
      </w:r>
      <w:r>
        <w:t xml:space="preserve">.</w:t>
      </w:r>
      <w:r>
        <w:t xml:space="preserve"> </w:t>
      </w:r>
      <w:hyperlink r:id="rId87">
        <w:r>
          <w:rPr>
            <w:rStyle w:val="Hyperlink"/>
          </w:rPr>
          <w:t xml:space="preserve">https://www.ons.gov.uk/file?uri=/methodology/geography/ukgeographies/censusgeography/changestooutputareasandsuperoutputareas2001to2011tcm77288393.pdf</w:t>
        </w:r>
      </w:hyperlink>
    </w:p>
    <w:bookmarkEnd w:id="88"/>
    <w:bookmarkStart w:id="90" w:name="ref-onslsoa"/>
    <w:p>
      <w:pPr>
        <w:pStyle w:val="Bibliography"/>
      </w:pPr>
      <w:r>
        <w:t xml:space="preserve">Office of National Statistics. (2021).</w:t>
      </w:r>
      <w:r>
        <w:t xml:space="preserve"> </w:t>
      </w:r>
      <w:r>
        <w:rPr>
          <w:i/>
        </w:rPr>
        <w:t xml:space="preserve">Census geography</w:t>
      </w:r>
      <w:r>
        <w:t xml:space="preserve">.</w:t>
      </w:r>
      <w:r>
        <w:t xml:space="preserve"> </w:t>
      </w:r>
      <w:hyperlink r:id="rId89">
        <w:r>
          <w:rPr>
            <w:rStyle w:val="Hyperlink"/>
          </w:rPr>
          <w:t xml:space="preserve">https://www.ons.gov.uk/methodology/geography/ukgeographies/censusgeography#super-output-area-soa on Economics and the Environment</w:t>
        </w:r>
      </w:hyperlink>
    </w:p>
    <w:bookmarkEnd w:id="90"/>
    <w:bookmarkStart w:id="91" w:name="ref-padgham2017osmdata"/>
    <w:p>
      <w:pPr>
        <w:pStyle w:val="Bibliography"/>
      </w:pPr>
      <w:r>
        <w:t xml:space="preserve">Padgham, M., Lovelace, R., Salmon, M., &amp; Rudis, B. (2017). Osmdata.</w:t>
      </w:r>
      <w:r>
        <w:t xml:space="preserve"> </w:t>
      </w:r>
      <w:r>
        <w:rPr>
          <w:i/>
        </w:rPr>
        <w:t xml:space="preserve">Journal of Open Source Software</w:t>
      </w:r>
      <w:r>
        <w:t xml:space="preserve">,</w:t>
      </w:r>
      <w:r>
        <w:t xml:space="preserve"> </w:t>
      </w:r>
      <w:r>
        <w:rPr>
          <w:i/>
        </w:rPr>
        <w:t xml:space="preserve">2</w:t>
      </w:r>
      <w:r>
        <w:t xml:space="preserve">(14).</w:t>
      </w:r>
    </w:p>
    <w:bookmarkEnd w:id="91"/>
    <w:bookmarkStart w:id="92" w:name="ref-payneregional2021"/>
    <w:p>
      <w:pPr>
        <w:pStyle w:val="Bibliography"/>
      </w:pPr>
      <w:r>
        <w:t xml:space="preserve">Payne, J. L., Morgan, A., &amp; Piquero, A. (2021). Xploring regional variability in the short-term impact of covid-19 on property crime in queensland, australia.</w:t>
      </w:r>
      <w:r>
        <w:t xml:space="preserve"> </w:t>
      </w:r>
      <w:r>
        <w:rPr>
          <w:i/>
        </w:rPr>
        <w:t xml:space="preserve">Crime Science</w:t>
      </w:r>
      <w:r>
        <w:t xml:space="preserve">,</w:t>
      </w:r>
      <w:r>
        <w:t xml:space="preserve"> </w:t>
      </w:r>
      <w:r>
        <w:rPr>
          <w:i/>
        </w:rPr>
        <w:t xml:space="preserve">10</w:t>
      </w:r>
      <w:r>
        <w:t xml:space="preserve">(7).</w:t>
      </w:r>
    </w:p>
    <w:bookmarkEnd w:id="92"/>
    <w:bookmarkStart w:id="93" w:name="ref-payne2020covid"/>
    <w:p>
      <w:pPr>
        <w:pStyle w:val="Bibliography"/>
      </w:pPr>
      <w:r>
        <w:t xml:space="preserve">Payne, J., &amp; Morgan, A. (2020a).</w:t>
      </w:r>
      <w:r>
        <w:t xml:space="preserve"> </w:t>
      </w:r>
      <w:r>
        <w:rPr>
          <w:i/>
        </w:rPr>
        <w:t xml:space="preserve">COVID-19 and violent crime: A comparison of recorded offence rates and dynamic forecasts (arima) for march 2020 in queensland, australia</w:t>
      </w:r>
      <w:r>
        <w:t xml:space="preserve">.</w:t>
      </w:r>
    </w:p>
    <w:bookmarkEnd w:id="93"/>
    <w:bookmarkStart w:id="94" w:name="ref-payne2020property"/>
    <w:p>
      <w:pPr>
        <w:pStyle w:val="Bibliography"/>
      </w:pPr>
      <w:r>
        <w:t xml:space="preserve">Payne, J., &amp; Morgan, A. (2020b).</w:t>
      </w:r>
      <w:r>
        <w:t xml:space="preserve"> </w:t>
      </w:r>
      <w:r>
        <w:rPr>
          <w:i/>
        </w:rPr>
        <w:t xml:space="preserve">Property crime during the covid-19 pandemic: A comparison of recorded offence rates and dynamic forecasts (arima) for march 2020 in queensland, australia</w:t>
      </w:r>
      <w:r>
        <w:t xml:space="preserve">.</w:t>
      </w:r>
    </w:p>
    <w:bookmarkEnd w:id="94"/>
    <w:bookmarkStart w:id="95" w:name="ref-piquero2020staying"/>
    <w:p>
      <w:pPr>
        <w:pStyle w:val="Bibliography"/>
      </w:pPr>
      <w:r>
        <w:t xml:space="preserve">Piquero, A. R., Riddell, J. R., Bishopp, S. A., Narvey, C., Reid, J. A., &amp; Piquero, N. L. (2020). Staying home, staying safe? A short-term analysis of covid-19 on dallas domestic violence.</w:t>
      </w:r>
      <w:r>
        <w:t xml:space="preserve"> </w:t>
      </w:r>
      <w:r>
        <w:rPr>
          <w:i/>
        </w:rPr>
        <w:t xml:space="preserve">American Journal of Criminal Justice</w:t>
      </w:r>
      <w:r>
        <w:t xml:space="preserve">, 1–35.</w:t>
      </w:r>
    </w:p>
    <w:bookmarkEnd w:id="95"/>
    <w:bookmarkStart w:id="96" w:name="ref-team2013r"/>
    <w:p>
      <w:pPr>
        <w:pStyle w:val="Bibliography"/>
      </w:pPr>
      <w:r>
        <w:t xml:space="preserve">R Core Team. (2013).</w:t>
      </w:r>
      <w:r>
        <w:t xml:space="preserve"> </w:t>
      </w:r>
      <w:r>
        <w:rPr>
          <w:i/>
        </w:rPr>
        <w:t xml:space="preserve">R: A language and environment for statistical computing</w:t>
      </w:r>
      <w:r>
        <w:t xml:space="preserve">. Vienna, Austria.</w:t>
      </w:r>
    </w:p>
    <w:bookmarkEnd w:id="96"/>
    <w:bookmarkStart w:id="97" w:name="ref-shayegh2020staying"/>
    <w:p>
      <w:pPr>
        <w:pStyle w:val="Bibliography"/>
      </w:pPr>
      <w:r>
        <w:t xml:space="preserve">Shayegh, S., &amp; Malpede, M. (2020). Staying home saves lives, really!</w:t>
      </w:r>
      <w:r>
        <w:t xml:space="preserve"> </w:t>
      </w:r>
      <w:r>
        <w:rPr>
          <w:i/>
        </w:rPr>
        <w:t xml:space="preserve">Staying Home Saves Lives, Really!</w:t>
      </w:r>
    </w:p>
    <w:bookmarkEnd w:id="97"/>
    <w:bookmarkStart w:id="98" w:name="ref-stickle2020crime"/>
    <w:p>
      <w:pPr>
        <w:pStyle w:val="Bibliography"/>
      </w:pPr>
      <w:r>
        <w:t xml:space="preserve">Stickle, B., &amp; Felson, M. (2020). Crime rates in a pandemic: The largest criminological experiment in history.</w:t>
      </w:r>
      <w:r>
        <w:t xml:space="preserve"> </w:t>
      </w:r>
      <w:r>
        <w:rPr>
          <w:i/>
        </w:rPr>
        <w:t xml:space="preserve">American Journal of Criminal Justice</w:t>
      </w:r>
      <w:r>
        <w:t xml:space="preserve">,</w:t>
      </w:r>
      <w:r>
        <w:t xml:space="preserve"> </w:t>
      </w:r>
      <w:r>
        <w:rPr>
          <w:i/>
        </w:rPr>
        <w:t xml:space="preserve">45</w:t>
      </w:r>
      <w:r>
        <w:t xml:space="preserve">(4), 525–536.</w:t>
      </w:r>
    </w:p>
    <w:bookmarkEnd w:id="98"/>
    <w:bookmarkStart w:id="99" w:name="ref-tompson2015uk"/>
    <w:p>
      <w:pPr>
        <w:pStyle w:val="Bibliography"/>
      </w:pPr>
      <w:r>
        <w:t xml:space="preserve">Tompson, L., Johnson, S., Ashby, M., Perkins, C., &amp; Edwards, P. (2015). UK open source crime data: Accuracy and possibilities for research.</w:t>
      </w:r>
      <w:r>
        <w:t xml:space="preserve"> </w:t>
      </w:r>
      <w:r>
        <w:rPr>
          <w:i/>
        </w:rPr>
        <w:t xml:space="preserve">Cartography and Geographic Information Science</w:t>
      </w:r>
      <w:r>
        <w:t xml:space="preserve">,</w:t>
      </w:r>
      <w:r>
        <w:t xml:space="preserve"> </w:t>
      </w:r>
      <w:r>
        <w:rPr>
          <w:i/>
        </w:rPr>
        <w:t xml:space="preserve">42</w:t>
      </w:r>
      <w:r>
        <w:t xml:space="preserve">(2), 97–111.</w:t>
      </w:r>
    </w:p>
    <w:bookmarkEnd w:id="99"/>
    <w:bookmarkStart w:id="100" w:name="ref-vandeviver2019stability"/>
    <w:p>
      <w:pPr>
        <w:pStyle w:val="Bibliography"/>
      </w:pPr>
      <w:r>
        <w:t xml:space="preserve">Vandeviver, C., &amp; Steenbeek, W. (2019). The (in) stability of residential burglary patterns on street segments: The case of antwerp, belgium 2005–2016.</w:t>
      </w:r>
      <w:r>
        <w:t xml:space="preserve"> </w:t>
      </w:r>
      <w:r>
        <w:rPr>
          <w:i/>
        </w:rPr>
        <w:t xml:space="preserve">Journal of Quantitative Criminology</w:t>
      </w:r>
      <w:r>
        <w:t xml:space="preserve">,</w:t>
      </w:r>
      <w:r>
        <w:t xml:space="preserve"> </w:t>
      </w:r>
      <w:r>
        <w:rPr>
          <w:i/>
        </w:rPr>
        <w:t xml:space="preserve">35</w:t>
      </w:r>
      <w:r>
        <w:t xml:space="preserve">(1), 111–133.</w:t>
      </w:r>
    </w:p>
    <w:bookmarkEnd w:id="100"/>
    <w:bookmarkStart w:id="101" w:name="ref-weisburd2015law"/>
    <w:p>
      <w:pPr>
        <w:pStyle w:val="Bibliography"/>
      </w:pPr>
      <w:r>
        <w:t xml:space="preserve">Weisburd, D. (2015). The law of crime concentration and the criminology of place.</w:t>
      </w:r>
      <w:r>
        <w:t xml:space="preserve"> </w:t>
      </w:r>
      <w:r>
        <w:rPr>
          <w:i/>
        </w:rPr>
        <w:t xml:space="preserve">Criminology</w:t>
      </w:r>
      <w:r>
        <w:t xml:space="preserve">,</w:t>
      </w:r>
      <w:r>
        <w:t xml:space="preserve"> </w:t>
      </w:r>
      <w:r>
        <w:rPr>
          <w:i/>
        </w:rPr>
        <w:t xml:space="preserve">53</w:t>
      </w:r>
      <w:r>
        <w:t xml:space="preserve">(2), 133–157.</w:t>
      </w:r>
    </w:p>
    <w:bookmarkEnd w:id="101"/>
    <w:bookmarkStart w:id="102" w:name="ref-weisburd2004trajectories"/>
    <w:p>
      <w:pPr>
        <w:pStyle w:val="Bibliography"/>
      </w:pPr>
      <w:r>
        <w:t xml:space="preserve">Weisburd, D., Bushway, S., Lum, C., &amp; Yang, S.-M. (2004). Trajectories of crime at places: A longitudinal study of street segments in the city of seattle.</w:t>
      </w:r>
      <w:r>
        <w:t xml:space="preserve"> </w:t>
      </w:r>
      <w:r>
        <w:rPr>
          <w:i/>
        </w:rPr>
        <w:t xml:space="preserve">Criminology</w:t>
      </w:r>
      <w:r>
        <w:t xml:space="preserve">,</w:t>
      </w:r>
      <w:r>
        <w:t xml:space="preserve"> </w:t>
      </w:r>
      <w:r>
        <w:rPr>
          <w:i/>
        </w:rPr>
        <w:t xml:space="preserve">42</w:t>
      </w:r>
      <w:r>
        <w:t xml:space="preserve">(2), 283–322.</w:t>
      </w:r>
    </w:p>
    <w:bookmarkEnd w:id="102"/>
    <w:bookmarkStart w:id="103" w:name="ref-weisburd2012criminology"/>
    <w:p>
      <w:pPr>
        <w:pStyle w:val="Bibliography"/>
      </w:pPr>
      <w:r>
        <w:t xml:space="preserve">Weisburd, D., Groff, E. R., &amp; Yang, S.-M. (2012).</w:t>
      </w:r>
      <w:r>
        <w:t xml:space="preserve"> </w:t>
      </w:r>
      <w:r>
        <w:rPr>
          <w:i/>
        </w:rPr>
        <w:t xml:space="preserve">The criminology of place: Street segments and our understanding of the crime problem</w:t>
      </w:r>
      <w:r>
        <w:t xml:space="preserve">. Oxford University Press.</w:t>
      </w:r>
    </w:p>
    <w:bookmarkEnd w:id="103"/>
    <w:bookmarkEnd w:id="104"/>
    <w:sectPr w:rsidR="008E714B">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8436234"/>
      <w:docPartObj>
        <w:docPartGallery w:val="Page Numbers (Bottom of Page)"/>
        <w:docPartUnique/>
      </w:docPartObj>
    </w:sdtPr>
    <w:sdtEndPr>
      <w:rPr>
        <w:noProof/>
      </w:rPr>
    </w:sdtEndPr>
    <w:sdtContent>
      <w:p w14:paraId="74333A47" w14:textId="77777777" w:rsidR="001F3BC8" w:rsidRDefault="006C6E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333A48" w14:textId="77777777" w:rsidR="001F3BC8" w:rsidRDefault="00A974B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Further information on these crime categories can be obtained from</w:t>
      </w:r>
      <w:r>
        <w:t xml:space="preserve"> </w:t>
      </w:r>
      <w:hyperlink r:id="rId27">
        <w:r>
          <w:rPr>
            <w:rStyle w:val="Hyperlink"/>
          </w:rPr>
          <w:t xml:space="preserve">https://www.police.uk/pu/contact-the-police/what-and-how-to-report/what-report/</w:t>
        </w:r>
      </w:hyperlink>
      <w:r>
        <w:t xml:space="preser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B2866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FF2F9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281DC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694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D16D5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04094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E87C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D603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91003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C49C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C066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F571F7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117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8A07767"/>
    <w:multiLevelType w:val="hybridMultilevel"/>
    <w:tmpl w:val="E07CA25C"/>
    <w:lvl w:ilvl="0" w:tplc="6266730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A1657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A152CD9"/>
    <w:multiLevelType w:val="hybridMultilevel"/>
    <w:tmpl w:val="80EC54DE"/>
    <w:lvl w:ilvl="0" w:tplc="8A8A3B9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1AE401"/>
    <w:multiLevelType w:val="multilevel"/>
    <w:tmpl w:val="5A62DD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60B010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ACB79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04140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5"/>
  </w:num>
  <w:num w:numId="14">
    <w:abstractNumId w:val="13"/>
  </w:num>
  <w:num w:numId="15">
    <w:abstractNumId w:val="10"/>
  </w:num>
  <w:num w:numId="16">
    <w:abstractNumId w:val="11"/>
  </w:num>
  <w:num w:numId="17">
    <w:abstractNumId w:val="18"/>
  </w:num>
  <w:num w:numId="18">
    <w:abstractNumId w:val="19"/>
  </w:num>
  <w:num w:numId="19">
    <w:abstractNumId w:val="12"/>
  </w:num>
  <w:num w:numId="20">
    <w:abstractNumId w:val="14"/>
  </w:num>
  <w:num w:numId="21">
    <w:abstractNumId w:val="16"/>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56485"/>
    <w:pPr>
      <w:keepNext/>
      <w:keepLines/>
      <w:numPr>
        <w:numId w:val="20"/>
      </w:numPr>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B70312"/>
    <w:pPr>
      <w:keepNext/>
      <w:keepLines/>
      <w:numPr>
        <w:ilvl w:val="1"/>
        <w:numId w:val="20"/>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B70312"/>
    <w:pPr>
      <w:keepNext/>
      <w:keepLines/>
      <w:numPr>
        <w:ilvl w:val="2"/>
        <w:numId w:val="20"/>
      </w:numPr>
      <w:spacing w:before="200" w:after="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6C6E71"/>
    <w:pPr>
      <w:keepNext/>
      <w:keepLines/>
      <w:numPr>
        <w:ilvl w:val="3"/>
        <w:numId w:val="20"/>
      </w:numPr>
      <w:spacing w:before="200" w:after="0"/>
      <w:outlineLvl w:val="3"/>
    </w:pPr>
    <w:rPr>
      <w:rFonts w:ascii="Times New Roman" w:eastAsiaTheme="majorEastAsia" w:hAnsi="Times New Roman" w:cstheme="majorBidi"/>
      <w:b/>
      <w:bCs/>
    </w:rPr>
  </w:style>
  <w:style w:type="paragraph" w:styleId="Heading5">
    <w:name w:val="heading 5"/>
    <w:basedOn w:val="Normal"/>
    <w:next w:val="BodyText"/>
    <w:uiPriority w:val="9"/>
    <w:unhideWhenUsed/>
    <w:qFormat/>
    <w:pPr>
      <w:keepNext/>
      <w:keepLines/>
      <w:numPr>
        <w:ilvl w:val="4"/>
        <w:numId w:val="20"/>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20"/>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0"/>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0"/>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0"/>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C4CBD"/>
    <w:pPr>
      <w:spacing w:before="180" w:after="180" w:line="360" w:lineRule="auto"/>
    </w:pPr>
    <w:rPr>
      <w:rFonts w:ascii="Times New Roman" w:hAnsi="Times New Roman"/>
    </w:rPr>
  </w:style>
  <w:style w:type="paragraph" w:customStyle="1" w:styleId="FirstParagraph">
    <w:name w:val="First Paragraph"/>
    <w:basedOn w:val="BodyText"/>
    <w:next w:val="BodyText"/>
    <w:qFormat/>
    <w:rsid w:val="000C4CBD"/>
  </w:style>
  <w:style w:type="paragraph" w:customStyle="1" w:styleId="Compact">
    <w:name w:val="Compact"/>
    <w:basedOn w:val="BodyText"/>
    <w:qFormat/>
    <w:pPr>
      <w:spacing w:before="36" w:after="36"/>
    </w:pPr>
  </w:style>
  <w:style w:type="paragraph" w:styleId="Title">
    <w:name w:val="Title"/>
    <w:basedOn w:val="Normal"/>
    <w:next w:val="BodyText"/>
    <w:qFormat/>
    <w:rsid w:val="00BF6962"/>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F6962"/>
    <w:pPr>
      <w:keepNext/>
      <w:keepLines/>
      <w:jc w:val="center"/>
    </w:pPr>
    <w:rPr>
      <w:rFonts w:ascii="Times New Roman" w:hAnsi="Times New Roman"/>
      <w:color w:val="000000" w:themeColor="text1"/>
    </w:rPr>
  </w:style>
  <w:style w:type="paragraph" w:styleId="Date">
    <w:name w:val="Date"/>
    <w:next w:val="BodyText"/>
    <w:qFormat/>
    <w:rsid w:val="00BF6962"/>
    <w:pPr>
      <w:keepNext/>
      <w:keepLines/>
      <w:jc w:val="center"/>
    </w:pPr>
    <w:rPr>
      <w:rFonts w:ascii="Times New Roman" w:hAnsi="Times New Roman"/>
      <w:color w:val="000000" w:themeColor="text1"/>
    </w:rPr>
  </w:style>
  <w:style w:type="paragraph" w:customStyle="1" w:styleId="Abstract">
    <w:name w:val="Abstract"/>
    <w:basedOn w:val="BodyText"/>
    <w:next w:val="BodyText"/>
    <w:qFormat/>
    <w:rsid w:val="00D92CC4"/>
    <w:pPr>
      <w:keepNext/>
      <w:keepLines/>
      <w:spacing w:before="300" w:after="300"/>
    </w:pPr>
    <w:rPr>
      <w:szCs w:val="20"/>
    </w:rPr>
  </w:style>
  <w:style w:type="paragraph" w:styleId="Bibliography">
    <w:name w:val="Bibliography"/>
    <w:basedOn w:val="BodyText"/>
    <w:qFormat/>
    <w:rsid w:val="00BF696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6C6E71"/>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C706B6"/>
    <w:pPr>
      <w:spacing w:after="120"/>
    </w:pPr>
    <w:rPr>
      <w:rFonts w:ascii="Times New Roman" w:hAnsi="Times New Roman"/>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C706B6"/>
    <w:rPr>
      <w:rFonts w:ascii="Times New Roman" w:hAnsi="Times New Roman"/>
      <w:i/>
    </w:rPr>
  </w:style>
  <w:style w:type="character" w:customStyle="1" w:styleId="VerbatimChar">
    <w:name w:val="Verbatim Char"/>
    <w:basedOn w:val="CaptionChar"/>
    <w:link w:val="SourceCode"/>
    <w:rsid w:val="00BF6962"/>
    <w:rPr>
      <w:rFonts w:ascii="Consolas" w:hAnsi="Consolas"/>
      <w:i/>
      <w:sz w:val="20"/>
      <w:shd w:val="clear" w:color="auto" w:fill="F8F8F8"/>
    </w:rPr>
  </w:style>
  <w:style w:type="character" w:styleId="FootnoteReference">
    <w:name w:val="footnote reference"/>
    <w:basedOn w:val="CaptionChar"/>
    <w:rsid w:val="006C6E71"/>
    <w:rPr>
      <w:rFonts w:ascii="Times New Roman" w:hAnsi="Times New Roman"/>
      <w:i w:val="0"/>
      <w:sz w:val="24"/>
      <w:vertAlign w:val="superscript"/>
    </w:rPr>
  </w:style>
  <w:style w:type="character" w:styleId="Hyperlink">
    <w:name w:val="Hyperlink"/>
    <w:basedOn w:val="CaptionChar"/>
    <w:rsid w:val="009B2C49"/>
    <w:rPr>
      <w:rFonts w:ascii="Times New Roman" w:hAnsi="Times New Roman"/>
      <w:i w:val="0"/>
      <w:color w:val="000000" w:themeColor="tex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F6962"/>
    <w:pPr>
      <w:shd w:val="clear" w:color="auto" w:fill="F8F8F8"/>
      <w:wordWrap w:val="0"/>
    </w:pPr>
    <w:rPr>
      <w:rFonts w:ascii="Consolas" w:hAnsi="Consolas"/>
      <w:sz w:val="20"/>
    </w:rPr>
  </w:style>
  <w:style w:type="character" w:customStyle="1" w:styleId="KeywordTok">
    <w:name w:val="KeywordTok"/>
    <w:basedOn w:val="VerbatimChar"/>
    <w:rPr>
      <w:rFonts w:ascii="Consolas" w:hAnsi="Consolas"/>
      <w:b/>
      <w:i/>
      <w:color w:val="204A87"/>
      <w:sz w:val="20"/>
      <w:shd w:val="clear" w:color="auto" w:fill="F8F8F8"/>
    </w:rPr>
  </w:style>
  <w:style w:type="character" w:customStyle="1" w:styleId="DataTypeTok">
    <w:name w:val="DataTypeTok"/>
    <w:basedOn w:val="VerbatimChar"/>
    <w:rPr>
      <w:rFonts w:ascii="Consolas" w:hAnsi="Consolas"/>
      <w:i/>
      <w:color w:val="204A87"/>
      <w:sz w:val="20"/>
      <w:shd w:val="clear" w:color="auto" w:fill="F8F8F8"/>
    </w:rPr>
  </w:style>
  <w:style w:type="character" w:customStyle="1" w:styleId="DecValTok">
    <w:name w:val="DecValTok"/>
    <w:basedOn w:val="VerbatimChar"/>
    <w:rPr>
      <w:rFonts w:ascii="Consolas" w:hAnsi="Consolas"/>
      <w:i/>
      <w:color w:val="0000CF"/>
      <w:sz w:val="20"/>
      <w:shd w:val="clear" w:color="auto" w:fill="F8F8F8"/>
    </w:rPr>
  </w:style>
  <w:style w:type="character" w:customStyle="1" w:styleId="BaseNTok">
    <w:name w:val="BaseNTok"/>
    <w:basedOn w:val="VerbatimChar"/>
    <w:rPr>
      <w:rFonts w:ascii="Consolas" w:hAnsi="Consolas"/>
      <w:i/>
      <w:color w:val="0000CF"/>
      <w:sz w:val="20"/>
      <w:shd w:val="clear" w:color="auto" w:fill="F8F8F8"/>
    </w:rPr>
  </w:style>
  <w:style w:type="character" w:customStyle="1" w:styleId="FloatTok">
    <w:name w:val="FloatTok"/>
    <w:basedOn w:val="VerbatimChar"/>
    <w:rPr>
      <w:rFonts w:ascii="Consolas" w:hAnsi="Consolas"/>
      <w:i/>
      <w:color w:val="0000CF"/>
      <w:sz w:val="20"/>
      <w:shd w:val="clear" w:color="auto" w:fill="F8F8F8"/>
    </w:rPr>
  </w:style>
  <w:style w:type="character" w:customStyle="1" w:styleId="ConstantTok">
    <w:name w:val="ConstantTok"/>
    <w:basedOn w:val="VerbatimChar"/>
    <w:rPr>
      <w:rFonts w:ascii="Consolas" w:hAnsi="Consolas"/>
      <w:i/>
      <w:color w:val="000000"/>
      <w:sz w:val="20"/>
      <w:shd w:val="clear" w:color="auto" w:fill="F8F8F8"/>
    </w:rPr>
  </w:style>
  <w:style w:type="character" w:customStyle="1" w:styleId="CharTok">
    <w:name w:val="CharTok"/>
    <w:basedOn w:val="VerbatimChar"/>
    <w:rPr>
      <w:rFonts w:ascii="Consolas" w:hAnsi="Consolas"/>
      <w:i/>
      <w:color w:val="4E9A06"/>
      <w:sz w:val="20"/>
      <w:shd w:val="clear" w:color="auto" w:fill="F8F8F8"/>
    </w:rPr>
  </w:style>
  <w:style w:type="character" w:customStyle="1" w:styleId="SpecialCharTok">
    <w:name w:val="SpecialCharTok"/>
    <w:basedOn w:val="VerbatimChar"/>
    <w:rPr>
      <w:rFonts w:ascii="Consolas" w:hAnsi="Consolas"/>
      <w:i/>
      <w:color w:val="000000"/>
      <w:sz w:val="20"/>
      <w:shd w:val="clear" w:color="auto" w:fill="F8F8F8"/>
    </w:rPr>
  </w:style>
  <w:style w:type="character" w:customStyle="1" w:styleId="StringTok">
    <w:name w:val="StringTok"/>
    <w:basedOn w:val="VerbatimChar"/>
    <w:rPr>
      <w:rFonts w:ascii="Consolas" w:hAnsi="Consolas"/>
      <w:i/>
      <w:color w:val="4E9A06"/>
      <w:sz w:val="20"/>
      <w:shd w:val="clear" w:color="auto" w:fill="F8F8F8"/>
    </w:rPr>
  </w:style>
  <w:style w:type="character" w:customStyle="1" w:styleId="VerbatimStringTok">
    <w:name w:val="VerbatimStringTok"/>
    <w:basedOn w:val="VerbatimChar"/>
    <w:rPr>
      <w:rFonts w:ascii="Consolas" w:hAnsi="Consolas"/>
      <w:i/>
      <w:color w:val="4E9A06"/>
      <w:sz w:val="20"/>
      <w:shd w:val="clear" w:color="auto" w:fill="F8F8F8"/>
    </w:rPr>
  </w:style>
  <w:style w:type="character" w:customStyle="1" w:styleId="SpecialStringTok">
    <w:name w:val="SpecialStringTok"/>
    <w:basedOn w:val="VerbatimChar"/>
    <w:rPr>
      <w:rFonts w:ascii="Consolas" w:hAnsi="Consolas"/>
      <w:i/>
      <w:color w:val="4E9A06"/>
      <w:sz w:val="20"/>
      <w:shd w:val="clear" w:color="auto" w:fill="F8F8F8"/>
    </w:rPr>
  </w:style>
  <w:style w:type="character" w:customStyle="1" w:styleId="ImportTok">
    <w:name w:val="ImportTok"/>
    <w:basedOn w:val="VerbatimChar"/>
    <w:rPr>
      <w:rFonts w:ascii="Consolas" w:hAnsi="Consolas"/>
      <w:i/>
      <w:sz w:val="20"/>
      <w:shd w:val="clear" w:color="auto" w:fill="F8F8F8"/>
    </w:rPr>
  </w:style>
  <w:style w:type="character" w:customStyle="1" w:styleId="CommentTok">
    <w:name w:val="CommentTok"/>
    <w:basedOn w:val="VerbatimChar"/>
    <w:rPr>
      <w:rFonts w:ascii="Consolas" w:hAnsi="Consolas"/>
      <w:i w:val="0"/>
      <w:color w:val="8F5902"/>
      <w:sz w:val="20"/>
      <w:shd w:val="clear" w:color="auto" w:fill="F8F8F8"/>
    </w:rPr>
  </w:style>
  <w:style w:type="character" w:customStyle="1" w:styleId="DocumentationTok">
    <w:name w:val="DocumentationTok"/>
    <w:basedOn w:val="VerbatimChar"/>
    <w:rPr>
      <w:rFonts w:ascii="Consolas" w:hAnsi="Consolas"/>
      <w:b/>
      <w:i w:val="0"/>
      <w:color w:val="8F5902"/>
      <w:sz w:val="20"/>
      <w:shd w:val="clear" w:color="auto" w:fill="F8F8F8"/>
    </w:rPr>
  </w:style>
  <w:style w:type="character" w:customStyle="1" w:styleId="AnnotationTok">
    <w:name w:val="AnnotationTok"/>
    <w:basedOn w:val="VerbatimChar"/>
    <w:rPr>
      <w:rFonts w:ascii="Consolas" w:hAnsi="Consolas"/>
      <w:b/>
      <w:i w:val="0"/>
      <w:color w:val="8F5902"/>
      <w:sz w:val="20"/>
      <w:shd w:val="clear" w:color="auto" w:fill="F8F8F8"/>
    </w:rPr>
  </w:style>
  <w:style w:type="character" w:customStyle="1" w:styleId="CommentVarTok">
    <w:name w:val="CommentVarTok"/>
    <w:basedOn w:val="VerbatimChar"/>
    <w:rPr>
      <w:rFonts w:ascii="Consolas" w:hAnsi="Consolas"/>
      <w:b/>
      <w:i w:val="0"/>
      <w:color w:val="8F5902"/>
      <w:sz w:val="20"/>
      <w:shd w:val="clear" w:color="auto" w:fill="F8F8F8"/>
    </w:rPr>
  </w:style>
  <w:style w:type="character" w:customStyle="1" w:styleId="OtherTok">
    <w:name w:val="OtherTok"/>
    <w:basedOn w:val="VerbatimChar"/>
    <w:rPr>
      <w:rFonts w:ascii="Consolas" w:hAnsi="Consolas"/>
      <w:i/>
      <w:color w:val="8F5902"/>
      <w:sz w:val="20"/>
      <w:shd w:val="clear" w:color="auto" w:fill="F8F8F8"/>
    </w:rPr>
  </w:style>
  <w:style w:type="character" w:customStyle="1" w:styleId="FunctionTok">
    <w:name w:val="FunctionTok"/>
    <w:basedOn w:val="VerbatimChar"/>
    <w:rPr>
      <w:rFonts w:ascii="Consolas" w:hAnsi="Consolas"/>
      <w:i/>
      <w:color w:val="000000"/>
      <w:sz w:val="20"/>
      <w:shd w:val="clear" w:color="auto" w:fill="F8F8F8"/>
    </w:rPr>
  </w:style>
  <w:style w:type="character" w:customStyle="1" w:styleId="VariableTok">
    <w:name w:val="VariableTok"/>
    <w:basedOn w:val="VerbatimChar"/>
    <w:rPr>
      <w:rFonts w:ascii="Consolas" w:hAnsi="Consolas"/>
      <w:i/>
      <w:color w:val="000000"/>
      <w:sz w:val="20"/>
      <w:shd w:val="clear" w:color="auto" w:fill="F8F8F8"/>
    </w:rPr>
  </w:style>
  <w:style w:type="character" w:customStyle="1" w:styleId="ControlFlowTok">
    <w:name w:val="ControlFlowTok"/>
    <w:basedOn w:val="VerbatimChar"/>
    <w:rPr>
      <w:rFonts w:ascii="Consolas" w:hAnsi="Consolas"/>
      <w:b/>
      <w:i/>
      <w:color w:val="204A87"/>
      <w:sz w:val="20"/>
      <w:shd w:val="clear" w:color="auto" w:fill="F8F8F8"/>
    </w:rPr>
  </w:style>
  <w:style w:type="character" w:customStyle="1" w:styleId="OperatorTok">
    <w:name w:val="OperatorTok"/>
    <w:basedOn w:val="VerbatimChar"/>
    <w:rPr>
      <w:rFonts w:ascii="Consolas" w:hAnsi="Consolas"/>
      <w:b/>
      <w:i/>
      <w:color w:val="CE5C00"/>
      <w:sz w:val="20"/>
      <w:shd w:val="clear" w:color="auto" w:fill="F8F8F8"/>
    </w:rPr>
  </w:style>
  <w:style w:type="character" w:customStyle="1" w:styleId="BuiltInTok">
    <w:name w:val="BuiltInTok"/>
    <w:basedOn w:val="VerbatimChar"/>
    <w:rPr>
      <w:rFonts w:ascii="Consolas" w:hAnsi="Consolas"/>
      <w:i/>
      <w:sz w:val="20"/>
      <w:shd w:val="clear" w:color="auto" w:fill="F8F8F8"/>
    </w:rPr>
  </w:style>
  <w:style w:type="character" w:customStyle="1" w:styleId="ExtensionTok">
    <w:name w:val="ExtensionTok"/>
    <w:basedOn w:val="VerbatimChar"/>
    <w:rPr>
      <w:rFonts w:ascii="Consolas" w:hAnsi="Consolas"/>
      <w:i/>
      <w:sz w:val="20"/>
      <w:shd w:val="clear" w:color="auto" w:fill="F8F8F8"/>
    </w:rPr>
  </w:style>
  <w:style w:type="character" w:customStyle="1" w:styleId="PreprocessorTok">
    <w:name w:val="PreprocessorTok"/>
    <w:basedOn w:val="VerbatimChar"/>
    <w:rPr>
      <w:rFonts w:ascii="Consolas" w:hAnsi="Consolas"/>
      <w:i w:val="0"/>
      <w:color w:val="8F5902"/>
      <w:sz w:val="20"/>
      <w:shd w:val="clear" w:color="auto" w:fill="F8F8F8"/>
    </w:rPr>
  </w:style>
  <w:style w:type="character" w:customStyle="1" w:styleId="AttributeTok">
    <w:name w:val="AttributeTok"/>
    <w:basedOn w:val="VerbatimChar"/>
    <w:rPr>
      <w:rFonts w:ascii="Consolas" w:hAnsi="Consolas"/>
      <w:i/>
      <w:color w:val="C4A000"/>
      <w:sz w:val="20"/>
      <w:shd w:val="clear" w:color="auto" w:fill="F8F8F8"/>
    </w:rPr>
  </w:style>
  <w:style w:type="character" w:customStyle="1" w:styleId="RegionMarkerTok">
    <w:name w:val="RegionMarkerTok"/>
    <w:basedOn w:val="VerbatimChar"/>
    <w:rPr>
      <w:rFonts w:ascii="Consolas" w:hAnsi="Consolas"/>
      <w:i/>
      <w:sz w:val="20"/>
      <w:shd w:val="clear" w:color="auto" w:fill="F8F8F8"/>
    </w:rPr>
  </w:style>
  <w:style w:type="character" w:customStyle="1" w:styleId="InformationTok">
    <w:name w:val="InformationTok"/>
    <w:basedOn w:val="VerbatimChar"/>
    <w:rPr>
      <w:rFonts w:ascii="Consolas" w:hAnsi="Consolas"/>
      <w:b/>
      <w:i w:val="0"/>
      <w:color w:val="8F5902"/>
      <w:sz w:val="20"/>
      <w:shd w:val="clear" w:color="auto" w:fill="F8F8F8"/>
    </w:rPr>
  </w:style>
  <w:style w:type="character" w:customStyle="1" w:styleId="WarningTok">
    <w:name w:val="WarningTok"/>
    <w:basedOn w:val="VerbatimChar"/>
    <w:rPr>
      <w:rFonts w:ascii="Consolas" w:hAnsi="Consolas"/>
      <w:b/>
      <w:i w:val="0"/>
      <w:color w:val="8F5902"/>
      <w:sz w:val="20"/>
      <w:shd w:val="clear" w:color="auto" w:fill="F8F8F8"/>
    </w:rPr>
  </w:style>
  <w:style w:type="character" w:customStyle="1" w:styleId="AlertTok">
    <w:name w:val="AlertTok"/>
    <w:basedOn w:val="VerbatimChar"/>
    <w:rPr>
      <w:rFonts w:ascii="Consolas" w:hAnsi="Consolas"/>
      <w:i/>
      <w:color w:val="EF2929"/>
      <w:sz w:val="20"/>
      <w:shd w:val="clear" w:color="auto" w:fill="F8F8F8"/>
    </w:rPr>
  </w:style>
  <w:style w:type="character" w:customStyle="1" w:styleId="ErrorTok">
    <w:name w:val="ErrorTok"/>
    <w:basedOn w:val="VerbatimChar"/>
    <w:rPr>
      <w:rFonts w:ascii="Consolas" w:hAnsi="Consolas"/>
      <w:b/>
      <w:i/>
      <w:color w:val="A40000"/>
      <w:sz w:val="20"/>
      <w:shd w:val="clear" w:color="auto" w:fill="F8F8F8"/>
    </w:rPr>
  </w:style>
  <w:style w:type="character" w:customStyle="1" w:styleId="NormalTok">
    <w:name w:val="NormalTok"/>
    <w:basedOn w:val="VerbatimChar"/>
    <w:rPr>
      <w:rFonts w:ascii="Consolas" w:hAnsi="Consolas"/>
      <w:i/>
      <w:sz w:val="20"/>
      <w:shd w:val="clear" w:color="auto" w:fill="F8F8F8"/>
    </w:rPr>
  </w:style>
  <w:style w:type="character" w:customStyle="1" w:styleId="BodyTextChar">
    <w:name w:val="Body Text Char"/>
    <w:basedOn w:val="DefaultParagraphFont"/>
    <w:link w:val="BodyText"/>
    <w:rsid w:val="000C4CBD"/>
    <w:rPr>
      <w:rFonts w:ascii="Times New Roman" w:hAnsi="Times New Roman"/>
    </w:rPr>
  </w:style>
  <w:style w:type="paragraph" w:styleId="Header">
    <w:name w:val="header"/>
    <w:basedOn w:val="Normal"/>
    <w:link w:val="HeaderChar"/>
    <w:unhideWhenUsed/>
    <w:rsid w:val="001F3BC8"/>
    <w:pPr>
      <w:tabs>
        <w:tab w:val="center" w:pos="4513"/>
        <w:tab w:val="right" w:pos="9026"/>
      </w:tabs>
      <w:spacing w:after="0"/>
    </w:pPr>
  </w:style>
  <w:style w:type="character" w:customStyle="1" w:styleId="HeaderChar">
    <w:name w:val="Header Char"/>
    <w:basedOn w:val="DefaultParagraphFont"/>
    <w:link w:val="Header"/>
    <w:rsid w:val="001F3BC8"/>
  </w:style>
  <w:style w:type="paragraph" w:styleId="Footer">
    <w:name w:val="footer"/>
    <w:basedOn w:val="Normal"/>
    <w:link w:val="FooterChar"/>
    <w:uiPriority w:val="99"/>
    <w:unhideWhenUsed/>
    <w:rsid w:val="001F3BC8"/>
    <w:pPr>
      <w:tabs>
        <w:tab w:val="center" w:pos="4513"/>
        <w:tab w:val="right" w:pos="9026"/>
      </w:tabs>
      <w:spacing w:after="0"/>
    </w:pPr>
    <w:rPr>
      <w:rFonts w:ascii="Times New Roman" w:hAnsi="Times New Roman"/>
      <w:sz w:val="20"/>
    </w:rPr>
  </w:style>
  <w:style w:type="character" w:customStyle="1" w:styleId="FooterChar">
    <w:name w:val="Footer Char"/>
    <w:basedOn w:val="DefaultParagraphFont"/>
    <w:link w:val="Footer"/>
    <w:uiPriority w:val="99"/>
    <w:rsid w:val="001F3BC8"/>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2" Target="media/rId42.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55" Target="media/rId55.png" /><Relationship Type="http://schemas.openxmlformats.org/officeDocument/2006/relationships/image" Id="rId46" Target="media/rId46.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53" Target="media/rId53.png" /><Relationship Type="http://schemas.openxmlformats.org/officeDocument/2006/relationships/image" Id="rId49" Target="media/rId49.png" /><Relationship Type="http://schemas.openxmlformats.org/officeDocument/2006/relationships/hyperlink" Id="rId73" Target="http://www.jstatsoft.org/v65/i04/" TargetMode="External" /><Relationship Type="http://schemas.openxmlformats.org/officeDocument/2006/relationships/hyperlink" Id="rId25" Target="https://data.police.uk/" TargetMode="External" /><Relationship Type="http://schemas.openxmlformats.org/officeDocument/2006/relationships/hyperlink" Id="rId57" Target="https://doi.org/https://doi.org/10.1007/s42001-021-00103-1" TargetMode="External" /><Relationship Type="http://schemas.openxmlformats.org/officeDocument/2006/relationships/hyperlink" Id="rId23" Target="https://github.com/langtonhugh/covid_spatial" TargetMode="External" /><Relationship Type="http://schemas.openxmlformats.org/officeDocument/2006/relationships/hyperlink" Id="rId67" Target="https://www.cps.gov.uk/cps/news/6500-coronavirus-related-prosecutions-first-six-months-pandemic" TargetMode="External" /><Relationship Type="http://schemas.openxmlformats.org/officeDocument/2006/relationships/hyperlink" Id="rId87" Target="https://www.ons.gov.uk/file?uri=/methodology/geography/ukgeographies/censusgeography/changestooutputareasandsuperoutputareas2001to2011tcm77288393.pdf" TargetMode="External" /><Relationship Type="http://schemas.openxmlformats.org/officeDocument/2006/relationships/hyperlink" Id="rId89" Target="https://www.ons.gov.uk/methodology/geography/ukgeographies/censusgeography#super-output-area-soa%20on%20Economics%20and%20the%20Environment" TargetMode="External" /><Relationship Type="http://schemas.openxmlformats.org/officeDocument/2006/relationships/hyperlink" Id="rId27" Target="https://www.police.uk/pu/contact-the-police/what-and-how-to-report/what-report/" TargetMode="External" /></Relationships>
</file>

<file path=word/_rels/footnotes.xml.rels><?xml version="1.0" encoding="UTF-8"?>
<Relationships xmlns="http://schemas.openxmlformats.org/package/2006/relationships"><Relationship Type="http://schemas.openxmlformats.org/officeDocument/2006/relationships/hyperlink" Id="rId73" Target="http://www.jstatsoft.org/v65/i04/" TargetMode="External" /><Relationship Type="http://schemas.openxmlformats.org/officeDocument/2006/relationships/hyperlink" Id="rId25" Target="https://data.police.uk/" TargetMode="External" /><Relationship Type="http://schemas.openxmlformats.org/officeDocument/2006/relationships/hyperlink" Id="rId57" Target="https://doi.org/https://doi.org/10.1007/s42001-021-00103-1" TargetMode="External" /><Relationship Type="http://schemas.openxmlformats.org/officeDocument/2006/relationships/hyperlink" Id="rId23" Target="https://github.com/langtonhugh/covid_spatial" TargetMode="External" /><Relationship Type="http://schemas.openxmlformats.org/officeDocument/2006/relationships/hyperlink" Id="rId67" Target="https://www.cps.gov.uk/cps/news/6500-coronavirus-related-prosecutions-first-six-months-pandemic" TargetMode="External" /><Relationship Type="http://schemas.openxmlformats.org/officeDocument/2006/relationships/hyperlink" Id="rId87" Target="https://www.ons.gov.uk/file?uri=/methodology/geography/ukgeographies/censusgeography/changestooutputareasandsuperoutputareas2001to2011tcm77288393.pdf" TargetMode="External" /><Relationship Type="http://schemas.openxmlformats.org/officeDocument/2006/relationships/hyperlink" Id="rId89" Target="https://www.ons.gov.uk/methodology/geography/ukgeographies/censusgeography#super-output-area-soa%20on%20Economics%20and%20the%20Environment" TargetMode="External" /><Relationship Type="http://schemas.openxmlformats.org/officeDocument/2006/relationships/hyperlink" Id="rId27" Target="https://www.police.uk/pu/contact-the-police/what-and-how-to-report/what-repo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18</Pages>
  <Words>5980</Words>
  <Characters>34091</Characters>
  <Application>Microsoft Office Word</Application>
  <DocSecurity>0</DocSecurity>
  <Lines>284</Lines>
  <Paragraphs>79</Paragraphs>
  <ScaleCrop>false</ScaleCrop>
  <Company/>
  <LinksUpToDate>false</LinksUpToDate>
  <CharactersWithSpaces>39992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drivers of the COVID-19 lockdown crime drop in England and Wales</dc:title>
  <dc:creator>Samuel Langton; Anthony Dixon; Graham Farrell</dc:creator>
  <cp:keywords/>
  <dcterms:created xsi:type="dcterms:W3CDTF">2021-03-12T14:30:46Z</dcterms:created>
  <dcterms:modified xsi:type="dcterms:W3CDTF">2021-03-12T14:30:46Z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apa.csl</vt:lpwstr>
  </property>
  <property fmtid="{D5CDD505-2E9C-101B-9397-08002B2CF9AE}" pid="4" name="header-includes">
    <vt:lpwstr/>
  </property>
  <property fmtid="{D5CDD505-2E9C-101B-9397-08002B2CF9AE}" pid="5" name="output">
    <vt:lpwstr/>
  </property>
</Properties>
</file>