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distribution</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Anthony</w:t>
      </w:r>
      <w:r>
        <w:t xml:space="preserve"> </w:t>
      </w:r>
      <w:r>
        <w:t xml:space="preserve">Dixon</w:t>
      </w:r>
      <w:r>
        <w:t xml:space="preserve"> </w:t>
      </w:r>
      <w:r>
        <w:t xml:space="preserve">(University</w:t>
      </w:r>
      <w:r>
        <w:t xml:space="preserve"> </w:t>
      </w:r>
      <w:r>
        <w:t xml:space="preserve">of</w:t>
      </w:r>
      <w:r>
        <w:t xml:space="preserve"> </w:t>
      </w:r>
      <w:r>
        <w:t xml:space="preserve">Leeds)</w:t>
      </w:r>
    </w:p>
    <w:p>
      <w:pPr>
        <w:pStyle w:val="Author"/>
      </w:pPr>
      <w:r>
        <w:t xml:space="preserve">Graham</w:t>
      </w:r>
      <w:r>
        <w:t xml:space="preserve"> </w:t>
      </w:r>
      <w:r>
        <w:t xml:space="preserve">Farrell</w:t>
      </w:r>
      <w:r>
        <w:t xml:space="preserve"> </w:t>
      </w:r>
      <w:r>
        <w:t xml:space="preserve">(University</w:t>
      </w:r>
      <w:r>
        <w:t xml:space="preserve"> </w:t>
      </w:r>
      <w:r>
        <w:t xml:space="preserve">of</w:t>
      </w:r>
      <w:r>
        <w:t xml:space="preserve"> </w:t>
      </w:r>
      <w:r>
        <w:t xml:space="preserve">Leeds)</w:t>
      </w:r>
    </w:p>
    <w:p>
      <w:pPr>
        <w:pStyle w:val="FirstParagraph"/>
      </w:pPr>
      <w:r>
        <w:rPr>
          <w:b/>
        </w:rPr>
        <w:t xml:space="preserve">Abstract</w:t>
      </w:r>
    </w:p>
    <w:p>
      <w:pPr>
        <w:pStyle w:val="BodyText"/>
      </w:pPr>
      <w:r>
        <w:t xml:space="preserve">Studies from international case study sites have documented the impact of the COVID-19 pandemic and ensuing lockdown policies on crime. Restrictions on mobility and social interaction have brought about widespread falls in police-recorded crime, swiftly followed by a resurgence as lockdowns were lifted. Less is known about the localized spatial patterning of these macro-level trends. This study uses police-recorded data on notifiable offences to decompose the nationwide lockdown trend in England and Wales. We find that local, meso-level areas did not experience the decline and subsequent</w:t>
      </w:r>
      <w:r>
        <w:t xml:space="preserve"> </w:t>
      </w:r>
      <w:r>
        <w:t xml:space="preserve">‘</w:t>
      </w:r>
      <w:r>
        <w:t xml:space="preserve">bounce back</w:t>
      </w:r>
      <w:r>
        <w:t xml:space="preserve">’</w:t>
      </w:r>
      <w:r>
        <w:t xml:space="preserve"> </w:t>
      </w:r>
      <w:r>
        <w:t xml:space="preserve">in unison. Rather, most areas remained remarkably stable, with a small number of meso units contributing a disproportionate amount to the macro-level trend. We find that these areas often occupy city centers, had plentiful opportunities for crime pre-pandemic and were dominated by theft and shoplifting offences.</w:t>
      </w:r>
    </w:p>
    <w:p>
      <w:pPr>
        <w:pStyle w:val="BodyText"/>
      </w:pPr>
      <w:r>
        <w:rPr>
          <w:b/>
        </w:rPr>
        <w:t xml:space="preserve">Keywords:</w:t>
      </w:r>
      <w:r>
        <w:t xml:space="preserve"> </w:t>
      </w:r>
      <w:r>
        <w:t xml:space="preserve">COVID-19, clustering, kmeans, routine activities, opportunity theory, pandemic.</w:t>
      </w:r>
    </w:p>
    <w:p>
      <w:pPr>
        <w:pStyle w:val="BodyText"/>
      </w:pPr>
      <w:r>
        <w:rPr>
          <w:b/>
        </w:rPr>
        <w:t xml:space="preserve">Corresponding author:</w:t>
      </w:r>
      <w:r>
        <w:t xml:space="preserve"> </w:t>
      </w:r>
      <w:r>
        <w:t xml:space="preserve">Graham Farrell, School of Law, University of Leeds, United Kingdom.</w:t>
      </w:r>
    </w:p>
    <w:p>
      <w:pPr>
        <w:pStyle w:val="BodyText"/>
      </w:pPr>
      <w:r>
        <w:t xml:space="preserve">Email:</w:t>
      </w:r>
      <w:r>
        <w:t xml:space="preserve"> </w:t>
      </w:r>
      <w:hyperlink r:id="rId20">
        <w:r>
          <w:rPr>
            <w:rStyle w:val="Hyperlink"/>
          </w:rPr>
          <w:t xml:space="preserve">g.farrell@leeds.ac.uk</w:t>
        </w:r>
      </w:hyperlink>
      <w:r>
        <w:t xml:space="preserve">.</w:t>
      </w:r>
    </w:p>
    <w:p>
      <w:pPr>
        <w:pStyle w:val="BodyText"/>
      </w:pPr>
      <w:r>
        <w:rPr>
          <w:b/>
        </w:rPr>
        <w:t xml:space="preserve">Competing interests:</w:t>
      </w:r>
      <w:r>
        <w:t xml:space="preserve"> </w:t>
      </w:r>
      <w:r>
        <w:t xml:space="preserve">The authors declare that they have no competing interests.</w:t>
      </w:r>
    </w:p>
    <w:p>
      <w:pPr>
        <w:pStyle w:val="BodyText"/>
      </w:pPr>
      <w:r>
        <w:rPr>
          <w:b/>
        </w:rPr>
        <w:t xml:space="preserve">Availability of data and materials:</w:t>
      </w:r>
      <w:r>
        <w:t xml:space="preserve"> </w:t>
      </w:r>
      <w:r>
        <w:t xml:space="preserve">The data are publicly available and retrievable from the open online data portal for England, Wales and Northern Ireland. Code to replicate data downloads, handling and analyses is openly available (</w:t>
      </w:r>
      <w:hyperlink r:id="rId21">
        <w:r>
          <w:rPr>
            <w:rStyle w:val="Hyperlink"/>
          </w:rPr>
          <w:t xml:space="preserve">https://anonymous.4open.science/r/46199882-cc5a-449d-9946-300b3132ab2e/</w:t>
        </w:r>
      </w:hyperlink>
      <w:r>
        <w:t xml:space="preserve">).</w:t>
      </w:r>
    </w:p>
    <w:p>
      <w:r>
        <w:br w:type="page"/>
      </w:r>
    </w:p>
    <w:p>
      <w:pPr>
        <w:pStyle w:val="Heading1"/>
      </w:pPr>
      <w:bookmarkStart w:id="22" w:name="introduction"/>
      <w:r>
        <w:t xml:space="preserve">Introduction</w:t>
      </w:r>
      <w:bookmarkEnd w:id="22"/>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appear to have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many countries witnessed a resurgence in criminal activity</w:t>
      </w:r>
      <w:r>
        <w:t xml:space="preserve"> </w:t>
      </w:r>
      <w:r>
        <w:t xml:space="preserve">(e.g. Langton et al., 2021)</w:t>
      </w:r>
      <w:r>
        <w:t xml:space="preserve">.</w:t>
      </w:r>
    </w:p>
    <w:p>
      <w:pPr>
        <w:pStyle w:val="BodyText"/>
      </w:pPr>
      <w:r>
        <w:t xml:space="preserve">While existing studies have provided insight into the impact of lockdown on crime,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studies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2016; McVie et al., 2020)</w:t>
      </w:r>
      <w:r>
        <w:t xml:space="preserve"> </w:t>
      </w:r>
      <w:r>
        <w:t xml:space="preserve">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pPr>
        <w:pStyle w:val="BodyText"/>
      </w:pPr>
      <w:r>
        <w:t xml:space="preserve">Examining the localized drivers of the lockdown crime drop (and subsequent resurgence) represents the primary motivation of this paper. We decompose the macro-level trend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w:t>
      </w:r>
      <w:r>
        <w:t xml:space="preserve"> </w:t>
      </w:r>
      <w:r>
        <w:t xml:space="preserve">(Halford et al., 2020)</w:t>
      </w:r>
      <w:r>
        <w:t xml:space="preserve">.</w:t>
      </w:r>
    </w:p>
    <w:p>
      <w:pPr>
        <w:pStyle w:val="Heading1"/>
      </w:pPr>
      <w:bookmarkStart w:id="23" w:name="background"/>
      <w:r>
        <w:t xml:space="preserve">Background</w:t>
      </w:r>
      <w:bookmarkEnd w:id="23"/>
    </w:p>
    <w:p>
      <w:pPr>
        <w:pStyle w:val="FirstParagraph"/>
      </w:pPr>
      <w:r>
        <w:t xml:space="preserve">Recent months have seen a wave of interest in describing and explaining how crime has changed in response to restrictions on mobility brought about to limit the spread of COVID-19. Studies have been undertaken in the United States</w:t>
      </w:r>
      <w:r>
        <w:t xml:space="preserve"> </w:t>
      </w:r>
      <w:r>
        <w:t xml:space="preserve">(Ashby, 2020; Campedelli, Aziani, et al., 2020; Mohler et al., 2020; Piquero et al., 2020)</w:t>
      </w:r>
      <w:r>
        <w:t xml:space="preserve">, Australia</w:t>
      </w:r>
      <w:r>
        <w:t xml:space="preserve"> </w:t>
      </w:r>
      <w:r>
        <w:t xml:space="preserve">(Payne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Sweden</w:t>
      </w:r>
      <w:r>
        <w:t xml:space="preserve"> </w:t>
      </w:r>
      <w:r>
        <w:t xml:space="preserve">(Gerell et al., 2020)</w:t>
      </w:r>
      <w:r>
        <w:t xml:space="preserve">, China</w:t>
      </w:r>
      <w:r>
        <w:t xml:space="preserve"> </w:t>
      </w:r>
      <w:r>
        <w:t xml:space="preserve">(Borrion et al., 2020)</w:t>
      </w:r>
      <w:r>
        <w:t xml:space="preserve"> </w:t>
      </w:r>
      <w:r>
        <w:t xml:space="preserve">and Mexico</w:t>
      </w:r>
      <w:r>
        <w:t xml:space="preserve"> </w:t>
      </w:r>
      <w:r>
        <w:t xml:space="preserve">(Estévez-Soto, 2020)</w:t>
      </w:r>
      <w:r>
        <w:t xml:space="preserve">. Generally speaking, findings have been consistent with opportunity perspectives and the mobility theory of crime during the pandemic</w:t>
      </w:r>
      <w:r>
        <w:t xml:space="preserve"> </w:t>
      </w:r>
      <w:r>
        <w:t xml:space="preserve">(Halford et al., 2020)</w:t>
      </w:r>
      <w:r>
        <w:t xml:space="preserve">. That is, legally-enforced restrictions on daily activities,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back to levels that would have been expected without the global pandemic and ensuing lockdowns</w:t>
      </w:r>
      <w:r>
        <w:t xml:space="preserve"> </w:t>
      </w:r>
      <w:r>
        <w:t xml:space="preserve">(Langton et al., 2021)</w:t>
      </w:r>
      <w:r>
        <w:t xml:space="preserve">.</w:t>
      </w:r>
    </w:p>
    <w:p>
      <w:pPr>
        <w:pStyle w:val="BodyText"/>
      </w:pPr>
      <w:r>
        <w:t xml:space="preserve">That said, little is known about the localized drivers of these macro-level trends. To what extent have local areas experienced lockdown trends in unison? This exploration represents a unique test of opportunity perspectives on crime, which would stipulate, for instance, that only a small number of local areas will have driven the lockdown crime drop. Prior to the COVID-19 pandemic,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Andresen et al., 2017; Bannister et al., 2018; Curman et al., 2015)</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 even if most units nested within the macro region remain stable.</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prompting a macro-level decline. By contrast, areas typically devoid of crime opportunity, with say, little or no ambient populations, may remain largely unaffected by lockdown restrictions on mobility, and in turn, contribute little to any macro-level change. In other words, while lockdowns have often been imposed equitably at a city or national level, the effect on crime will likely be moderated by the opportunity structure of local areas.</w:t>
      </w:r>
    </w:p>
    <w:p>
      <w:pPr>
        <w:pStyle w:val="BodyText"/>
      </w:pPr>
      <w:r>
        <w:t xml:space="preserve">Preliminary evidence from the United States certainly suggests that this may be the case.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stay at home orders, there was a shift in concentrations away from residential areas towards mixed and non-residential parts of the city</w:t>
      </w:r>
      <w:r>
        <w:t xml:space="preserve"> </w:t>
      </w:r>
      <w:r>
        <w:t xml:space="preserve">(Felson et al., 2020)</w:t>
      </w:r>
      <w:r>
        <w:t xml:space="preserve">. In Chicago, there was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macro-level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w:t>
      </w:r>
    </w:p>
    <w:p>
      <w:pPr>
        <w:pStyle w:val="BodyText"/>
      </w:pPr>
      <w:r>
        <w:t xml:space="preserve">In England and Wales, early descriptive evidence from the first three months of lockdown suggests that previously high-crime areas may have experienced the steepest relative declines compared to previous years</w:t>
      </w:r>
      <w:r>
        <w:t xml:space="preserve"> </w:t>
      </w:r>
      <w:r>
        <w:t xml:space="preserve">(Dixon et al., 2020)</w:t>
      </w:r>
      <w:r>
        <w:t xml:space="preserve">. Increases in fly-tipping have also been linked to a small number of councils, with trends varying considerably between regions</w:t>
      </w:r>
      <w:r>
        <w:t xml:space="preserve"> </w:t>
      </w:r>
      <w:r>
        <w:t xml:space="preserve">(Dixon &amp; Tlley, 2020)</w:t>
      </w:r>
      <w:r>
        <w:t xml:space="preserve">. However, there has not been a comprehensive decomposition of local variation and longitudinal (in)stability underpinning the nationwide lockdown crime drop and subsequent resurgence, or indeed an exploration of the opportunity structures characterizing the local areas which have driven macro-level changes.</w:t>
      </w:r>
    </w:p>
    <w:p>
      <w:pPr>
        <w:pStyle w:val="BodyText"/>
      </w:pPr>
      <w:r>
        <w:t xml:space="preserve">In this paper, we aim to identify and describe the localized drivers of the lockdown crime drop in England and Wales. We achieve this using 7-months of police-recorded crime data between February and August, 2020. First, we summarize the nationwide (macro) trend in terms of absolute crime counts in comparison to previous years.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4" w:name="data-and-method"/>
      <w:r>
        <w:t xml:space="preserve">Data and Method</w:t>
      </w:r>
      <w:bookmarkEnd w:id="24"/>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1">
        <w:r>
          <w:rPr>
            <w:rStyle w:val="Hyperlink"/>
          </w:rPr>
          <w:t xml:space="preserve">https://anonymous.4open.science/r/46199882-cc5a-449d-9946-300b3132ab2e/</w:t>
        </w:r>
      </w:hyperlink>
      <w:r>
        <w:t xml:space="preserve">).</w:t>
      </w:r>
    </w:p>
    <w:p>
      <w:pPr>
        <w:pStyle w:val="Heading2"/>
      </w:pPr>
      <w:bookmarkStart w:id="25" w:name="crime-data"/>
      <w:r>
        <w:t xml:space="preserve">Crime data</w:t>
      </w:r>
      <w:bookmarkEnd w:id="25"/>
    </w:p>
    <w:p>
      <w:pPr>
        <w:pStyle w:val="FirstParagraph"/>
      </w:pPr>
      <w:r>
        <w:t xml:space="preserve">Open police-recorded data on crime and anti-social behavior in England and Wales is published through an online web portal (</w:t>
      </w:r>
      <w:hyperlink r:id="rId26">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Here, we note that lockdown was initiated on 23 March, making April the first full month of measures. For reference and comparison to historical trends, we obtained data for the same months in 2018 and 2019. Individual records are time-stamped by month – the temporal scale of this study. Due to incomplete data releases from Greater Manchester Police, we excluded data from the Greater Manchester region, collating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7"/>
      </w:r>
      <w:r>
        <w:t xml:space="preserve"> </w:t>
      </w:r>
      <w:r>
        <w:t xml:space="preserve">Records also include anti-social behaviour (ASB) which usually captures less serious offences such as nuisance behavior and is not a notifiable offence. Individual records were aggregated to create a count measure for</w:t>
      </w:r>
      <w:r>
        <w:t xml:space="preserve"> </w:t>
      </w:r>
      <w:r>
        <w:t xml:space="preserve">‘</w:t>
      </w:r>
      <w:r>
        <w:t xml:space="preserve">notifiable offences (excluding drugs)</w:t>
      </w:r>
      <w:r>
        <w:t xml:space="preserve">’</w:t>
      </w:r>
      <w:r>
        <w:t xml:space="preserve"> </w:t>
      </w:r>
      <w:r>
        <w:t xml:space="preserve">by month at the nationwide (macro) level, and the localized (meso) level, as detailed in the next section. The decision to exclude drug offences follows widespread recognition that drug crime trends, particularly during the COVID-19 lockdown, largely reflect policing proactivity rather than meaningful shifts in criminal behavior</w:t>
      </w:r>
      <w:r>
        <w:t xml:space="preserve"> </w:t>
      </w:r>
      <w:r>
        <w:t xml:space="preserve">(Langton &amp; Solymosi, 2020)</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report additional analyses broken down by crime type in the Appendix.</w:t>
      </w:r>
    </w:p>
    <w:p>
      <w:pPr>
        <w:pStyle w:val="Heading2"/>
      </w:pPr>
      <w:bookmarkStart w:id="29" w:name="unit-of-analysis"/>
      <w:r>
        <w:t xml:space="preserve">Unit of analysis</w:t>
      </w:r>
      <w:bookmarkEnd w:id="29"/>
    </w:p>
    <w:p>
      <w:pPr>
        <w:pStyle w:val="FirstParagraph"/>
      </w:pPr>
      <w:r>
        <w:t xml:space="preserve">To provide national context to the main analysis, we use the (macro)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portal (see previous section) include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LSOA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 which contained no crime between 2018 and 2020 (likely due to the spatial anonymization process), our final sample for the meso-level analysis comprised 33,075 LSOA.</w:t>
      </w:r>
    </w:p>
    <w:p>
      <w:pPr>
        <w:pStyle w:val="Heading2"/>
      </w:pPr>
      <w:bookmarkStart w:id="30" w:name="open-street-map"/>
      <w:r>
        <w:t xml:space="preserve">Open Street Map</w:t>
      </w:r>
      <w:bookmarkEnd w:id="30"/>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i/>
        </w:rPr>
        <w:t xml:space="preserve">osmdata</w:t>
      </w:r>
      <w:r>
        <w:t xml:space="preserve"> </w:t>
      </w:r>
      <w:r>
        <w:t xml:space="preserve">package</w:t>
      </w:r>
      <w:r>
        <w:t xml:space="preserve"> </w:t>
      </w:r>
      <w:r>
        <w:t xml:space="preserve">(Padgham et al., 2017)</w:t>
      </w:r>
      <w:r>
        <w:t xml:space="preserve"> </w:t>
      </w:r>
      <w:r>
        <w:t xml:space="preserve">in</w:t>
      </w:r>
      <w:r>
        <w:t xml:space="preserve"> </w:t>
      </w:r>
      <w:r>
        <w:rPr>
          <w:i/>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geospatial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expect that LSOA containing a high number of facility counts across each domain will have higher pre-pandemic levels of crime, due to the plentiful opportunities for criminality, and in turn, steeper declines in crime following lockdown as a result of these opportunities suddenly becoming unavailable. We expect areas with low counts across these domains to have similarly low crime levels pre-lockdown, and thus will remain low and stable following lockdown commencement.</w:t>
      </w:r>
    </w:p>
    <w:p>
      <w:pPr>
        <w:pStyle w:val="Heading1"/>
      </w:pPr>
      <w:bookmarkStart w:id="31" w:name="method"/>
      <w:r>
        <w:t xml:space="preserve">Method</w:t>
      </w:r>
      <w:bookmarkEnd w:id="31"/>
    </w:p>
    <w:p>
      <w:pPr>
        <w:pStyle w:val="FirstParagraph"/>
      </w:pPr>
      <w:r>
        <w:t xml:space="preserve">Analyses to examine the localized variation in the lockdown crime drop are conducted in three principal stages. First, an overview of the nationwide (macro) trend is provided in terms of absolute counts. Second, the macro-level trend is disentangled using non-parametric clustering techniques on the LSOA (meso) units (N = 33,075). Third, the characteristics of each cluster are summarized in terms of their opportunity structures, spatial patterning and crime type profile. Each of these steps is now outlined in turn.</w:t>
      </w:r>
    </w:p>
    <w:p>
      <w:pPr>
        <w:pStyle w:val="Heading2"/>
      </w:pPr>
      <w:bookmarkStart w:id="32" w:name="macro-level-descriptives"/>
      <w:r>
        <w:t xml:space="preserve">Macro-level descriptives</w:t>
      </w:r>
      <w:bookmarkEnd w:id="32"/>
    </w:p>
    <w:p>
      <w:pPr>
        <w:pStyle w:val="FirstParagraph"/>
      </w:pPr>
      <w:r>
        <w:t xml:space="preserve">Macro-level descriptives of count trends notifiable offences (excluding drugs) are reported for provide context from which we will subsequently unmask local (meso) variation. We visualize observed counts between February and August 2020 relative to the same periods in 2018 and 2019. In doing so, we can observe how crime trends changed in the face of lockdown measures in England and Wales</w:t>
      </w:r>
      <w:r>
        <w:t xml:space="preserve"> </w:t>
      </w:r>
      <w:r>
        <w:t xml:space="preserve">(see also Langton et al., 2021)</w:t>
      </w:r>
      <w:r>
        <w:t xml:space="preserve">. This sets the scene from which we can disentangle the underlying meso-level variation.</w:t>
      </w:r>
    </w:p>
    <w:p>
      <w:pPr>
        <w:pStyle w:val="Heading2"/>
      </w:pPr>
      <w:bookmarkStart w:id="33" w:name="meso-level-clustering"/>
      <w:r>
        <w:t xml:space="preserve">Meso-level clustering</w:t>
      </w:r>
      <w:bookmarkEnd w:id="33"/>
    </w:p>
    <w:p>
      <w:pPr>
        <w:pStyle w:val="FirstParagraph"/>
      </w:pPr>
      <w:r>
        <w:t xml:space="preserve">To quantify the degree of meso-level uniformity underpinning the macro-level trend, and identify the potential drivers of the lockdown crime drop (and resurgence),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To this end, it has demonstrated comparable value to model-based techniques such as group-based trajectory modelling</w:t>
      </w:r>
      <w:r>
        <w:t xml:space="preserve"> </w:t>
      </w:r>
      <w:r>
        <w:t xml:space="preserve">(Curman et al., 2015)</w:t>
      </w:r>
      <w:r>
        <w:t xml:space="preserve">. But, one key strength of k-means is that it is also capable of identifying short-term fluctuation in longitudinal trends</w:t>
      </w:r>
      <w:r>
        <w:t xml:space="preserve"> </w:t>
      </w:r>
      <w:r>
        <w:t xml:space="preserve">(Adepeju et al., 2021)</w:t>
      </w:r>
      <w:r>
        <w:t xml:space="preserve">. In the lockdown scenario, crime opportunities were withdrawn quite literally overnight, and thus we might expect a similarly rapid and short-term change in crime at meso spatial scales. The ability to unpick these rapid changes represents a key strength of k-means over non-parametric techniques such as anchored k-medoids, which are designed for long-term rather than short-term change</w:t>
      </w:r>
      <w:r>
        <w:t xml:space="preserve"> </w:t>
      </w:r>
      <w:r>
        <w:t xml:space="preserve">(Adepeju et al., 2021)</w:t>
      </w:r>
      <w:r>
        <w:t xml:space="preserve"> </w:t>
      </w:r>
      <w:r>
        <w:t xml:space="preserve">or group-based trajectory modelling, which is limited by polynomial terms</w:t>
      </w:r>
      <w:r>
        <w:t xml:space="preserve"> </w:t>
      </w:r>
      <w:r>
        <w:t xml:space="preserve">(Griffiths &amp; Chavez, 2004)</w:t>
      </w:r>
      <w:r>
        <w:t xml:space="preserve">.</w:t>
      </w:r>
    </w:p>
    <w:p>
      <w:pPr>
        <w:pStyle w:val="BodyText"/>
      </w:pPr>
      <w:r>
        <w:t xml:space="preserve">We deploy k-means using the</w:t>
      </w:r>
      <w:r>
        <w:t xml:space="preserve"> </w:t>
      </w:r>
      <w:r>
        <w:rPr>
          <w:i/>
        </w:rPr>
        <w:t xml:space="preserve">kml</w:t>
      </w:r>
      <w:r>
        <w:t xml:space="preserve"> </w:t>
      </w:r>
      <w:r>
        <w:t xml:space="preserve">package</w:t>
      </w:r>
      <w:r>
        <w:t xml:space="preserve"> </w:t>
      </w:r>
      <w:r>
        <w:t xml:space="preserve">(Genolini, Alacoque, Sentenac, et al., 2015a)</w:t>
      </w:r>
      <w:r>
        <w:t xml:space="preserve"> </w:t>
      </w:r>
      <w:r>
        <w:t xml:space="preserve">in R on notifiable offence (excluding drug) counts for LSOA in England and Wales (N = 33,075) between February and August 2020. To achieve a parsimonious cluster solution while minimizing the risk of missing underlying variation, we proposed potential solutions between two and eight clusters,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4" w:name="cluster-characteristics"/>
      <w:r>
        <w:t xml:space="preserve">Cluster characteristics</w:t>
      </w:r>
      <w:bookmarkEnd w:id="34"/>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 For the purposes of the visual, one LSOA in Cardiff containing Flat Holm Island, which is off the coast, was been removed.</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5" w:name="results"/>
      <w:r>
        <w:t xml:space="preserve">Results</w:t>
      </w:r>
      <w:bookmarkEnd w:id="35"/>
    </w:p>
    <w:p>
      <w:pPr>
        <w:pStyle w:val="Heading2"/>
      </w:pPr>
      <w:bookmarkStart w:id="36" w:name="nationwide-trends"/>
      <w:r>
        <w:t xml:space="preserve">Nationwide trends</w:t>
      </w:r>
      <w:bookmarkEnd w:id="36"/>
    </w:p>
    <w:p>
      <w:pPr>
        <w:pStyle w:val="FirstParagraph"/>
      </w:pPr>
      <w:r>
        <w:t xml:space="preserve">To set the context for the localized analysis, Figure 1 visualizes crime counts between February and August 2020 for notifiable offences excluding drugs before and after lockdown.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w:t>
      </w:r>
      <w:r>
        <w:t xml:space="preserve"> </w:t>
      </w:r>
      <w:r>
        <w:t xml:space="preserve">(see also Langton et al., 2021)</w:t>
      </w:r>
      <w:r>
        <w:t xml:space="preserve">.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BodyText"/>
      </w:pPr>
      <w:r>
        <w:t xml:space="preserve">[Insert Figure 1 here. Caption: Notifiable offence (excluding drugs) end of month counts in England and Wales. April was the first full month of lockdown.]</w:t>
      </w:r>
    </w:p>
    <w:p>
      <w:pPr>
        <w:pStyle w:val="Heading2"/>
      </w:pPr>
      <w:bookmarkStart w:id="37" w:name="longitudinal-clustering"/>
      <w:r>
        <w:t xml:space="preserve">Longitudinal clustering</w:t>
      </w:r>
      <w:bookmarkEnd w:id="37"/>
    </w:p>
    <w:p>
      <w:pPr>
        <w:pStyle w:val="Heading3"/>
      </w:pPr>
      <w:bookmarkStart w:id="38" w:name="cluster-trends"/>
      <w:r>
        <w:t xml:space="preserve">Cluster trends</w:t>
      </w:r>
      <w:bookmarkEnd w:id="38"/>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we determined the optimal solution to be 6 clusters (see Figure 2).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1)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BodyText"/>
      </w:pPr>
      <w:r>
        <w:t xml:space="preserve">[Insert Figure 2 here. Caption: K-means cluster solutions for LSOA notifiable offences (excluding drugs). Distributions refer to 2020 only.]</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39" w:name="contribution-of-each-cluster"/>
      <w:r>
        <w:t xml:space="preserve">Contribution of each cluster</w:t>
      </w:r>
      <w:bookmarkEnd w:id="39"/>
    </w:p>
    <w:p>
      <w:pPr>
        <w:pStyle w:val="FirstParagraph"/>
      </w:pPr>
      <w:r>
        <w:t xml:space="preserve">To further unpick the contribution of these clusters to the nationwide lockdown crime drop, Figure 3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2,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2)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BodyText"/>
      </w:pPr>
      <w:r>
        <w:t xml:space="preserve">[Insert Figure 3 here. Caption: Counts and percentage of nationwide change between months attributable to each cluster.]</w:t>
      </w:r>
    </w:p>
    <w:p>
      <w:pPr>
        <w:pStyle w:val="BodyText"/>
      </w:pPr>
      <w:r>
        <w:t xml:space="preserve">These findings can be supplemented with a comparison to the previous year. Figure 4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4a). This translates to a 24% drop (Figure 4b), and an average fall per LSOA of 1.39 counts (Figure 4c). For cluster F, containing just 9 LSOA, approximately 5,000 fewer crimes occurred (Figure 4a), which translates to an 87% drop (Figure 4b), and an average fall per LSOA of 543 counts (Figure 4c).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BodyText"/>
      </w:pPr>
      <w:r>
        <w:t xml:space="preserve">[Insert Figure 4 here. Caption: Comparing LSOA clusters between equivalent months in 2020 and 2019 according to (a) absolute difference in counts, (b) percentage difference in counts, (c) average difference in counts.]</w:t>
      </w:r>
    </w:p>
    <w:p>
      <w:pPr>
        <w:pStyle w:val="Heading2"/>
      </w:pPr>
      <w:bookmarkStart w:id="40" w:name="characteristics-of-clusters"/>
      <w:r>
        <w:t xml:space="preserve">Characteristics of clusters</w:t>
      </w:r>
      <w:bookmarkEnd w:id="40"/>
    </w:p>
    <w:p>
      <w:pPr>
        <w:pStyle w:val="Heading3"/>
      </w:pPr>
      <w:bookmarkStart w:id="41" w:name="spatial-distribution"/>
      <w:r>
        <w:t xml:space="preserve">Spatial distribution</w:t>
      </w:r>
      <w:bookmarkEnd w:id="41"/>
    </w:p>
    <w:p>
      <w:pPr>
        <w:pStyle w:val="FirstParagraph"/>
      </w:pPr>
      <w:r>
        <w:t xml:space="preserve">To provide local context to the cluster solutions identified through the k-means clustering, we visualize the spatial patterning of groupings for six major cities in England and Wales (see Figure 5). We find distinct geographic patterns to the clusters identified. The maps denote a single</w:t>
      </w:r>
      <w:r>
        <w:t xml:space="preserve"> </w:t>
      </w:r>
      <w:r>
        <w:t xml:space="preserve">‘</w:t>
      </w:r>
      <w:r>
        <w:t xml:space="preserve">city center</w:t>
      </w:r>
      <w:r>
        <w:t xml:space="preserve">’</w:t>
      </w:r>
      <w:r>
        <w:t xml:space="preserve"> </w:t>
      </w:r>
      <w:r>
        <w:t xml:space="preserve">based on the LSOA with the highest count of Open Street Map features (i.e. the sum of nightlife, shops, public transport and bicycle parking). Because LSOA are uniform by residential population, geographically small LSOA tend to be areas with higher population density. Here, it is worth noting that the Bradford region contains the city of Bradford, but also the satellite town of Keighley to the north west.</w:t>
      </w:r>
    </w:p>
    <w:p>
      <w:pPr>
        <w:pStyle w:val="BodyText"/>
      </w:pPr>
      <w:r>
        <w:t xml:space="preserve">Without exception, the city centers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each urban conurbation. As such, changes in crime during lockdown appear to have a distinct geographic pattern: the nationwide drop was not experienced uniformly across space, but rather, particular areas including city centers appear to have driven the macro-level trend, with outer suburbs remaining fairly stable. For a detailed and interactive investigation of the spatial clusters identified for the whole of England and Wales, we refer readers to an openly available online map (anonymous for review).</w:t>
      </w:r>
    </w:p>
    <w:p>
      <w:pPr>
        <w:pStyle w:val="BodyText"/>
      </w:pPr>
      <w:r>
        <w:t xml:space="preserve">[Insert Figure 5 here. Caption: Spatial distribution of clusters by major urban conurbation. LSOA with the highest count of Open Street Map features (in black) denotes city centre.]</w:t>
      </w:r>
    </w:p>
    <w:p>
      <w:pPr>
        <w:pStyle w:val="Heading3"/>
      </w:pPr>
      <w:bookmarkStart w:id="42" w:name="opportunity-structure"/>
      <w:r>
        <w:t xml:space="preserve">Opportunity structure</w:t>
      </w:r>
      <w:bookmarkEnd w:id="42"/>
    </w:p>
    <w:p>
      <w:pPr>
        <w:pStyle w:val="FirstParagraph"/>
      </w:pPr>
      <w:r>
        <w:t xml:space="preserve">We have now identified that, amidst dramatic nationwide change in notifiable offences during lockdown,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contain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BodyText"/>
      </w:pPr>
      <w:r>
        <w:t xml:space="preserve">[Insert Table 1 here. Caption: Descriptive statistics of facilities and features in each cluster. Sourced from Open Street Map.]</w:t>
      </w:r>
    </w:p>
    <w:p>
      <w:pPr>
        <w:pStyle w:val="Heading3"/>
      </w:pPr>
      <w:bookmarkStart w:id="43" w:name="crime-type-profile"/>
      <w:r>
        <w:t xml:space="preserve">Crime type profile</w:t>
      </w:r>
      <w:bookmarkEnd w:id="43"/>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BodyText"/>
      </w:pPr>
      <w:r>
        <w:t xml:space="preserve">[Insert Figure 6 here. Caption: Crime type profiles of each cluster solution.]</w:t>
      </w:r>
    </w:p>
    <w:p>
      <w:pPr>
        <w:pStyle w:val="Heading1"/>
      </w:pPr>
      <w:bookmarkStart w:id="44" w:name="discussion"/>
      <w:r>
        <w:t xml:space="preserve">Discussion</w:t>
      </w:r>
      <w:bookmarkEnd w:id="44"/>
    </w:p>
    <w:p>
      <w:pPr>
        <w:pStyle w:val="FirstParagraph"/>
      </w:pPr>
      <w:r>
        <w:t xml:space="preserve">The finding that a small number of fine-grained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the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for the first time, we have exploited the quasi-</w:t>
      </w:r>
      <w:r>
        <w:t xml:space="preserve">‘</w:t>
      </w:r>
      <w:r>
        <w:t xml:space="preserve">natural experiment</w:t>
      </w:r>
      <w:r>
        <w:t xml:space="preserve">’</w:t>
      </w:r>
      <w:r>
        <w:t xml:space="preserve"> </w:t>
      </w:r>
      <w:r>
        <w:t xml:space="preserve">conditions of the pandemic to decompose this variation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over a short period of time.</w:t>
      </w:r>
    </w:p>
    <w:p>
      <w:pPr>
        <w:pStyle w:val="BodyText"/>
      </w:pPr>
      <w:r>
        <w:t xml:space="preserve">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w:t>
      </w:r>
      <w:r>
        <w:t xml:space="preserve"> </w:t>
      </w:r>
      <w:r>
        <w:t xml:space="preserve">“</w:t>
      </w:r>
      <w:r>
        <w:t xml:space="preserve">stay at home</w:t>
      </w:r>
      <w:r>
        <w:t xml:space="preserve">”</w:t>
      </w:r>
      <w:r>
        <w:t xml:space="preserve"> </w:t>
      </w:r>
      <w:r>
        <w:t xml:space="preserve">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pPr>
        <w:pStyle w:val="BodyText"/>
      </w:pPr>
      <w:r>
        <w:t xml:space="preserve">That being said, it is notable that the local drivers of the lockdown crime drop experienced only a modest resurgence upon the easing of lockdown restrictions. By August, the clusters identified as</w:t>
      </w:r>
      <w:r>
        <w:t xml:space="preserve"> </w:t>
      </w:r>
      <w:r>
        <w:t xml:space="preserve">‘</w:t>
      </w:r>
      <w:r>
        <w:t xml:space="preserve">high crime major drop</w:t>
      </w:r>
      <w:r>
        <w:t xml:space="preserve">’</w:t>
      </w:r>
      <w:r>
        <w:t xml:space="preserve"> </w:t>
      </w:r>
      <w:r>
        <w:t xml:space="preserve">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w:t>
      </w:r>
      <w:r>
        <w:t xml:space="preserve"> </w:t>
      </w:r>
      <w:r>
        <w:t xml:space="preserve">(see Langton et al., 2021)</w:t>
      </w:r>
      <w:r>
        <w:t xml:space="preserve">.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pPr>
        <w:pStyle w:val="BodyText"/>
      </w:pPr>
      <w:r>
        <w:t xml:space="preserve">Here, we would note some weaknesses in the study. First, the crime measure of</w:t>
      </w:r>
      <w:r>
        <w:t xml:space="preserve"> </w:t>
      </w:r>
      <w:r>
        <w:t xml:space="preserve">‘</w:t>
      </w:r>
      <w:r>
        <w:t xml:space="preserve">notifiable offences (excluding drugs)</w:t>
      </w:r>
      <w:r>
        <w:t xml:space="preserve">’</w:t>
      </w:r>
      <w:r>
        <w:t xml:space="preserve"> </w:t>
      </w:r>
      <w:r>
        <w:t xml:space="preserve">aggregates away some detail in longitudinal trends. The crime type profile findings certainly go some way in addressing this, and we have now set a baseline from which further investigations can be conducted. However, further insight could be gained from replicating this analyses for major crime types which we know to have distinct opportunity structures, such as burglary and theft. Here, we would note that the generalized Gini coefficients by crime type (see Appendix) certainly suggest that there may be differences between crime types, as have preliminary findings using decile clusters</w:t>
      </w:r>
      <w:r>
        <w:t xml:space="preserve"> </w:t>
      </w:r>
      <w:r>
        <w:t xml:space="preserve">(Dixon et al., 2020)</w:t>
      </w:r>
      <w:r>
        <w:t xml:space="preserve">. Secondly, the Open Street Map API used to quantify the prevalence of crime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the residential buildings footprints. While we would argue that Open Street Map is unique in its ability to offer open data on opportunity structures nationwide, we would encourage future research to verify these findings using other data sources.</w:t>
      </w:r>
    </w:p>
    <w:p>
      <w:pPr>
        <w:pStyle w:val="Heading1"/>
      </w:pPr>
      <w:bookmarkStart w:id="45" w:name="conclusion"/>
      <w:r>
        <w:t xml:space="preserve">Conclusion</w:t>
      </w:r>
      <w:bookmarkEnd w:id="45"/>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(meso) local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shallow resurgence upon the relaxation of lockdown rules, remaining below historical levels even by the time low and mid-crime clusters had returned to normality.</w:t>
      </w:r>
    </w:p>
    <w:p>
      <w:pPr>
        <w:pStyle w:val="Heading1"/>
      </w:pPr>
      <w:bookmarkStart w:id="46" w:name="appendix"/>
      <w:r>
        <w:t xml:space="preserve">Appendix</w:t>
      </w:r>
      <w:bookmarkEnd w:id="46"/>
    </w:p>
    <w:p>
      <w:pPr>
        <w:pStyle w:val="FirstParagraph"/>
      </w:pPr>
      <w:r>
        <w:t xml:space="preserve">[Insert Figure 7 here. Caption: Counts by offence type in England and Wales during the lockdown period.]</w:t>
      </w:r>
    </w:p>
    <w:p>
      <w:pPr>
        <w:pStyle w:val="BodyText"/>
      </w:pPr>
      <w:r>
        <w:t xml:space="preserve">[Insert Figure 8 here. Caption: Monthly generalized Gini coefficient trends by offence type in England and Wales during the lockdown period.]</w:t>
      </w:r>
    </w:p>
    <w:p>
      <w:pPr>
        <w:pStyle w:val="Heading1"/>
      </w:pPr>
      <w:bookmarkStart w:id="47" w:name="references"/>
      <w:r>
        <w:t xml:space="preserve">References</w:t>
      </w:r>
      <w:bookmarkEnd w:id="47"/>
    </w:p>
    <w:bookmarkStart w:id="95" w:name="refs"/>
    <w:bookmarkStart w:id="49"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48">
        <w:r>
          <w:rPr>
            <w:rStyle w:val="Hyperlink"/>
          </w:rPr>
          <w:t xml:space="preserve">https://doi.org/https://doi.org/10.1007/s42001-021-00103-1</w:t>
        </w:r>
      </w:hyperlink>
    </w:p>
    <w:bookmarkEnd w:id="49"/>
    <w:bookmarkStart w:id="50"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50"/>
    <w:bookmarkStart w:id="51"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51"/>
    <w:bookmarkStart w:id="52"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52"/>
    <w:bookmarkStart w:id="53" w:name="ref-borrion2020measuring"/>
    <w:p>
      <w:pPr>
        <w:pStyle w:val="Bibliography"/>
      </w:pPr>
      <w:r>
        <w:t xml:space="preserve">Borrion, H., Kurland, J., Tilley, N., &amp; Chen, P. (2020). Measuring the resilience of criminogenic ecosystems to global disruption: A case-study of covid-19 in china.</w:t>
      </w:r>
      <w:r>
        <w:t xml:space="preserve"> </w:t>
      </w:r>
      <w:r>
        <w:rPr>
          <w:i/>
        </w:rPr>
        <w:t xml:space="preserve">Plos One</w:t>
      </w:r>
      <w:r>
        <w:t xml:space="preserve">,</w:t>
      </w:r>
      <w:r>
        <w:t xml:space="preserve"> </w:t>
      </w:r>
      <w:r>
        <w:rPr>
          <w:i/>
        </w:rPr>
        <w:t xml:space="preserve">15</w:t>
      </w:r>
      <w:r>
        <w:t xml:space="preserve">(10), e0240077.</w:t>
      </w:r>
    </w:p>
    <w:bookmarkEnd w:id="53"/>
    <w:bookmarkStart w:id="54"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54"/>
    <w:bookmarkStart w:id="55"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55"/>
    <w:bookmarkStart w:id="56"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56"/>
    <w:bookmarkStart w:id="57"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57"/>
    <w:bookmarkStart w:id="59"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58">
        <w:r>
          <w:rPr>
            <w:rStyle w:val="Hyperlink"/>
          </w:rPr>
          <w:t xml:space="preserve">https://www.cps.gov.uk/cps/news/6500-coronavirus-related-prosecutions-first-six-months-pandemic</w:t>
        </w:r>
      </w:hyperlink>
    </w:p>
    <w:bookmarkEnd w:id="59"/>
    <w:bookmarkStart w:id="60"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60"/>
    <w:bookmarkStart w:id="61" w:name="ref-dixon2020crime"/>
    <w:p>
      <w:pPr>
        <w:pStyle w:val="Bibliography"/>
      </w:pPr>
      <w:r>
        <w:t xml:space="preserve">Dixon, A., Halford, E., &amp; Farrell, G. (2020). Spatial distributive justice and crime in the covid-19 pandemic.</w:t>
      </w:r>
      <w:r>
        <w:t xml:space="preserve"> </w:t>
      </w:r>
      <w:r>
        <w:rPr>
          <w:i/>
        </w:rPr>
        <w:t xml:space="preserve">Statistical Bulletin on Crime and COVID-19</w:t>
      </w:r>
      <w:r>
        <w:t xml:space="preserve">,</w:t>
      </w:r>
      <w:r>
        <w:t xml:space="preserve"> </w:t>
      </w:r>
      <w:r>
        <w:rPr>
          <w:i/>
        </w:rPr>
        <w:t xml:space="preserve">Issue 2, 27 July 2020</w:t>
      </w:r>
      <w:r>
        <w:t xml:space="preserve">, University of Leeds.</w:t>
      </w:r>
    </w:p>
    <w:bookmarkEnd w:id="61"/>
    <w:bookmarkStart w:id="62" w:name="ref-dixon2020fly"/>
    <w:p>
      <w:pPr>
        <w:pStyle w:val="Bibliography"/>
      </w:pPr>
      <w:r>
        <w:t xml:space="preserve">Dixon, A., &amp; Tlley, N. (2020). Fly-tipping during the pandemic.</w:t>
      </w:r>
      <w:r>
        <w:t xml:space="preserve"> </w:t>
      </w:r>
      <w:r>
        <w:rPr>
          <w:i/>
        </w:rPr>
        <w:t xml:space="preserve">Statistical Bulletin on Crime and COVID-19</w:t>
      </w:r>
      <w:r>
        <w:t xml:space="preserve">,</w:t>
      </w:r>
      <w:r>
        <w:t xml:space="preserve"> </w:t>
      </w:r>
      <w:r>
        <w:rPr>
          <w:i/>
        </w:rPr>
        <w:t xml:space="preserve">Issue 13, 26 November 2020</w:t>
      </w:r>
      <w:r>
        <w:t xml:space="preserve">, University of Leeds.</w:t>
      </w:r>
    </w:p>
    <w:bookmarkEnd w:id="62"/>
    <w:bookmarkStart w:id="63"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63"/>
    <w:bookmarkStart w:id="64"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64"/>
    <w:bookmarkStart w:id="65"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65"/>
    <w:bookmarkStart w:id="67"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66">
        <w:r>
          <w:rPr>
            <w:rStyle w:val="Hyperlink"/>
          </w:rPr>
          <w:t xml:space="preserve">http://www.jstatsoft.org/v65/i04/</w:t>
        </w:r>
      </w:hyperlink>
    </w:p>
    <w:bookmarkEnd w:id="67"/>
    <w:bookmarkStart w:id="68"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68"/>
    <w:bookmarkStart w:id="69"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69"/>
    <w:bookmarkStart w:id="70"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70"/>
    <w:bookmarkStart w:id="71"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71"/>
    <w:bookmarkStart w:id="72"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72"/>
    <w:bookmarkStart w:id="73"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73"/>
    <w:bookmarkStart w:id="74" w:name="ref-ignatans2016whom"/>
    <w:p>
      <w:pPr>
        <w:pStyle w:val="Bibliography"/>
      </w:pPr>
      <w:r>
        <w:t xml:space="preserve">Ignatans, D., &amp; Pease, K. (2016).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74"/>
    <w:bookmarkStart w:id="75" w:name="ref-langton2021cs"/>
    <w:p>
      <w:pPr>
        <w:pStyle w:val="Bibliography"/>
      </w:pPr>
      <w:r>
        <w:t xml:space="preserve">Langton, S., Dixon, A., &amp; Farrell, G. (2021). Six months in: Pandemic crime trends in england and wales.</w:t>
      </w:r>
      <w:r>
        <w:t xml:space="preserve"> </w:t>
      </w:r>
      <w:r>
        <w:rPr>
          <w:i/>
        </w:rPr>
        <w:t xml:space="preserve">Crime Science</w:t>
      </w:r>
      <w:r>
        <w:t xml:space="preserve">,</w:t>
      </w:r>
      <w:r>
        <w:t xml:space="preserve"> </w:t>
      </w:r>
      <w:r>
        <w:rPr>
          <w:i/>
        </w:rPr>
        <w:t xml:space="preserve">10</w:t>
      </w:r>
      <w:r>
        <w:t xml:space="preserve">(1), 1–16.</w:t>
      </w:r>
    </w:p>
    <w:bookmarkEnd w:id="75"/>
    <w:bookmarkStart w:id="76" w:name="ref-langton2020open"/>
    <w:p>
      <w:pPr>
        <w:pStyle w:val="Bibliography"/>
      </w:pPr>
      <w:r>
        <w:t xml:space="preserve">Langton, S., &amp; Solymosi, R. (2020). Open street map for crime and place.</w:t>
      </w:r>
      <w:r>
        <w:t xml:space="preserve"> </w:t>
      </w:r>
      <w:r>
        <w:rPr>
          <w:i/>
        </w:rPr>
        <w:t xml:space="preserve">OSF Preprints</w:t>
      </w:r>
      <w:r>
        <w:t xml:space="preserve">, https://osf.io/a96y7.</w:t>
      </w:r>
    </w:p>
    <w:bookmarkEnd w:id="76"/>
    <w:bookmarkStart w:id="77"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77"/>
    <w:bookmarkStart w:id="78"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78"/>
    <w:bookmarkStart w:id="79"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79"/>
    <w:bookmarkStart w:id="81"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80">
        <w:r>
          <w:rPr>
            <w:rStyle w:val="Hyperlink"/>
          </w:rPr>
          <w:t xml:space="preserve">https://www.ons.gov.uk/file?uri=/methodology/geography/ukgeographies/censusgeography/changestooutputareasandsuperoutputareas2001to2011tcm77288393.pdf</w:t>
        </w:r>
      </w:hyperlink>
    </w:p>
    <w:bookmarkEnd w:id="81"/>
    <w:bookmarkStart w:id="83" w:name="ref-onslsoa"/>
    <w:p>
      <w:pPr>
        <w:pStyle w:val="Bibliography"/>
      </w:pPr>
      <w:r>
        <w:t xml:space="preserve">Office of National Statistics. (2021).</w:t>
      </w:r>
      <w:r>
        <w:t xml:space="preserve"> </w:t>
      </w:r>
      <w:r>
        <w:rPr>
          <w:i/>
        </w:rPr>
        <w:t xml:space="preserve">Census geography</w:t>
      </w:r>
      <w:r>
        <w:t xml:space="preserve">.</w:t>
      </w:r>
      <w:r>
        <w:t xml:space="preserve"> </w:t>
      </w:r>
      <w:hyperlink r:id="rId82">
        <w:r>
          <w:rPr>
            <w:rStyle w:val="Hyperlink"/>
          </w:rPr>
          <w:t xml:space="preserve">https://www.ons.gov.uk/methodology/geography/ukgeographies/censusgeography#super-output-area-soa on Economics and the Environment</w:t>
        </w:r>
      </w:hyperlink>
    </w:p>
    <w:bookmarkEnd w:id="83"/>
    <w:bookmarkStart w:id="84"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84"/>
    <w:bookmarkStart w:id="85"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85"/>
    <w:bookmarkStart w:id="86"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86"/>
    <w:bookmarkStart w:id="87" w:name="ref-payneregional2021"/>
    <w:p>
      <w:pPr>
        <w:pStyle w:val="Bibliography"/>
      </w:pPr>
      <w:r>
        <w:t xml:space="preserve">Payne, J.,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87"/>
    <w:bookmarkStart w:id="88"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88"/>
    <w:bookmarkStart w:id="89"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89"/>
    <w:bookmarkStart w:id="90" w:name="ref-shayegh2020staying"/>
    <w:p>
      <w:pPr>
        <w:pStyle w:val="Bibliography"/>
      </w:pPr>
      <w:r>
        <w:t xml:space="preserve">Shayegh, S., &amp; Malpede, M. (2020). Staying home saves lives, really!</w:t>
      </w:r>
      <w:r>
        <w:t xml:space="preserve"> </w:t>
      </w:r>
      <w:r>
        <w:rPr>
          <w:i/>
        </w:rPr>
        <w:t xml:space="preserve">Staying Home Saves Lives, Really!</w:t>
      </w:r>
    </w:p>
    <w:bookmarkEnd w:id="90"/>
    <w:bookmarkStart w:id="91"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91"/>
    <w:bookmarkStart w:id="92"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92"/>
    <w:bookmarkStart w:id="93"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93"/>
    <w:bookmarkStart w:id="94"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94"/>
    <w:bookmarkEnd w:id="95"/>
    <w:sectPr w:rsidR="008E714B" w:rsidSect="00C6320B">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6037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Further information on these crime categories can be obtained from</w:t>
      </w:r>
      <w:r>
        <w:t xml:space="preserve"> </w:t>
      </w:r>
      <w:hyperlink r:id="rId28">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 w:type="character" w:styleId="LineNumber">
    <w:name w:val="line number"/>
    <w:basedOn w:val="DefaultParagraphFont"/>
    <w:semiHidden/>
    <w:unhideWhenUsed/>
    <w:rsid w:val="00C6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www.jstatsoft.org/v65/i04/" TargetMode="External" /><Relationship Type="http://schemas.openxmlformats.org/officeDocument/2006/relationships/hyperlink" Id="rId21" Target="https://anonymous.4open.science/r/46199882-cc5a-449d-9946-300b3132ab2e/" TargetMode="External" /><Relationship Type="http://schemas.openxmlformats.org/officeDocument/2006/relationships/hyperlink" Id="rId26" Target="https://data.police.uk/" TargetMode="External" /><Relationship Type="http://schemas.openxmlformats.org/officeDocument/2006/relationships/hyperlink" Id="rId48" Target="https://doi.org/https://doi.org/10.1007/s42001-021-00103-1" TargetMode="External" /><Relationship Type="http://schemas.openxmlformats.org/officeDocument/2006/relationships/hyperlink" Id="rId58" Target="https://www.cps.gov.uk/cps/news/6500-coronavirus-related-prosecutions-first-six-months-pandemic" TargetMode="External" /><Relationship Type="http://schemas.openxmlformats.org/officeDocument/2006/relationships/hyperlink" Id="rId80" Target="https://www.ons.gov.uk/file?uri=/methodology/geography/ukgeographies/censusgeography/changestooutputareasandsuperoutputareas2001to2011tcm77288393.pdf" TargetMode="External" /><Relationship Type="http://schemas.openxmlformats.org/officeDocument/2006/relationships/hyperlink" Id="rId82" Target="https://www.ons.gov.uk/methodology/geography/ukgeographies/censusgeography#super-output-area-soa%20on%20Economics%20and%20the%20Environment" TargetMode="External" /><Relationship Type="http://schemas.openxmlformats.org/officeDocument/2006/relationships/hyperlink" Id="rId28" Target="https://www.police.uk/pu/contact-the-police/what-and-how-to-report/what-report/" TargetMode="External" /><Relationship Type="http://schemas.openxmlformats.org/officeDocument/2006/relationships/hyperlink" Id="rId20" Target="mailto:g.farrell@leeds.ac.uk" TargetMode="External" /></Relationships>
</file>

<file path=word/_rels/footnotes.xml.rels><?xml version="1.0" encoding="UTF-8"?>
<Relationships xmlns="http://schemas.openxmlformats.org/package/2006/relationships"><Relationship Type="http://schemas.openxmlformats.org/officeDocument/2006/relationships/hyperlink" Id="rId66" Target="http://www.jstatsoft.org/v65/i04/" TargetMode="External" /><Relationship Type="http://schemas.openxmlformats.org/officeDocument/2006/relationships/hyperlink" Id="rId21" Target="https://anonymous.4open.science/r/46199882-cc5a-449d-9946-300b3132ab2e/" TargetMode="External" /><Relationship Type="http://schemas.openxmlformats.org/officeDocument/2006/relationships/hyperlink" Id="rId26" Target="https://data.police.uk/" TargetMode="External" /><Relationship Type="http://schemas.openxmlformats.org/officeDocument/2006/relationships/hyperlink" Id="rId48" Target="https://doi.org/https://doi.org/10.1007/s42001-021-00103-1" TargetMode="External" /><Relationship Type="http://schemas.openxmlformats.org/officeDocument/2006/relationships/hyperlink" Id="rId58" Target="https://www.cps.gov.uk/cps/news/6500-coronavirus-related-prosecutions-first-six-months-pandemic" TargetMode="External" /><Relationship Type="http://schemas.openxmlformats.org/officeDocument/2006/relationships/hyperlink" Id="rId80" Target="https://www.ons.gov.uk/file?uri=/methodology/geography/ukgeographies/censusgeography/changestooutputareasandsuperoutputareas2001to2011tcm77288393.pdf" TargetMode="External" /><Relationship Type="http://schemas.openxmlformats.org/officeDocument/2006/relationships/hyperlink" Id="rId82" Target="https://www.ons.gov.uk/methodology/geography/ukgeographies/censusgeography#super-output-area-soa%20on%20Economics%20and%20the%20Environment" TargetMode="External" /><Relationship Type="http://schemas.openxmlformats.org/officeDocument/2006/relationships/hyperlink" Id="rId28" Target="https://www.police.uk/pu/contact-the-police/what-and-how-to-report/what-report/" TargetMode="External" /><Relationship Type="http://schemas.openxmlformats.org/officeDocument/2006/relationships/hyperlink" Id="rId20" Target="mailto:g.farrell@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of the COVID-19 lockdown crime drop in England and Wales</dc:title>
  <dc:creator>Samuel Langton (University of Leeds); Anthony Dixon (University of Leeds); Graham Farrell (University of Leeds)</dc:creator>
  <cp:keywords/>
  <dcterms:created xsi:type="dcterms:W3CDTF">2021-03-22T08:47:05Z</dcterms:created>
  <dcterms:modified xsi:type="dcterms:W3CDTF">2021-03-22T08:47:05Z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