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60.png" ContentType="image/png"/>
  <Override PartName="/word/media/rId58.png" ContentType="image/png"/>
  <Override PartName="/word/media/rId57.png" ContentType="image/png"/>
  <Override PartName="/word/media/rId55.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p>
    <w:p>
      <w:pPr>
        <w:pStyle w:val="Date"/>
      </w:pPr>
      <w:r>
        <w:t xml:space="preserve">June</w:t>
      </w:r>
      <w:r>
        <w:t xml:space="preserve"> </w:t>
      </w:r>
      <w:r>
        <w:t xml:space="preserve">2020</w:t>
      </w:r>
    </w:p>
    <w:p>
      <w:pPr>
        <w:pStyle w:val="Heading1"/>
      </w:pPr>
      <w:bookmarkStart w:id="20" w:name="introduction"/>
      <w:r>
        <w:t xml:space="preserve">Introduction</w:t>
      </w:r>
      <w:bookmarkEnd w:id="20"/>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and Bowers 2018)</w:t>
      </w:r>
      <w:r>
        <w:t xml:space="preserve">. As such, it is important that social scientists, researchers, crime analysts, and others interested in making sense of the world around them have the skills and know-how to access, interpret, critique, and analyse open data sets.</w:t>
      </w:r>
    </w:p>
    <w:p>
      <w:pPr>
        <w:pStyle w:val="BodyText"/>
      </w:pPr>
      <w:r>
        <w:t xml:space="preserve">This chapter will outline how to develop such skills by providing a framework to approach and meaningfully interpret open data. The chapter also offers a practical hands-on guide to demonstrate how to access, wrangle, and analyse different sources of open data in order to draw conclusions about crime and place.</w:t>
      </w:r>
    </w:p>
    <w:p>
      <w:pPr>
        <w:pStyle w:val="Heading1"/>
      </w:pPr>
      <w:bookmarkStart w:id="21" w:name="background"/>
      <w:r>
        <w:t xml:space="preserve">Background</w:t>
      </w:r>
      <w:bookmarkEnd w:id="21"/>
    </w:p>
    <w:p>
      <w:pPr>
        <w:pStyle w:val="Heading2"/>
      </w:pPr>
      <w:bookmarkStart w:id="22" w:name="what-is-open-data"/>
      <w:r>
        <w:t xml:space="preserve">What is open data?</w:t>
      </w:r>
      <w:bookmarkEnd w:id="22"/>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 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 a hallmark for open science research practice. Opening up data sets used in criminology publications and wider social sciences fosters and facilitates a culture of replication</w:t>
      </w:r>
      <w:r>
        <w:t xml:space="preserve"> </w:t>
      </w:r>
      <w:r>
        <w:t xml:space="preserve">(Pridemore, Makel, and Plucker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3">
        <w:r>
          <w:rPr>
            <w:rStyle w:val="Hyperlink"/>
          </w:rPr>
          <w:t xml:space="preserve">https://osf.io/</w:t>
        </w:r>
      </w:hyperlink>
      <w:r>
        <w:t xml:space="preserve">), data (e.g. </w:t>
      </w:r>
      <w:hyperlink r:id="rId24">
        <w:r>
          <w:rPr>
            <w:rStyle w:val="Hyperlink"/>
          </w:rPr>
          <w:t xml:space="preserve">https://www.ukdataservice.ac.uk/deposit-data</w:t>
        </w:r>
      </w:hyperlink>
      <w:r>
        <w:t xml:space="preserve">) and code (e.g. </w:t>
      </w:r>
      <w:hyperlink r:id="rId25">
        <w:r>
          <w:rPr>
            <w:rStyle w:val="Hyperlink"/>
          </w:rPr>
          <w:t xml:space="preserve">https://github.com/</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6" w:name="what-are-types-of-open-data"/>
      <w:r>
        <w:t xml:space="preserve">What are types of open data?</w:t>
      </w:r>
      <w:bookmarkEnd w:id="26"/>
    </w:p>
    <w:p>
      <w:pPr>
        <w:pStyle w:val="FirstParagraph"/>
      </w:pPr>
      <w:r>
        <w:t xml:space="preserve">Now we have a reasonable idea about what open data is in a broad sense, we can consider the different types of open data which you might come across. Here, we formulate a typology of open data sets based on their origin.</w:t>
      </w:r>
    </w:p>
    <w:p>
      <w:pPr>
        <w:pStyle w:val="Heading3"/>
      </w:pPr>
      <w:bookmarkStart w:id="27" w:name="public-sector"/>
      <w:r>
        <w:t xml:space="preserve">Public sector</w:t>
      </w:r>
      <w:bookmarkEnd w:id="27"/>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to provide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 sets of interest in this particular domain might include</w:t>
      </w:r>
      <w:r>
        <w:t xml:space="preserve"> </w:t>
      </w:r>
      <w:r>
        <w:t xml:space="preserve"> </w:t>
      </w:r>
      <w:r>
        <w:t xml:space="preserve">data describing urban structure, such as street networks to assess whether the configuration of roads dictates things like violent crime victimisation</w:t>
      </w:r>
      <w:r>
        <w:t xml:space="preserve"> </w:t>
      </w:r>
      <w:r>
        <w:t xml:space="preserve">(Summers and Johnson 2017)</w:t>
      </w:r>
      <w:r>
        <w:t xml:space="preserve">, or victimisation surveys to quantify citizens’ perceived safety and security.</w:t>
      </w:r>
    </w:p>
    <w:p>
      <w:pPr>
        <w:pStyle w:val="Heading3"/>
      </w:pPr>
      <w:bookmarkStart w:id="28" w:name="private-sector"/>
      <w:r>
        <w:t xml:space="preserve">Private sector</w:t>
      </w:r>
      <w:bookmarkEnd w:id="28"/>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29">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and Steenbeek 2017)</w:t>
      </w:r>
      <w:r>
        <w:t xml:space="preserve"> </w:t>
      </w:r>
      <w:r>
        <w:t xml:space="preserve">and Twitter</w:t>
      </w:r>
      <w:r>
        <w:t xml:space="preserve"> </w:t>
      </w:r>
      <w:r>
        <w:t xml:space="preserve">(Malleson and Andresen 2015)</w:t>
      </w:r>
      <w:r>
        <w:t xml:space="preserve">. In fact, you will learn to how to obtain free Twitter data for such purposes in this book (see Chapter 6, Topic 7).</w:t>
      </w:r>
    </w:p>
    <w:p>
      <w:pPr>
        <w:pStyle w:val="Heading3"/>
      </w:pPr>
      <w:bookmarkStart w:id="30" w:name="open-crowdsourced-data"/>
      <w:r>
        <w:t xml:space="preserve">Open crowdsourced data</w:t>
      </w:r>
      <w:bookmarkEnd w:id="30"/>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 sets. Examples include Wikipedia (</w:t>
      </w:r>
      <w:hyperlink r:id="rId31">
        <w:r>
          <w:rPr>
            <w:rStyle w:val="Hyperlink"/>
          </w:rPr>
          <w:t xml:space="preserve">https://www.wikipedia.org/</w:t>
        </w:r>
      </w:hyperlink>
      <w:r>
        <w:t xml:space="preserve">), an online encyclopedia where anyone can contribute, or Flickr (</w:t>
      </w:r>
      <w:hyperlink r:id="rId32">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3">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Bowers, and Fujiyama 2018)</w:t>
      </w:r>
      <w:r>
        <w:t xml:space="preserve">. Another topic in this book (see Chapter 6, Topic 6) discusses the merits and pitfalls of crowdsourced data, and what to watch out for when analysing open data of this type.</w:t>
      </w:r>
    </w:p>
    <w:p>
      <w:pPr>
        <w:pStyle w:val="Heading2"/>
      </w:pPr>
      <w:bookmarkStart w:id="34" w:name="strengths-and-limitations"/>
      <w:r>
        <w:t xml:space="preserve">Strengths and limitations</w:t>
      </w:r>
      <w:bookmarkEnd w:id="34"/>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and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and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and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Heino, and Gibbs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later) are correlated with contextual characteristics such as poverty and population density, and as such, coverage is non-uniformly distributed across urban areas</w:t>
      </w:r>
      <w:r>
        <w:t xml:space="preserve"> </w:t>
      </w:r>
      <w:r>
        <w:t xml:space="preserve">(Mashhadi, Quattrone, and Capra 2013)</w:t>
      </w:r>
      <w:r>
        <w:t xml:space="preserve">. These are important to keep in mind (and be transparent about) when reporting findings based on analysis of such data.</w:t>
      </w:r>
    </w:p>
    <w:p>
      <w:pPr>
        <w:pStyle w:val="Heading3"/>
      </w:pPr>
      <w:bookmarkStart w:id="35" w:name="what-can-be-done"/>
      <w:r>
        <w:t xml:space="preserve">What can be done?</w:t>
      </w:r>
      <w:bookmarkEnd w:id="35"/>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 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first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a context of understanding, and ensure that the researchers use them appropriately and with care.</w:t>
      </w:r>
    </w:p>
    <w:p>
      <w:pPr>
        <w:pStyle w:val="BodyText"/>
      </w:pPr>
      <w:r>
        <w:t xml:space="preserve">With this in mind, we now move on to a practical exercise in which we will utilize multiple sources of open data to explore police recorded crime on and around public transport in London, England.</w:t>
      </w:r>
    </w:p>
    <w:p>
      <w:pPr>
        <w:pStyle w:val="Heading1"/>
      </w:pPr>
      <w:bookmarkStart w:id="36" w:name="practical-exercise"/>
      <w:r>
        <w:t xml:space="preserve">Practical exercise</w:t>
      </w:r>
      <w:bookmarkEnd w:id="36"/>
    </w:p>
    <w:p>
      <w:pPr>
        <w:pStyle w:val="FirstParagraph"/>
      </w:pPr>
      <w:r>
        <w:t xml:space="preserve">In this exercise you will acquire a number of different skills, including:</w:t>
      </w:r>
    </w:p>
    <w:p>
      <w:pPr>
        <w:pStyle w:val="Compact"/>
        <w:numPr>
          <w:numId w:val="1003"/>
          <w:ilvl w:val="0"/>
        </w:numPr>
      </w:pPr>
      <w:r>
        <w:t xml:space="preserve">Accessing open data using three different methods:</w:t>
      </w:r>
    </w:p>
    <w:p>
      <w:pPr>
        <w:pStyle w:val="Compact"/>
        <w:numPr>
          <w:numId w:val="1004"/>
          <w:ilvl w:val="1"/>
        </w:numPr>
      </w:pPr>
      <w:r>
        <w:t xml:space="preserve">Direct download.</w:t>
      </w:r>
    </w:p>
    <w:p>
      <w:pPr>
        <w:pStyle w:val="Compact"/>
        <w:numPr>
          <w:numId w:val="1004"/>
          <w:ilvl w:val="1"/>
        </w:numPr>
      </w:pPr>
      <w:r>
        <w:t xml:space="preserve">Direct calls to an Application Programming Interface (API).</w:t>
      </w:r>
    </w:p>
    <w:p>
      <w:pPr>
        <w:pStyle w:val="Compact"/>
        <w:numPr>
          <w:numId w:val="1004"/>
          <w:ilvl w:val="1"/>
        </w:numPr>
      </w:pPr>
      <w:r>
        <w:t xml:space="preserve">Calls to an API using a wrapper.</w:t>
      </w:r>
    </w:p>
    <w:p>
      <w:pPr>
        <w:pStyle w:val="Compact"/>
        <w:numPr>
          <w:numId w:val="1003"/>
          <w:ilvl w:val="0"/>
        </w:numPr>
      </w:pPr>
      <w:r>
        <w:t xml:space="preserve">Cleaning, wrangling, and visualizing open spatial data.</w:t>
      </w:r>
    </w:p>
    <w:p>
      <w:pPr>
        <w:pStyle w:val="Compact"/>
        <w:numPr>
          <w:numId w:val="1003"/>
          <w:ilvl w:val="0"/>
        </w:numPr>
      </w:pPr>
      <w:r>
        <w:t xml:space="preserve">Comparing different sources of open data.</w:t>
      </w:r>
    </w:p>
    <w:p>
      <w:pPr>
        <w:pStyle w:val="Compact"/>
        <w:numPr>
          <w:numId w:val="1003"/>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37" w:name="our-aim"/>
      <w:r>
        <w:t xml:space="preserve">Our aim</w:t>
      </w:r>
      <w:bookmarkEnd w:id="37"/>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Uittenbogaard, and Bamzar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Johnson, and Bowers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w:t>
      </w:r>
    </w:p>
    <w:p>
      <w:pPr>
        <w:pStyle w:val="Heading2"/>
      </w:pPr>
      <w:bookmarkStart w:id="38" w:name="accessing-data"/>
      <w:r>
        <w:t xml:space="preserve">Accessing data</w:t>
      </w:r>
      <w:bookmarkEnd w:id="38"/>
    </w:p>
    <w:p>
      <w:pPr>
        <w:pStyle w:val="FirstParagraph"/>
      </w:pPr>
      <w:r>
        <w:t xml:space="preserve">We will be using two different types of open data in this exercise: public sector data (police recorded crime data and local transport authority data) and crowdsourced data (from Open Street Map). To access them, we will use three different methods, namely, (1) direct download, (2) direct request to an API, 3) request to an API using a wrapper. This will give you a few different ideas about how you might go about accessing other open data sets relevant to your research. Locating, identifying and learning to access open data is a skill in itself.</w:t>
      </w:r>
    </w:p>
    <w:p>
      <w:pPr>
        <w:pStyle w:val="Heading3"/>
      </w:pPr>
      <w:bookmarkStart w:id="39" w:name="direct-download"/>
      <w:r>
        <w:t xml:space="preserve">Direct download</w:t>
      </w:r>
      <w:bookmarkEnd w:id="39"/>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on your computer.</w:t>
      </w:r>
    </w:p>
    <w:p>
      <w:pPr>
        <w:pStyle w:val="BodyText"/>
      </w:pPr>
      <w:r>
        <w:t xml:space="preserve">In the United Kingdom, police recorded crime data in England and Wales can be accessed this way using an online web portal (</w:t>
      </w:r>
      <w:hyperlink r:id="rId40">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w:t>
      </w:r>
      <w:r>
        <w:t xml:space="preserve"> </w:t>
      </w:r>
      <w:r>
        <w:t xml:space="preserve">“</w:t>
      </w:r>
      <w:r>
        <w:t xml:space="preserve">anonymization</w:t>
      </w:r>
      <w:r>
        <w:t xml:space="preserve">”</w:t>
      </w:r>
      <w:r>
        <w:t xml:space="preserve"> </w:t>
      </w:r>
      <w:r>
        <w:t xml:space="preserve">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lockText"/>
      </w:pPr>
      <w:r>
        <w:t xml:space="preserve">Location anonymization.</w:t>
      </w:r>
      <w:r>
        <w:t xml:space="preserve"> </w:t>
      </w:r>
      <w:r>
        <w:t xml:space="preserve">The latitude and longitude locations of Crime and ASB incidents published on this site always represent the approximate location of a crime — not the exact place that it happened.</w:t>
      </w:r>
    </w:p>
    <w:p>
      <w:pPr>
        <w:pStyle w:val="FirstParagraph"/>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"https://raw.githubusercontent.com/anonymous/osm_crim/master/data/</w:t>
      </w:r>
      <w:r>
        <w:br/>
      </w:r>
      <w:r>
        <w:rPr>
          <w:rStyle w:val="StringTok"/>
        </w:rPr>
        <w:t xml:space="preserve">                   2019-01-greater-manchester-street.csv"</w:t>
      </w:r>
      <w:r>
        <w:rPr>
          <w:rStyle w:val="NormalTok"/>
        </w:rPr>
        <w:t xml:space="preserve">)</w:t>
      </w:r>
    </w:p>
    <w:p>
      <w:pPr>
        <w:pStyle w:val="FirstParagraph"/>
      </w:pPr>
      <w:r>
        <w:t xml:space="preserve">You should now have a data frame with 5694 crimes in, ready for you to explore!</w:t>
      </w:r>
    </w:p>
    <w:p>
      <w:pPr>
        <w:pStyle w:val="Heading3"/>
      </w:pPr>
      <w:bookmarkStart w:id="41" w:name="direct-request-to-an-api"/>
      <w:r>
        <w:t xml:space="preserve">Direct request to an API</w:t>
      </w:r>
      <w:bookmarkEnd w:id="41"/>
    </w:p>
    <w:p>
      <w:pPr>
        <w:pStyle w:val="FirstParagraph"/>
      </w:pPr>
      <w:r>
        <w:t xml:space="preserve">Another way of downloading open data is through an Application Programming Interface (API). This is a tool which defines an interface for a programme to interact with a software component. For example, it defines the sort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Martı́nez-Torres, and Toral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42">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43">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44">
        <w:r>
          <w:rPr>
            <w:rStyle w:val="Hyperlink"/>
          </w:rPr>
          <w:t xml:space="preserve">https://api.tfl.gov.uk/line/bakerloo/stoppoints</w:t>
        </w:r>
      </w:hyperlink>
      <w:r>
        <w:t xml:space="preserve">) and paste it into your web browser. When you visit this page, you should see something like Figure 1.</w:t>
      </w:r>
    </w:p>
    <w:p>
      <w:pPr>
        <w:pStyle w:val="CaptionedFigure"/>
      </w:pPr>
      <w:r>
        <w:drawing>
          <wp:inline>
            <wp:extent cx="5334000" cy="2889250"/>
            <wp:effectExtent b="0" l="0" r="0" t="0"/>
            <wp:docPr descr="example of data from Transport for London" title="" id="1" name="Picture"/>
            <a:graphic>
              <a:graphicData uri="http://schemas.openxmlformats.org/drawingml/2006/picture">
                <pic:pic>
                  <pic:nvPicPr>
                    <pic:cNvPr descr="img/tfl_screenshot.png" id="0" name="Picture"/>
                    <pic:cNvPicPr>
                      <a:picLocks noChangeArrowheads="1" noChangeAspect="1"/>
                    </pic:cNvPicPr>
                  </pic:nvPicPr>
                  <pic:blipFill>
                    <a:blip r:embed="rId45"/>
                    <a:stretch>
                      <a:fillRect/>
                    </a:stretch>
                  </pic:blipFill>
                  <pic:spPr bwMode="auto">
                    <a:xfrm>
                      <a:off x="0" y="0"/>
                      <a:ext cx="5334000" cy="2889250"/>
                    </a:xfrm>
                    <a:prstGeom prst="rect">
                      <a:avLst/>
                    </a:prstGeom>
                    <a:noFill/>
                    <a:ln w="9525">
                      <a:noFill/>
                      <a:headEnd/>
                      <a:tailEnd/>
                    </a:ln>
                  </pic:spPr>
                </pic:pic>
              </a:graphicData>
            </a:graphic>
          </wp:inline>
        </w:drawing>
      </w:r>
    </w:p>
    <w:p>
      <w:pPr>
        <w:pStyle w:val="ImageCaption"/>
      </w:pPr>
      <w:r>
        <w:t xml:space="preserve">example of data from Transport for London</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won’t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Northern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northern</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Northern line, one of the largest and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"https://api.tfl.gov.uk/line/northern/stoppoints"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Another way of exploring the</w:t>
      </w:r>
      <w:r>
        <w:t xml:space="preserve"> </w:t>
      </w:r>
      <w:r>
        <w:rPr>
          <w:rStyle w:val="VerbatimChar"/>
        </w:rPr>
        <w:t xml:space="preserve">api_call</w:t>
      </w:r>
      <w:r>
        <w:t xml:space="preserve"> </w:t>
      </w:r>
      <w:r>
        <w:t xml:space="preserve">object is by looping the</w:t>
      </w:r>
      <w:r>
        <w:t xml:space="preserve"> </w:t>
      </w:r>
      <w:r>
        <w:rPr>
          <w:rStyle w:val="VerbatimChar"/>
        </w:rPr>
        <w:t xml:space="preserve">class()</w:t>
      </w:r>
      <w:r>
        <w:t xml:space="preserve"> </w:t>
      </w:r>
      <w:r>
        <w:t xml:space="preserve">function through all the columns in the data frame using</w:t>
      </w:r>
      <w:r>
        <w:t xml:space="preserve"> </w:t>
      </w:r>
      <w:r>
        <w:rPr>
          <w:rStyle w:val="VerbatimChar"/>
        </w:rPr>
        <w:t xml:space="preserve">lapply(api_call, class)</w:t>
      </w:r>
      <w:r>
        <w:t xml:space="preserve">.</w:t>
      </w:r>
    </w:p>
    <w:p>
      <w:pPr>
        <w:pStyle w:val="BodyText"/>
      </w:pPr>
      <w:r>
        <w:t xml:space="preserve">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46" w:name="request-to-an-api-using-a-wrapper"/>
      <w:r>
        <w:t xml:space="preserve">Request to an API using a wrapper</w:t>
      </w:r>
      <w:bookmarkEnd w:id="46"/>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47">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types of wrappers available for its API, a web-based GUI called Overpass Turbo (</w:t>
      </w:r>
      <w:hyperlink r:id="rId48">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49">
        <w:r>
          <w:rPr>
            <w:rStyle w:val="Hyperlink"/>
          </w:rPr>
          <w:t xml:space="preserve">https://www.openstreetmap.org/about</w:t>
        </w:r>
      </w:hyperlink>
      <w:r>
        <w:t xml:space="preserve">. Using the wrapper in R, we can refer to the package documentation and the associated vignette online:</w:t>
      </w:r>
      <w:r>
        <w:t xml:space="preserve"> </w:t>
      </w:r>
      <w:hyperlink r:id="rId50">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use the</w:t>
      </w:r>
      <w:r>
        <w:t xml:space="preserve"> </w:t>
      </w:r>
      <w:r>
        <w:rPr>
          <w:rStyle w:val="VerbatimChar"/>
        </w:rPr>
        <w:t xml:space="preserve">getbb()</w:t>
      </w:r>
      <w:r>
        <w:t xml:space="preserve"> </w:t>
      </w:r>
      <w:r>
        <w:t xml:space="preserve">function from the</w:t>
      </w:r>
      <w:r>
        <w:t xml:space="preserve"> </w:t>
      </w:r>
      <w:r>
        <w:rPr>
          <w:rStyle w:val="VerbatimChar"/>
        </w:rPr>
        <w:t xml:space="preserve">osmdata</w:t>
      </w:r>
      <w:r>
        <w:t xml:space="preserve"> </w:t>
      </w:r>
      <w:r>
        <w:t xml:space="preserve">package, which stands for</w:t>
      </w:r>
      <w:r>
        <w:t xml:space="preserve"> </w:t>
      </w:r>
      <w:r>
        <w:t xml:space="preserve">“</w:t>
      </w:r>
      <w:r>
        <w:t xml:space="preserve">get bounding box</w:t>
      </w:r>
      <w:r>
        <w:t xml:space="preserve">”</w:t>
      </w:r>
      <w:r>
        <w:t xml:space="preserve">.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This can be obtained manually, which requires some existing knowledge about an area using the latitude and longitude coordinates, or you can use a search term. Here, we want to select Greater London, so we can use the search term</w:t>
      </w:r>
      <w:r>
        <w:t xml:space="preserve"> </w:t>
      </w:r>
      <w:r>
        <w:t xml:space="preserve">“</w:t>
      </w:r>
      <w:r>
        <w:t xml:space="preserve">greater london united kingdom</w:t>
      </w:r>
      <w:r>
        <w:t xml:space="preserve">”</w:t>
      </w:r>
      <w:r>
        <w:t xml:space="preserve">. Besides specifying the study region, we can also tell the</w:t>
      </w:r>
      <w:r>
        <w:t xml:space="preserve"> </w:t>
      </w:r>
      <w:r>
        <w:rPr>
          <w:rStyle w:val="VerbatimChar"/>
        </w:rPr>
        <w:t xml:space="preserve">getbb()</w:t>
      </w:r>
      <w:r>
        <w:t xml:space="preserve"> </w:t>
      </w:r>
      <w:r>
        <w:t xml:space="preserve">function what format we want the data to be in. In this case we want a spatial object, specifically an</w:t>
      </w:r>
      <w:r>
        <w:t xml:space="preserve"> </w:t>
      </w:r>
      <w:r>
        <w:rPr>
          <w:rStyle w:val="VerbatimChar"/>
        </w:rPr>
        <w:t xml:space="preserve">sf</w:t>
      </w:r>
      <w:r>
        <w:t xml:space="preserve"> </w:t>
      </w:r>
      <w:r>
        <w:t xml:space="preserve">polygon object,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We now have our study region defined as the administrative boundaries of Greater London. We can visualize this quickly to check that it has worked as expected using the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br/>
      </w:r>
      <w:r>
        <w:rPr>
          <w:rStyle w:val="KeywordTok"/>
        </w:rPr>
        <w:t xml:space="preserve">ggplot</w:t>
      </w:r>
      <w:r>
        <w:rPr>
          <w:rStyle w:val="NormalTok"/>
        </w:rPr>
        <w:t xml:space="preserve">(</w:t>
      </w:r>
      <w:r>
        <w:rPr>
          <w:rStyle w:val="DataTypeTok"/>
        </w:rPr>
        <w:t xml:space="preserve">data =</w:t>
      </w:r>
      <w:r>
        <w:rPr>
          <w:rStyle w:val="NormalTok"/>
        </w:rPr>
        <w:t xml:space="preserve"> bb_sf)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bbmap-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are familiar with the shape of London then this image should be quite recognizable! We can now move on to scrape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 (</w:t>
      </w:r>
      <w:r>
        <w:rPr>
          <w:rStyle w:val="VerbatimChar"/>
        </w:rPr>
        <w:t xml:space="preserve">bb_sf</w:t>
      </w:r>
      <w:r>
        <w:t xml:space="preserve">)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52">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w:t>
      </w:r>
    </w:p>
    <w:p>
      <w:pPr>
        <w:pStyle w:val="BodyText"/>
      </w:pPr>
      <w:r>
        <w:t xml:space="preserve">Finally, we trim everything down to our study region with the</w:t>
      </w:r>
      <w:r>
        <w:t xml:space="preserve"> </w:t>
      </w:r>
      <w:r>
        <w:rPr>
          <w:rStyle w:val="VerbatimChar"/>
        </w:rPr>
        <w:t xml:space="preserve">trim_osmdata()</w:t>
      </w:r>
      <w:r>
        <w:t xml:space="preserve"> </w:t>
      </w:r>
      <w:r>
        <w:t xml:space="preserve">function. Without this addition, we would get points for everywhere within our bounding box, including some areas outside of Greater London. We add all these together using a pipe (</w:t>
      </w:r>
      <w:r>
        <w:rPr>
          <w:rStyle w:val="VerbatimChar"/>
        </w:rPr>
        <w:t xml:space="preserve">%&gt;%</w:t>
      </w:r>
      <w:r>
        <w:t xml:space="preserve">) and make the call like so:</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rPr>
          <w:rStyle w:val="CommentTok"/>
        </w:rPr>
        <w:t xml:space="preserve"># select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rPr>
          <w:rStyle w:val="CommentTok"/>
        </w:rPr>
        <w:t xml:space="preserve"># specify class</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rPr>
          <w:rStyle w:val="CommentTok"/>
        </w:rPr>
        <w:t xml:space="preserve"># trim by bounding box </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over seven thousand at the time of writing. We also have around one hundred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London mapped by Open Street Map volunteers, along with 130 variables of auxiliary data, such as the</w:t>
      </w:r>
      <w:r>
        <w:t xml:space="preserve"> </w:t>
      </w:r>
      <w:r>
        <w:t xml:space="preserve">“</w:t>
      </w:r>
      <w:r>
        <w:t xml:space="preserve">fare_zone</w:t>
      </w:r>
      <w:r>
        <w:t xml:space="preserve">”</w:t>
      </w:r>
      <w:r>
        <w:t xml:space="preserve"> </w:t>
      </w:r>
      <w:r>
        <w:t xml:space="preserve">the station is in, what</w:t>
      </w:r>
      <w:r>
        <w:t xml:space="preserve"> </w:t>
      </w:r>
      <w:r>
        <w:t xml:space="preserve">“</w:t>
      </w:r>
      <w:r>
        <w:t xml:space="preserve">amenity</w:t>
      </w:r>
      <w:r>
        <w:t xml:space="preserve">”</w:t>
      </w:r>
      <w:r>
        <w:t xml:space="preserve"> </w:t>
      </w:r>
      <w:r>
        <w:t xml:space="preserve">it may have and whether it has</w:t>
      </w:r>
      <w:r>
        <w:t xml:space="preserve"> </w:t>
      </w:r>
      <w:r>
        <w:t xml:space="preserve">“</w:t>
      </w:r>
      <w:r>
        <w:t xml:space="preserve">toilets</w:t>
      </w:r>
      <w:r>
        <w:t xml:space="preserve">”</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Northern Line). The variable</w:t>
      </w:r>
      <w:r>
        <w:t xml:space="preserve"> </w:t>
      </w:r>
      <w:r>
        <w:rPr>
          <w:rStyle w:val="VerbatimChar"/>
        </w:rPr>
        <w:t xml:space="preserve">line</w:t>
      </w:r>
      <w:r>
        <w:t xml:space="preserve"> </w:t>
      </w:r>
      <w:r>
        <w:t xml:space="preserve">can help us with this. First, let’s look at the values in this variable by using the</w:t>
      </w:r>
      <w:r>
        <w:t xml:space="preserve"> </w:t>
      </w:r>
      <w:r>
        <w:rPr>
          <w:rStyle w:val="VerbatimChar"/>
        </w:rPr>
        <w:t xml:space="preserve">unique()</w:t>
      </w:r>
      <w:r>
        <w:t xml:space="preserve"> </w:t>
      </w:r>
      <w:r>
        <w:t xml:space="preserve">function:</w:t>
      </w:r>
    </w:p>
    <w:p>
      <w:pPr>
        <w:pStyle w:val="SourceCode"/>
      </w:pPr>
      <w:r>
        <w:rPr>
          <w:rStyle w:val="KeywordTok"/>
        </w:rPr>
        <w:t xml:space="preserve">unique</w:t>
      </w:r>
      <w:r>
        <w:rPr>
          <w:rStyle w:val="NormalTok"/>
        </w:rPr>
        <w:t xml:space="preserve">(osm_stat_sf</w:t>
      </w:r>
      <w:r>
        <w:rPr>
          <w:rStyle w:val="OperatorTok"/>
        </w:rPr>
        <w:t xml:space="preserve">$</w:t>
      </w:r>
      <w:r>
        <w:rPr>
          <w:rStyle w:val="NormalTok"/>
        </w:rPr>
        <w:t xml:space="preserve">line)</w:t>
      </w:r>
    </w:p>
    <w:p>
      <w:pPr>
        <w:pStyle w:val="SourceCode"/>
      </w:pPr>
      <w:r>
        <w:rPr>
          <w:rStyle w:val="VerbatimChar"/>
        </w:rPr>
        <w:t xml:space="preserve">##  [1] NA                                      </w:t>
      </w:r>
      <w:r>
        <w:br/>
      </w:r>
      <w:r>
        <w:rPr>
          <w:rStyle w:val="VerbatimChar"/>
        </w:rPr>
        <w:t xml:space="preserve">##  [2] "Northern"                              </w:t>
      </w:r>
      <w:r>
        <w:br/>
      </w:r>
      <w:r>
        <w:rPr>
          <w:rStyle w:val="VerbatimChar"/>
        </w:rPr>
        <w:t xml:space="preserve">##  [3] "District;Circle"                       </w:t>
      </w:r>
      <w:r>
        <w:br/>
      </w:r>
      <w:r>
        <w:rPr>
          <w:rStyle w:val="VerbatimChar"/>
        </w:rPr>
        <w:t xml:space="preserve">##  [4] "Metropolitan"                          </w:t>
      </w:r>
      <w:r>
        <w:br/>
      </w:r>
      <w:r>
        <w:rPr>
          <w:rStyle w:val="VerbatimChar"/>
        </w:rPr>
        <w:t xml:space="preserve">##  [5] "Piccadilly"                            </w:t>
      </w:r>
      <w:r>
        <w:br/>
      </w:r>
      <w:r>
        <w:rPr>
          <w:rStyle w:val="VerbatimChar"/>
        </w:rPr>
        <w:t xml:space="preserve">##  [6] "Victoria"                              </w:t>
      </w:r>
      <w:r>
        <w:br/>
      </w:r>
      <w:r>
        <w:rPr>
          <w:rStyle w:val="VerbatimChar"/>
        </w:rPr>
        <w:t xml:space="preserve">##  [7] "Northern City"                         </w:t>
      </w:r>
      <w:r>
        <w:br/>
      </w:r>
      <w:r>
        <w:rPr>
          <w:rStyle w:val="VerbatimChar"/>
        </w:rPr>
        <w:t xml:space="preserve">##  [8] "Central"                               </w:t>
      </w:r>
      <w:r>
        <w:br/>
      </w:r>
      <w:r>
        <w:rPr>
          <w:rStyle w:val="VerbatimChar"/>
        </w:rPr>
        <w:t xml:space="preserve">##  [9] "District"                              </w:t>
      </w:r>
      <w:r>
        <w:br/>
      </w:r>
      <w:r>
        <w:rPr>
          <w:rStyle w:val="VerbatimChar"/>
        </w:rPr>
        <w:t xml:space="preserve">## [10] "Circle;District"                       </w:t>
      </w:r>
      <w:r>
        <w:br/>
      </w:r>
      <w:r>
        <w:rPr>
          <w:rStyle w:val="VerbatimChar"/>
        </w:rPr>
        <w:t xml:space="preserve">## [11] "Bakerloo"                              </w:t>
      </w:r>
      <w:r>
        <w:br/>
      </w:r>
      <w:r>
        <w:rPr>
          <w:rStyle w:val="VerbatimChar"/>
        </w:rPr>
        <w:t xml:space="preserve">## [12] "District, Piccadilly"                  </w:t>
      </w:r>
      <w:r>
        <w:br/>
      </w:r>
      <w:r>
        <w:rPr>
          <w:rStyle w:val="VerbatimChar"/>
        </w:rPr>
        <w:t xml:space="preserve">## [13] "Metropolitan;Jubilee"                  </w:t>
      </w:r>
      <w:r>
        <w:br/>
      </w:r>
      <w:r>
        <w:rPr>
          <w:rStyle w:val="VerbatimChar"/>
        </w:rPr>
        <w:t xml:space="preserve">## [14] "Metropolitan, Piccadilly"              </w:t>
      </w:r>
      <w:r>
        <w:br/>
      </w:r>
      <w:r>
        <w:rPr>
          <w:rStyle w:val="VerbatimChar"/>
        </w:rPr>
        <w:t xml:space="preserve">## [15] "Jubilee"                               </w:t>
      </w:r>
      <w:r>
        <w:br/>
      </w:r>
      <w:r>
        <w:rPr>
          <w:rStyle w:val="VerbatimChar"/>
        </w:rPr>
        <w:t xml:space="preserve">## [16] "District, Circle, Piccadilly"          </w:t>
      </w:r>
      <w:r>
        <w:br/>
      </w:r>
      <w:r>
        <w:rPr>
          <w:rStyle w:val="VerbatimChar"/>
        </w:rPr>
        <w:t xml:space="preserve">## [17] "Metropolitan;Circle;Hammersmith &amp; City"</w:t>
      </w:r>
      <w:r>
        <w:br/>
      </w:r>
      <w:r>
        <w:rPr>
          <w:rStyle w:val="VerbatimChar"/>
        </w:rPr>
        <w:t xml:space="preserve">## [18] "Overground;Victoria"                   </w:t>
      </w:r>
      <w:r>
        <w:br/>
      </w:r>
      <w:r>
        <w:rPr>
          <w:rStyle w:val="VerbatimChar"/>
        </w:rPr>
        <w:t xml:space="preserve">## [19] "Overground"</w:t>
      </w:r>
    </w:p>
    <w:p>
      <w:pPr>
        <w:pStyle w:val="FirstParagraph"/>
      </w:pPr>
      <w:r>
        <w:t xml:space="preserve">You might see that the Northern line appears a few times, once as</w:t>
      </w:r>
      <w:r>
        <w:t xml:space="preserve"> </w:t>
      </w:r>
      <w:r>
        <w:t xml:space="preserve">“</w:t>
      </w:r>
      <w:r>
        <w:t xml:space="preserve">Northern</w:t>
      </w:r>
      <w:r>
        <w:t xml:space="preserve">”</w:t>
      </w:r>
      <w:r>
        <w:t xml:space="preserve"> </w:t>
      </w:r>
      <w:r>
        <w:t xml:space="preserve">but also once as</w:t>
      </w:r>
      <w:r>
        <w:t xml:space="preserve"> </w:t>
      </w:r>
      <w:r>
        <w:t xml:space="preserve">“</w:t>
      </w:r>
      <w:r>
        <w:t xml:space="preserve">Northern City</w:t>
      </w:r>
      <w:r>
        <w:t xml:space="preserve">”</w:t>
      </w:r>
      <w:r>
        <w:t xml:space="preserve">. We know that there is no line called</w:t>
      </w:r>
      <w:r>
        <w:t xml:space="preserve"> </w:t>
      </w:r>
      <w:r>
        <w:t xml:space="preserve">“</w:t>
      </w:r>
      <w:r>
        <w:t xml:space="preserve">Northern City</w:t>
      </w:r>
      <w:r>
        <w:t xml:space="preserve">”</w:t>
      </w:r>
      <w:r>
        <w:t xml:space="preserve">, and we can see that many other combinations of these values exist (e.g. </w:t>
      </w:r>
      <w:r>
        <w:t xml:space="preserve">“</w:t>
      </w:r>
      <w:r>
        <w:t xml:space="preserve">Circle;District</w:t>
      </w:r>
      <w:r>
        <w:t xml:space="preserve">”</w:t>
      </w:r>
      <w:r>
        <w:t xml:space="preserve"> </w:t>
      </w:r>
      <w:r>
        <w:t xml:space="preserve">indicates that the station serves both Circle and District lines). Therefore, we can assume that stations like</w:t>
      </w:r>
      <w:r>
        <w:t xml:space="preserve"> </w:t>
      </w:r>
      <w:r>
        <w:t xml:space="preserve">“</w:t>
      </w:r>
      <w:r>
        <w:t xml:space="preserve">Northern City</w:t>
      </w:r>
      <w:r>
        <w:t xml:space="preserve">”</w:t>
      </w:r>
      <w:r>
        <w:t xml:space="preserve"> </w:t>
      </w:r>
      <w:r>
        <w:t xml:space="preserve">serve both the Northern line and one other. To get round this, and select all stations with</w:t>
      </w:r>
      <w:r>
        <w:t xml:space="preserve"> </w:t>
      </w:r>
      <w:r>
        <w:t xml:space="preserve">“</w:t>
      </w:r>
      <w:r>
        <w:t xml:space="preserve">Northern</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osm_north_sf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"Northern"</w:t>
      </w:r>
      <w:r>
        <w:rPr>
          <w:rStyle w:val="NormalTok"/>
        </w:rPr>
        <w:t xml:space="preserve">, line))</w:t>
      </w:r>
    </w:p>
    <w:p>
      <w:pPr>
        <w:pStyle w:val="FirstParagraph"/>
      </w:pPr>
      <w:r>
        <w:t xml:space="preserve">Now we have all our open data sets loaded into the R environment!</w:t>
      </w:r>
    </w:p>
    <w:p>
      <w:pPr>
        <w:pStyle w:val="Heading2"/>
      </w:pPr>
      <w:bookmarkStart w:id="53" w:name="X7eeb9829bed2cc4df15ccb5998e3195404de65f"/>
      <w:r>
        <w:t xml:space="preserve">Cleaning, wrangling, and visualising our data</w:t>
      </w:r>
      <w:bookmarkEnd w:id="53"/>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visualisation.</w:t>
      </w:r>
      <w:r>
        <w:t xml:space="preserve"> </w:t>
      </w:r>
      <w:r>
        <w:t xml:space="preserve">We’ve already loaded the</w:t>
      </w:r>
      <w:r>
        <w:t xml:space="preserve"> </w:t>
      </w:r>
      <w:r>
        <w:rPr>
          <w:rStyle w:val="VerbatimChar"/>
        </w:rPr>
        <w:t xml:space="preserve">dplyr</w:t>
      </w:r>
      <w:r>
        <w:t xml:space="preserv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 but here, we will also make use of</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54" w:name="from-json-to-data-frame"/>
      <w:r>
        <w:t xml:space="preserve">From JSON to data frame</w:t>
      </w:r>
      <w:bookmarkEnd w:id="54"/>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tfl_north_sf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tflmap-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 have it: with just a few lines of code in R, we have queried the TfL API, a public sector source of open data, and plotted a basic map of stations on the Northern underground line.</w:t>
      </w:r>
    </w:p>
    <w:p>
      <w:pPr>
        <w:pStyle w:val="Heading3"/>
      </w:pPr>
      <w:bookmarkStart w:id="56" w:name="Xc4820af365d4278300d3989e35f1fc2e85049e4"/>
      <w:r>
        <w:t xml:space="preserve">Visualise to check and compare our data sets</w:t>
      </w:r>
      <w:bookmarkEnd w:id="56"/>
    </w:p>
    <w:p>
      <w:pPr>
        <w:pStyle w:val="FirstParagraph"/>
      </w:pPr>
      <w:r>
        <w:t xml:space="preserve">We can now plot the Open Street Map station points, which are already spatial, over these station locations pulled from the TfL API, to see how the two data sets compare. We do not plot the study region boundary in order to get a more detailed, local view.</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osm_north_sf,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maplin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is clearly some discrepancy between the two data sources. There are slight differences in the exact point locations of stations, but more saliently, Open Street Map appears to be missing stations, especially in Central and South London. This could be due to a number of reasons, among them: variation in residents’ willingness to contribute to information about their local area, and the demographic characteristics known to influence the volume of contributions</w:t>
      </w:r>
      <w:r>
        <w:t xml:space="preserve"> </w:t>
      </w:r>
      <w:r>
        <w:t xml:space="preserve">(Mashhadi, Quattrone, and Capra 2013)</w:t>
      </w:r>
      <w:r>
        <w:t xml:space="preserve">. Interestingly, these missing stations</w:t>
      </w:r>
      <w:r>
        <w:t xml:space="preserve"> </w:t>
      </w:r>
      <w:r>
        <w:rPr>
          <w:i/>
        </w:rPr>
        <w:t xml:space="preserve">have</w:t>
      </w:r>
      <w:r>
        <w:t xml:space="preserve"> </w:t>
      </w:r>
      <w:r>
        <w:t xml:space="preserve">actually been recorded by contributors in Open Street Map, but</w:t>
      </w:r>
      <w:r>
        <w:t xml:space="preserve"> </w:t>
      </w:r>
      <w:r>
        <w:rPr>
          <w:i/>
        </w:rPr>
        <w:t xml:space="preserve">without</w:t>
      </w:r>
      <w:r>
        <w:t xml:space="preserve"> </w:t>
      </w:r>
      <w:r>
        <w:t xml:space="preserve">information about the line on which the station is located. We can see this by plotting out all Open Street Map stations using</w:t>
      </w:r>
      <w:r>
        <w:t xml:space="preserve"> </w:t>
      </w:r>
      <w:r>
        <w:rPr>
          <w:rStyle w:val="VerbatimChar"/>
        </w:rPr>
        <w:t xml:space="preserve">osm_stat_sf</w:t>
      </w:r>
      <w:r>
        <w:t xml:space="preserve">. That said, without local knowledge, an alternative open data source, or a critical approach to using open data, well-intentioned researchers might draw erroneous conclusions from filtering stations tagged as on the Northern line. This gives us a preliminary answer to our earlier question: the public sector open data from TfL appears to hold some advantage over its crowdsourced alternative, Open Street Map, in terms of London Underground lines.</w:t>
      </w:r>
    </w:p>
    <w:p>
      <w:pPr>
        <w:pStyle w:val="BodyText"/>
      </w:pPr>
      <w:r>
        <w:t xml:space="preserve">But, what might the impact of this be when studying crime in and around London Underground stations, given the differences observed between the two open data sources? For that, we can turn to our British Transport Police data.</w:t>
      </w:r>
    </w:p>
    <w:p>
      <w:pPr>
        <w:pStyle w:val="BodyText"/>
      </w:pPr>
      <w:r>
        <w:t xml:space="preserve">In its raw form, this data is a standard data frame, but we can make it spatial using some of the functions we used earlier. Note that we need to add</w:t>
      </w:r>
      <w:r>
        <w:t xml:space="preserve"> </w:t>
      </w:r>
      <w:r>
        <w:rPr>
          <w:rStyle w:val="VerbatimChar"/>
        </w:rPr>
        <w:t xml:space="preserve">st_intersection()</w:t>
      </w:r>
      <w:r>
        <w:t xml:space="preserve"> </w:t>
      </w:r>
      <w:r>
        <w:t xml:space="preserve">to clip our points to our study region, because the British Transport Police are operational across the country, not just in London. To do this, we first project</w:t>
      </w:r>
      <w:r>
        <w:t xml:space="preserve"> </w:t>
      </w:r>
      <w:r>
        <w:rPr>
          <w:rStyle w:val="VerbatimChar"/>
        </w:rPr>
        <w:t xml:space="preserve">bb_sf</w:t>
      </w:r>
      <w:r>
        <w:t xml:space="preserve"> </w:t>
      </w:r>
      <w:r>
        <w:t xml:space="preserve">to the British National Grid, so that we perform the intersection on data which have the same projection.</w:t>
      </w:r>
    </w:p>
    <w:p>
      <w:pPr>
        <w:pStyle w:val="SourceCode"/>
      </w:pPr>
      <w:r>
        <w:rPr>
          <w:rStyle w:val="CommentTok"/>
        </w:rPr>
        <w:t xml:space="preserve"># First, project the study region boundaries.</w:t>
      </w:r>
      <w:r>
        <w:br/>
      </w:r>
      <w:r>
        <w:rPr>
          <w:rStyle w:val="NormalTok"/>
        </w:rPr>
        <w:t xml:space="preserve">bb_sf &lt;-</w:t>
      </w:r>
      <w:r>
        <w:rPr>
          <w:rStyle w:val="StringTok"/>
        </w:rPr>
        <w:t xml:space="preserve"> </w:t>
      </w:r>
      <w:r>
        <w:rPr>
          <w:rStyle w:val="KeywordTok"/>
        </w:rPr>
        <w:t xml:space="preserve">st_transform</w:t>
      </w:r>
      <w:r>
        <w:rPr>
          <w:rStyle w:val="NormalTok"/>
        </w:rPr>
        <w:t xml:space="preserve">(bb_sf, </w:t>
      </w:r>
      <w:r>
        <w:rPr>
          <w:rStyle w:val="DecValTok"/>
        </w:rPr>
        <w:t xml:space="preserve">27700</w:t>
      </w:r>
      <w:r>
        <w:rPr>
          <w:rStyle w:val="NormalTok"/>
        </w:rPr>
        <w:t xml:space="preserve">)</w:t>
      </w:r>
      <w:r>
        <w:br/>
      </w:r>
      <w:r>
        <w:br/>
      </w:r>
      <w:r>
        <w:rPr>
          <w:rStyle w:val="CommentTok"/>
        </w:rPr>
        <w:t xml:space="preserve"># Then, make the police data spatial, and clip.</w:t>
      </w:r>
      <w:r>
        <w:br/>
      </w: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 </w:t>
      </w:r>
      <w:r>
        <w:rPr>
          <w:rStyle w:val="OperatorTok"/>
        </w:rPr>
        <w:t xml:space="preserve">%&gt;%</w:t>
      </w:r>
      <w:r>
        <w:br/>
      </w:r>
      <w:r>
        <w:rPr>
          <w:rStyle w:val="StringTok"/>
        </w:rPr>
        <w:t xml:space="preserve">  </w:t>
      </w:r>
      <w:r>
        <w:rPr>
          <w:rStyle w:val="KeywordTok"/>
        </w:rPr>
        <w:t xml:space="preserve">st_intersection</w:t>
      </w:r>
      <w:r>
        <w:rPr>
          <w:rStyle w:val="NormalTok"/>
        </w:rPr>
        <w:t xml:space="preserve">(bb_sf)</w:t>
      </w:r>
    </w:p>
    <w:p>
      <w:pPr>
        <w:pStyle w:val="FirstParagraph"/>
      </w:pPr>
      <w:r>
        <w:t xml:space="preserve">We now have the recorded location of all crimes recorded by the British Transport Police in Greater London during January, 2020. For the purposes of this demonstration, we can define crimes occurring as</w:t>
      </w:r>
      <w:r>
        <w:t xml:space="preserve"> </w:t>
      </w:r>
      <w:r>
        <w:t xml:space="preserve">‘</w:t>
      </w:r>
      <w:r>
        <w:t xml:space="preserve">in and around</w:t>
      </w:r>
      <w:r>
        <w:t xml:space="preserve">’</w:t>
      </w:r>
      <w:r>
        <w:t xml:space="preserve"> </w:t>
      </w:r>
      <w:r>
        <w:t xml:space="preserve">Northern line tube stations by creating a 50 meter buffer around each station, for each source of data, and counting the number of points falling within each. It is worth noting that this definition is somewhat arbitrary, and is subject to the spatial inaccuracy in open police recorded crime data</w:t>
      </w:r>
      <w:r>
        <w:t xml:space="preserve"> </w:t>
      </w:r>
      <w:r>
        <w:t xml:space="preserve">(see Tompson et al. 2015)</w:t>
      </w:r>
      <w:r>
        <w:t xml:space="preserve">, but it does serve to facilitate this demonstration.</w:t>
      </w:r>
    </w:p>
    <w:p>
      <w:pPr>
        <w:pStyle w:val="SourceCode"/>
      </w:pPr>
      <w:r>
        <w:rPr>
          <w:rStyle w:val="CommentTok"/>
        </w:rPr>
        <w:t xml:space="preserve"># Assign the same CRS.</w:t>
      </w:r>
      <w:r>
        <w:br/>
      </w:r>
      <w:r>
        <w:rPr>
          <w:rStyle w:val="NormalTok"/>
        </w:rPr>
        <w:t xml:space="preserve">osm_north_sf &lt;-</w:t>
      </w:r>
      <w:r>
        <w:rPr>
          <w:rStyle w:val="StringTok"/>
        </w:rPr>
        <w:t xml:space="preserve"> </w:t>
      </w:r>
      <w:r>
        <w:rPr>
          <w:rStyle w:val="KeywordTok"/>
        </w:rPr>
        <w:t xml:space="preserve">st_transform</w:t>
      </w:r>
      <w:r>
        <w:rPr>
          <w:rStyle w:val="NormalTok"/>
        </w:rPr>
        <w:t xml:space="preserve">(osm_north_sf, </w:t>
      </w:r>
      <w:r>
        <w:rPr>
          <w:rStyle w:val="DecValTok"/>
        </w:rPr>
        <w:t xml:space="preserve">27700</w:t>
      </w:r>
      <w:r>
        <w:rPr>
          <w:rStyle w:val="NormalTok"/>
        </w:rPr>
        <w:t xml:space="preserve">)</w:t>
      </w:r>
      <w:r>
        <w:br/>
      </w:r>
      <w:r>
        <w:rPr>
          <w:rStyle w:val="NormalTok"/>
        </w:rPr>
        <w:t xml:space="preserve">tfl_north_sf &lt;-</w:t>
      </w:r>
      <w:r>
        <w:rPr>
          <w:rStyle w:val="StringTok"/>
        </w:rPr>
        <w:t xml:space="preserve"> </w:t>
      </w:r>
      <w:r>
        <w:rPr>
          <w:rStyle w:val="KeywordTok"/>
        </w:rPr>
        <w:t xml:space="preserve">st_transform</w:t>
      </w:r>
      <w:r>
        <w:rPr>
          <w:rStyle w:val="NormalTok"/>
        </w:rPr>
        <w:t xml:space="preserve">(tfl_north_sf, </w:t>
      </w:r>
      <w:r>
        <w:rPr>
          <w:rStyle w:val="DecValTok"/>
        </w:rPr>
        <w:t xml:space="preserve">27700</w:t>
      </w:r>
      <w:r>
        <w:rPr>
          <w:rStyle w:val="NormalTok"/>
        </w:rPr>
        <w:t xml:space="preserve">)</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osm_north_sf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tfl_north_sf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point locations according to the crime count. Note that we arrange the plots side-by-side using syntax available using the</w:t>
      </w:r>
      <w:r>
        <w:t xml:space="preserve"> </w:t>
      </w:r>
      <w:r>
        <w:rPr>
          <w:rStyle w:val="VerbatimChar"/>
        </w:rPr>
        <w:t xml:space="preserve">patchwork</w:t>
      </w:r>
      <w:r>
        <w:t xml:space="preserve"> </w:t>
      </w:r>
      <w:r>
        <w:t xml:space="preserve">package.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crimemapcompare-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number of factors emerge from this visualization. First, issues arising from the disparity between the stations identified on the Northern line are compounded. Using the Open Street Map data in isolation, we are grossly underestimating the number of crimes occurring in and around Northern line stations. This could have significant implications for how police allocate resource across the underground network. Secondly, as a result of this, the spatial patterning of crime on underground stations differs considerably between the two data sources. Using the Open Street Map data, the final station on the line, Morden, has the greatest concentration of crimes, whereas the TfL data suggests that the most problematic station is Tottenham Court Road, in the city centre. The conclusions drawn are starkly different, and would determine the consistency of findings with existing research examining crime at underground stations</w:t>
      </w:r>
      <w:r>
        <w:t xml:space="preserve"> </w:t>
      </w:r>
      <w:r>
        <w:t xml:space="preserve">(Ceccato, Uittenbogaard, and Bamzar 2013)</w:t>
      </w:r>
      <w:r>
        <w:t xml:space="preserve">.</w:t>
      </w:r>
    </w:p>
    <w:p>
      <w:pPr>
        <w:pStyle w:val="Heading2"/>
      </w:pPr>
      <w:bookmarkStart w:id="59" w:name="alternative-example"/>
      <w:r>
        <w:t xml:space="preserve">Alternative example</w:t>
      </w:r>
      <w:bookmarkEnd w:id="59"/>
    </w:p>
    <w:p>
      <w:pPr>
        <w:pStyle w:val="FirstParagraph"/>
      </w:pPr>
      <w:r>
        <w:t xml:space="preserve">That said, this is not to say that Open Street Map is an inadequate source of open data for crime and place research. Firstly, it is an ever-growing resource. It is plausible (indeed, likely) that in the near future, the missing information about London Underground lines will be completed. Secondly, as noted, systematic variation in the extent to which individuals have contributed to the database can generate interesting discussions and avenues of research in its own right. Thirdly, this is simply one of thousands of features contained in the Open Street Map database, many of which are more complete. If we were interested in examining concentrations of bicycle theft from bike rental docking stations (so-called</w:t>
      </w:r>
      <w:r>
        <w:t xml:space="preserve"> </w:t>
      </w:r>
      <w:r>
        <w:t xml:space="preserve">“</w:t>
      </w:r>
      <w:r>
        <w:t xml:space="preserve">Boris bikes</w:t>
      </w:r>
      <w:r>
        <w:t xml:space="preserve">”</w:t>
      </w:r>
      <w:r>
        <w:t xml:space="preserve">) in Greater London, we could query the APIs from TfL and Open Street Map, just as we did earlier, but using slightly amended criteria. This is demonstrated below, all in one code chunk.</w:t>
      </w:r>
    </w:p>
    <w:p>
      <w:pPr>
        <w:pStyle w:val="SourceCode"/>
      </w:pP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 </w:t>
      </w:r>
      <w:r>
        <w:br/>
      </w:r>
      <w:r>
        <w:br/>
      </w:r>
      <w:r>
        <w:rPr>
          <w:rStyle w:val="NormalTok"/>
        </w:rPr>
        <w:t xml:space="preserve">osm_bike_sf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'amenity'</w:t>
      </w:r>
      <w:r>
        <w:rPr>
          <w:rStyle w:val="NormalTok"/>
        </w:rPr>
        <w:t xml:space="preserve">, </w:t>
      </w:r>
      <w:r>
        <w:rPr>
          <w:rStyle w:val="DataTypeTok"/>
        </w:rPr>
        <w:t xml:space="preserve">value =</w:t>
      </w:r>
      <w:r>
        <w:rPr>
          <w:rStyle w:val="NormalTok"/>
        </w:rPr>
        <w:t xml:space="preserve"> </w:t>
      </w:r>
      <w:r>
        <w:rPr>
          <w:rStyle w:val="StringTok"/>
        </w:rPr>
        <w:t xml:space="preserve">'bicycle_rental'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br/>
      </w:r>
      <w:r>
        <w:br/>
      </w:r>
      <w:r>
        <w:rPr>
          <w:rStyle w:val="NormalTok"/>
        </w:rPr>
        <w:t xml:space="preserve">osm_bike_sf &lt;-</w:t>
      </w:r>
      <w:r>
        <w:rPr>
          <w:rStyle w:val="StringTok"/>
        </w:rPr>
        <w:t xml:space="preserve"> </w:t>
      </w:r>
      <w:r>
        <w:rPr>
          <w:rStyle w:val="NormalTok"/>
        </w:rPr>
        <w:t xml:space="preserve">osm_bike_sf</w:t>
      </w:r>
      <w:r>
        <w:rPr>
          <w:rStyle w:val="OperatorTok"/>
        </w:rPr>
        <w:t xml:space="preserve">$</w:t>
      </w:r>
      <w:r>
        <w:rPr>
          <w:rStyle w:val="NormalTok"/>
        </w:rPr>
        <w:t xml:space="preserve">osm_points</w:t>
      </w:r>
      <w:r>
        <w:br/>
      </w:r>
      <w:r>
        <w:br/>
      </w:r>
      <w:r>
        <w:rPr>
          <w:rStyle w:val="NormalTok"/>
        </w:rPr>
        <w:t xml:space="preserve">osm_bike_sf &lt;-</w:t>
      </w:r>
      <w:r>
        <w:rPr>
          <w:rStyle w:val="StringTok"/>
        </w:rPr>
        <w:t xml:space="preserve"> </w:t>
      </w:r>
      <w:r>
        <w:rPr>
          <w:rStyle w:val="NormalTok"/>
        </w:rPr>
        <w:t xml:space="preserve">osm_bike_sf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(brand </w:t>
      </w:r>
      <w:r>
        <w:rPr>
          <w:rStyle w:val="OperatorTok"/>
        </w:rPr>
        <w:t xml:space="preserve">==</w:t>
      </w:r>
      <w:r>
        <w:rPr>
          <w:rStyle w:val="StringTok"/>
        </w:rPr>
        <w:t xml:space="preserve"> "Santander Cycles"</w:t>
      </w:r>
      <w:r>
        <w:rPr>
          <w:rStyle w:val="NormalTok"/>
        </w:rPr>
        <w:t xml:space="preserve">)</w:t>
      </w:r>
      <w:r>
        <w:br/>
      </w:r>
      <w:r>
        <w:br/>
      </w:r>
      <w:r>
        <w:rPr>
          <w:rStyle w:val="NormalTok"/>
        </w:rPr>
        <w:t xml:space="preserve">tfl_bike_sf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"https://api.tfl.gov.uk/bikepoint"</w:t>
      </w:r>
      <w:r>
        <w:rPr>
          <w:rStyle w:val="NormalTok"/>
        </w:rPr>
        <w:t xml:space="preserve">))</w:t>
      </w:r>
      <w:r>
        <w:br/>
      </w:r>
      <w:r>
        <w:br/>
      </w:r>
      <w:r>
        <w:rPr>
          <w:rStyle w:val="NormalTok"/>
        </w:rPr>
        <w:t xml:space="preserve">tfl_bike_sf &lt;-</w:t>
      </w:r>
      <w:r>
        <w:rPr>
          <w:rStyle w:val="StringTok"/>
        </w:rPr>
        <w:t xml:space="preserve"> </w:t>
      </w:r>
      <w:r>
        <w:rPr>
          <w:rStyle w:val="NormalTok"/>
        </w:rPr>
        <w:t xml:space="preserve">tfl_bike_sf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osm_bike_sf)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tfl_bike_sf,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chapter_files/figure-docx/bikexampl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showcased, the resulting visualizations are highly similar (a Spatial Point Pattern Test will confirm this, see Chapter 8, Topic 4). Refer back to the example earlier if some of the code is unclear. Note that this is a major benefit of using an API wrapper from within R, because the code used to query each feature can easily be re-used, with minor amendments, to extract different information.</w:t>
      </w:r>
    </w:p>
    <w:p>
      <w:pPr>
        <w:pStyle w:val="Heading1"/>
      </w:pPr>
      <w:bookmarkStart w:id="61" w:name="discussion"/>
      <w:r>
        <w:t xml:space="preserve">Discussion</w:t>
      </w:r>
      <w:bookmarkEnd w:id="61"/>
    </w:p>
    <w:p>
      <w:pPr>
        <w:pStyle w:val="Heading2"/>
      </w:pPr>
      <w:bookmarkStart w:id="62" w:name="summary"/>
      <w:r>
        <w:t xml:space="preserve">Summary</w:t>
      </w:r>
      <w:bookmarkEnd w:id="62"/>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By way of an example, we accessed different sources of open data in order to explore crime concentrations at London Underground stations: police recorded crime data via a direct download from a public sector website, transport data via directly querying a public sector API, hosted by Transport for London, and the equivalent transport data retrieved from a crowdsourced database, Open Street Map, using an API wrapper. We found key differences between the two sources of transport data. Specifically, missing information in Open Street Map resulted in a skewed picture of crime occurring in and around underground stations. This highlighted both the power of open data, but also its shortcomings. We concluded with an additional demonstration using bike rental docking stations in Greater London, which showcased a scenario in which both public sector and crowdsourced open data provide unique (and comparable) insight.</w:t>
      </w:r>
    </w:p>
    <w:p>
      <w:pPr>
        <w:pStyle w:val="Heading2"/>
      </w:pPr>
      <w:bookmarkStart w:id="63" w:name="future-of-open-data"/>
      <w:r>
        <w:t xml:space="preserve">Future of open data</w:t>
      </w:r>
      <w:bookmarkEnd w:id="63"/>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which traces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64" w:name="references"/>
      <w:r>
        <w:t xml:space="preserve">References</w:t>
      </w:r>
      <w:bookmarkEnd w:id="64"/>
    </w:p>
    <w:bookmarkStart w:id="95" w:name="refs"/>
    <w:bookmarkStart w:id="65" w:name="ref-boyd2012critical"/>
    <w:p>
      <w:pPr>
        <w:pStyle w:val="Bibliography"/>
      </w:pPr>
      <w:r>
        <w:t xml:space="preserve">Boyd, Danah, and Kate Crawford. 2012. “Critical Questions for Big Data: Provocations for a Cultural, Technological, and Scholarly Phenomenon.”</w:t>
      </w:r>
      <w:r>
        <w:t xml:space="preserve"> </w:t>
      </w:r>
      <w:r>
        <w:rPr>
          <w:i/>
        </w:rPr>
        <w:t xml:space="preserve">Information, Communication &amp; Society</w:t>
      </w:r>
      <w:r>
        <w:t xml:space="preserve"> </w:t>
      </w:r>
      <w:r>
        <w:t xml:space="preserve">15 (5): 662–79.</w:t>
      </w:r>
    </w:p>
    <w:bookmarkEnd w:id="65"/>
    <w:bookmarkStart w:id="66" w:name="ref-budhathoki2010participants"/>
    <w:p>
      <w:pPr>
        <w:pStyle w:val="Bibliography"/>
      </w:pPr>
      <w:r>
        <w:t xml:space="preserve">Budhathoki, Nama R. 2010. “Participants’ Motivations to Contribute Geographic Information in an Online Community.” PhD thesis, University of Illinois at Urbana-Champaign.</w:t>
      </w:r>
    </w:p>
    <w:bookmarkEnd w:id="66"/>
    <w:bookmarkStart w:id="67" w:name="ref-ceccato2013security"/>
    <w:p>
      <w:pPr>
        <w:pStyle w:val="Bibliography"/>
      </w:pPr>
      <w:r>
        <w:t xml:space="preserve">Ceccato, Vania, Adriaan Uittenbogaard, and Roya Bamzar. 2013. “Security in Stockholm’s Underground Stations: The Importance of Environmental Attributes and Context.”</w:t>
      </w:r>
      <w:r>
        <w:t xml:space="preserve"> </w:t>
      </w:r>
      <w:r>
        <w:rPr>
          <w:i/>
        </w:rPr>
        <w:t xml:space="preserve">Security Journal</w:t>
      </w:r>
      <w:r>
        <w:t xml:space="preserve"> </w:t>
      </w:r>
      <w:r>
        <w:t xml:space="preserve">26 (1): 33–59.</w:t>
      </w:r>
    </w:p>
    <w:bookmarkEnd w:id="67"/>
    <w:bookmarkStart w:id="69" w:name="ref-dietrich2009open"/>
    <w:p>
      <w:pPr>
        <w:pStyle w:val="Bibliography"/>
      </w:pPr>
      <w:r>
        <w:t xml:space="preserve">Dietrich, Daniel, Jonathan Gray, Tim McNamara, Antti Poikola, P Pollock, Julian Tait, Ton Zijlstra, and others. 2009. “Open Data Handbook.”</w:t>
      </w:r>
      <w:r>
        <w:t xml:space="preserve"> </w:t>
      </w:r>
      <w:r>
        <w:rPr>
          <w:i/>
        </w:rPr>
        <w:t xml:space="preserve">Open Knowledge International</w:t>
      </w:r>
      <w:r>
        <w:t xml:space="preserve">.</w:t>
      </w:r>
      <w:r>
        <w:t xml:space="preserve"> </w:t>
      </w:r>
      <w:hyperlink r:id="rId68">
        <w:r>
          <w:rPr>
            <w:rStyle w:val="Hyperlink"/>
          </w:rPr>
          <w:t xml:space="preserve">https://opendatahandbook.org/guide/en/what-is-open-data/</w:t>
        </w:r>
      </w:hyperlink>
      <w:r>
        <w:t xml:space="preserve">.</w:t>
      </w:r>
    </w:p>
    <w:bookmarkEnd w:id="69"/>
    <w:bookmarkStart w:id="70" w:name="ref-ellison2006managing"/>
    <w:p>
      <w:pPr>
        <w:pStyle w:val="Bibliography"/>
      </w:pPr>
      <w:r>
        <w:t xml:space="preserve">Ellison, Nicole, Rebecca Heino, and Jennifer Gibbs. 2006. “Managing Impressions Online: Self-Presentation Processes in the Online Dating Environment.”</w:t>
      </w:r>
      <w:r>
        <w:t xml:space="preserve"> </w:t>
      </w:r>
      <w:r>
        <w:rPr>
          <w:i/>
        </w:rPr>
        <w:t xml:space="preserve">Journal of Computer-Mediated Communication</w:t>
      </w:r>
      <w:r>
        <w:t xml:space="preserve"> </w:t>
      </w:r>
      <w:r>
        <w:t xml:space="preserve">11 (2): 415–41.</w:t>
      </w:r>
    </w:p>
    <w:bookmarkEnd w:id="70"/>
    <w:bookmarkStart w:id="71" w:name="ref-foster2016big"/>
    <w:p>
      <w:pPr>
        <w:pStyle w:val="Bibliography"/>
      </w:pPr>
      <w:r>
        <w:t xml:space="preserve">Foster, Ian, Rayid Ghani, Ron S Jarmin, Frauke Kreuter, and Julia Lane. 2016.</w:t>
      </w:r>
      <w:r>
        <w:t xml:space="preserve"> </w:t>
      </w:r>
      <w:r>
        <w:rPr>
          <w:i/>
        </w:rPr>
        <w:t xml:space="preserve">Big Data and Social Science: A Practical Guide to Methods and Tools</w:t>
      </w:r>
      <w:r>
        <w:t xml:space="preserve">. crc Press.</w:t>
      </w:r>
    </w:p>
    <w:bookmarkEnd w:id="71"/>
    <w:bookmarkStart w:id="72" w:name="ref-haklay2010good"/>
    <w:p>
      <w:pPr>
        <w:pStyle w:val="Bibliography"/>
      </w:pPr>
      <w:r>
        <w:t xml:space="preserve">Haklay, Mordechai. 2010. “How Good Is Volunteered Geographical Information? A Comparative Study of Openstreetmap and Ordnance Survey Datasets.”</w:t>
      </w:r>
      <w:r>
        <w:t xml:space="preserve"> </w:t>
      </w:r>
      <w:r>
        <w:rPr>
          <w:i/>
        </w:rPr>
        <w:t xml:space="preserve">Environment and Planning B: Planning and Design</w:t>
      </w:r>
      <w:r>
        <w:t xml:space="preserve"> </w:t>
      </w:r>
      <w:r>
        <w:t xml:space="preserve">37 (4): 682–703.</w:t>
      </w:r>
    </w:p>
    <w:bookmarkEnd w:id="72"/>
    <w:bookmarkStart w:id="73" w:name="ref-hudson2018colouring"/>
    <w:p>
      <w:pPr>
        <w:pStyle w:val="Bibliography"/>
      </w:pPr>
      <w:r>
        <w:t xml:space="preserve">Hudson, Polly, Adam Dennett, Thomas Russell, and Duncan Smith.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73"/>
    <w:bookmarkStart w:id="74" w:name="ref-kitchin2014data"/>
    <w:p>
      <w:pPr>
        <w:pStyle w:val="Bibliography"/>
      </w:pPr>
      <w:r>
        <w:t xml:space="preserve">Kitchin, Rob. 2014.</w:t>
      </w:r>
      <w:r>
        <w:t xml:space="preserve"> </w:t>
      </w:r>
      <w:r>
        <w:rPr>
          <w:i/>
        </w:rPr>
        <w:t xml:space="preserve">The Data Revolution: Big Data, Open Data, Data Infrastructures and Their Consequences</w:t>
      </w:r>
      <w:r>
        <w:t xml:space="preserve">. SAGE Publications.</w:t>
      </w:r>
    </w:p>
    <w:bookmarkEnd w:id="74"/>
    <w:bookmarkStart w:id="75" w:name="ref-langton2017residential"/>
    <w:p>
      <w:pPr>
        <w:pStyle w:val="Bibliography"/>
      </w:pPr>
      <w:r>
        <w:t xml:space="preserve">Langton, Samuel H, and Wouter Steenbeek. 2017. “Residential Burglary Target Selection: An Analysis at the Property-Level Using Google Street View.”</w:t>
      </w:r>
      <w:r>
        <w:t xml:space="preserve"> </w:t>
      </w:r>
      <w:r>
        <w:rPr>
          <w:i/>
        </w:rPr>
        <w:t xml:space="preserve">Applied Geography</w:t>
      </w:r>
      <w:r>
        <w:t xml:space="preserve"> </w:t>
      </w:r>
      <w:r>
        <w:t xml:space="preserve">86: 292–99.</w:t>
      </w:r>
    </w:p>
    <w:bookmarkEnd w:id="75"/>
    <w:bookmarkStart w:id="76" w:name="ref-longley2012geodemographics"/>
    <w:p>
      <w:pPr>
        <w:pStyle w:val="Bibliography"/>
      </w:pPr>
      <w:r>
        <w:t xml:space="preserve">Longley, Paul A. 2012. “Geodemographics and the Practices of Geographic Information Science.”</w:t>
      </w:r>
      <w:r>
        <w:t xml:space="preserve"> </w:t>
      </w:r>
      <w:r>
        <w:rPr>
          <w:i/>
        </w:rPr>
        <w:t xml:space="preserve">International Journal of Geographical Information Science</w:t>
      </w:r>
      <w:r>
        <w:t xml:space="preserve"> </w:t>
      </w:r>
      <w:r>
        <w:t xml:space="preserve">26 (12): 2227–37.</w:t>
      </w:r>
    </w:p>
    <w:bookmarkEnd w:id="76"/>
    <w:bookmarkStart w:id="77" w:name="ref-loukaitou1999hot"/>
    <w:p>
      <w:pPr>
        <w:pStyle w:val="Bibliography"/>
      </w:pPr>
      <w:r>
        <w:t xml:space="preserve">Loukaitou-Sideris, Anastasia. 1999. “Hot Spots of Bus Stop Crime: The Importance of Environmental Attributes.”</w:t>
      </w:r>
      <w:r>
        <w:t xml:space="preserve"> </w:t>
      </w:r>
      <w:r>
        <w:rPr>
          <w:i/>
        </w:rPr>
        <w:t xml:space="preserve">Journal of the American Planning Association</w:t>
      </w:r>
      <w:r>
        <w:t xml:space="preserve"> </w:t>
      </w:r>
      <w:r>
        <w:t xml:space="preserve">65 (4): 395–411.</w:t>
      </w:r>
    </w:p>
    <w:bookmarkEnd w:id="77"/>
    <w:bookmarkStart w:id="78" w:name="ref-malleson2015impact"/>
    <w:p>
      <w:pPr>
        <w:pStyle w:val="Bibliography"/>
      </w:pPr>
      <w:r>
        <w:t xml:space="preserve">Malleson, Nick, and Martin A Andresen. 2015. “The Impact of Using Social Media Data in Crime Rate Calculations: Shifting Hot Spots and Changing Spatial Patterns.”</w:t>
      </w:r>
      <w:r>
        <w:t xml:space="preserve"> </w:t>
      </w:r>
      <w:r>
        <w:rPr>
          <w:i/>
        </w:rPr>
        <w:t xml:space="preserve">Cartography and Geographic Information Science</w:t>
      </w:r>
      <w:r>
        <w:t xml:space="preserve"> </w:t>
      </w:r>
      <w:r>
        <w:t xml:space="preserve">42 (2): 112–21.</w:t>
      </w:r>
    </w:p>
    <w:bookmarkEnd w:id="78"/>
    <w:bookmarkStart w:id="79" w:name="ref-manovich2011trending"/>
    <w:p>
      <w:pPr>
        <w:pStyle w:val="Bibliography"/>
      </w:pPr>
      <w:r>
        <w:t xml:space="preserve">Manovich, Lev. 2011. “Trending: The Promises and the Challenges of Big Social Data.”</w:t>
      </w:r>
      <w:r>
        <w:t xml:space="preserve"> </w:t>
      </w:r>
      <w:r>
        <w:rPr>
          <w:i/>
        </w:rPr>
        <w:t xml:space="preserve">Debates in the Digital Humanities</w:t>
      </w:r>
      <w:r>
        <w:t xml:space="preserve"> </w:t>
      </w:r>
      <w:r>
        <w:t xml:space="preserve">2: 460–75.</w:t>
      </w:r>
    </w:p>
    <w:bookmarkEnd w:id="79"/>
    <w:bookmarkStart w:id="80" w:name="ref-mashhadi2013putting"/>
    <w:p>
      <w:pPr>
        <w:pStyle w:val="Bibliography"/>
      </w:pPr>
      <w:r>
        <w:t xml:space="preserve">Mashhadi, Afra, Giovanni Quattrone, and Licia Capra. 2013. “Putting Ubiquitous Crowd-Sourcing into Context.” In</w:t>
      </w:r>
      <w:r>
        <w:t xml:space="preserve"> </w:t>
      </w:r>
      <w:r>
        <w:rPr>
          <w:i/>
        </w:rPr>
        <w:t xml:space="preserve">Proceedings of the 2013 Conference on Computer Supported Cooperative Work</w:t>
      </w:r>
      <w:r>
        <w:t xml:space="preserve">, 611–22.</w:t>
      </w:r>
    </w:p>
    <w:bookmarkEnd w:id="80"/>
    <w:bookmarkStart w:id="81" w:name="ref-mayer2013big"/>
    <w:p>
      <w:pPr>
        <w:pStyle w:val="Bibliography"/>
      </w:pPr>
      <w:r>
        <w:t xml:space="preserve">Mayer-Schönberger, Viktor, and Kenneth Cukier. 2013.</w:t>
      </w:r>
      <w:r>
        <w:t xml:space="preserve"> </w:t>
      </w:r>
      <w:r>
        <w:rPr>
          <w:i/>
        </w:rPr>
        <w:t xml:space="preserve">Big Data: A Revolution That Will Transform How We Live, Work, and Think</w:t>
      </w:r>
      <w:r>
        <w:t xml:space="preserve">. Houghton Mifflin Harcourt.</w:t>
      </w:r>
    </w:p>
    <w:bookmarkEnd w:id="81"/>
    <w:bookmarkStart w:id="82" w:name="ref-newton2004crime"/>
    <w:p>
      <w:pPr>
        <w:pStyle w:val="Bibliography"/>
      </w:pPr>
      <w:r>
        <w:t xml:space="preserve">Newton, Andrew D, Shane D Johnson, and Kate J Bowers. 2004. “Crime on Bus Routes: An Evaluation of a Safer Travel Initiative.”</w:t>
      </w:r>
      <w:r>
        <w:t xml:space="preserve"> </w:t>
      </w:r>
      <w:r>
        <w:rPr>
          <w:i/>
        </w:rPr>
        <w:t xml:space="preserve">Policing: An International Journal of Police Strategies &amp; Management</w:t>
      </w:r>
      <w:r>
        <w:t xml:space="preserve">.</w:t>
      </w:r>
    </w:p>
    <w:bookmarkEnd w:id="82"/>
    <w:bookmarkStart w:id="83" w:name="ref-olmedilla2016harvesting"/>
    <w:p>
      <w:pPr>
        <w:pStyle w:val="Bibliography"/>
      </w:pPr>
      <w:r>
        <w:t xml:space="preserve">Olmedilla, M, M Rocı́o Martı́nez-Torres, and SL Toral. 2016. “Harvesting Big Data in Social Science: A Methodological Approach for Collecting Online User-Generated Content.”</w:t>
      </w:r>
      <w:r>
        <w:t xml:space="preserve"> </w:t>
      </w:r>
      <w:r>
        <w:rPr>
          <w:i/>
        </w:rPr>
        <w:t xml:space="preserve">Computer Standards &amp; Interfaces</w:t>
      </w:r>
      <w:r>
        <w:t xml:space="preserve"> </w:t>
      </w:r>
      <w:r>
        <w:t xml:space="preserve">46: 79–87.</w:t>
      </w:r>
    </w:p>
    <w:bookmarkEnd w:id="83"/>
    <w:bookmarkStart w:id="85" w:name="ref-knowledge2016open"/>
    <w:p>
      <w:pPr>
        <w:pStyle w:val="Bibliography"/>
      </w:pPr>
      <w:r>
        <w:t xml:space="preserve">Open Knowledge Foundation. 2016. “Open Definition Version 2.1.”</w:t>
      </w:r>
      <w:r>
        <w:t xml:space="preserve"> </w:t>
      </w:r>
      <w:hyperlink r:id="rId84">
        <w:r>
          <w:rPr>
            <w:rStyle w:val="Hyperlink"/>
          </w:rPr>
          <w:t xml:space="preserve">https://opendefinition.org/od/2.1/en/</w:t>
        </w:r>
      </w:hyperlink>
      <w:r>
        <w:t xml:space="preserve">.</w:t>
      </w:r>
    </w:p>
    <w:bookmarkEnd w:id="85"/>
    <w:bookmarkStart w:id="87" w:name="ref-globopendata"/>
    <w:p>
      <w:pPr>
        <w:pStyle w:val="Bibliography"/>
      </w:pPr>
      <w:r>
        <w:t xml:space="preserve">———. 2020. “Global Open Data Index.”</w:t>
      </w:r>
      <w:r>
        <w:t xml:space="preserve"> </w:t>
      </w:r>
      <w:hyperlink r:id="rId86">
        <w:r>
          <w:rPr>
            <w:rStyle w:val="Hyperlink"/>
          </w:rPr>
          <w:t xml:space="preserve">https://index.okfn.org/</w:t>
        </w:r>
      </w:hyperlink>
      <w:r>
        <w:t xml:space="preserve">.</w:t>
      </w:r>
    </w:p>
    <w:bookmarkEnd w:id="87"/>
    <w:bookmarkStart w:id="88" w:name="ref-pridemore2018replication"/>
    <w:p>
      <w:pPr>
        <w:pStyle w:val="Bibliography"/>
      </w:pPr>
      <w:r>
        <w:t xml:space="preserve">Pridemore, William Alex, Matthew C Makel, and Jonathan A Plucker. 2018. “Replication in Criminology and the Social Sciences.”</w:t>
      </w:r>
      <w:r>
        <w:t xml:space="preserve"> </w:t>
      </w:r>
      <w:r>
        <w:rPr>
          <w:i/>
        </w:rPr>
        <w:t xml:space="preserve">Annual Review of Criminology</w:t>
      </w:r>
      <w:r>
        <w:t xml:space="preserve"> </w:t>
      </w:r>
      <w:r>
        <w:t xml:space="preserve">1: 19–38.</w:t>
      </w:r>
    </w:p>
    <w:bookmarkEnd w:id="88"/>
    <w:bookmarkStart w:id="89" w:name="ref-solymosi2018role"/>
    <w:p>
      <w:pPr>
        <w:pStyle w:val="Bibliography"/>
      </w:pPr>
      <w:r>
        <w:t xml:space="preserve">Solymosi, Reka, and Kate Bowers. 2018. “The Role of Innovative Data Collection Methods in Advancing Criminological Understanding.”</w:t>
      </w:r>
      <w:r>
        <w:t xml:space="preserve"> </w:t>
      </w:r>
      <w:r>
        <w:rPr>
          <w:i/>
        </w:rPr>
        <w:t xml:space="preserve">The Oxford Handbook of Environmental Criminology</w:t>
      </w:r>
      <w:r>
        <w:t xml:space="preserve"> </w:t>
      </w:r>
      <w:r>
        <w:t xml:space="preserve">210: 210–37.</w:t>
      </w:r>
    </w:p>
    <w:bookmarkEnd w:id="89"/>
    <w:bookmarkStart w:id="90" w:name="ref-solymosi2018crowdsourcing"/>
    <w:p>
      <w:pPr>
        <w:pStyle w:val="Bibliography"/>
      </w:pPr>
      <w:r>
        <w:t xml:space="preserve">Solymosi, Reka, Kate J Bowers, and Taku Fujiyama. 2018. “Crowdsourcing Subjective Perceptions of Neighbourhood Disorder: Interpreting Bias in Open Data.”</w:t>
      </w:r>
      <w:r>
        <w:t xml:space="preserve"> </w:t>
      </w:r>
      <w:r>
        <w:rPr>
          <w:i/>
        </w:rPr>
        <w:t xml:space="preserve">The British Journal of Criminology</w:t>
      </w:r>
      <w:r>
        <w:t xml:space="preserve"> </w:t>
      </w:r>
      <w:r>
        <w:t xml:space="preserve">58 (4): 944–67.</w:t>
      </w:r>
    </w:p>
    <w:bookmarkEnd w:id="90"/>
    <w:bookmarkStart w:id="91" w:name="ref-streetsyntax2017"/>
    <w:p>
      <w:pPr>
        <w:pStyle w:val="Bibliography"/>
      </w:pPr>
      <w:r>
        <w:t xml:space="preserve">Summers, Lucia, and Shane D Johnson.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 </w:t>
      </w:r>
      <w:r>
        <w:t xml:space="preserve">33 (2): 397–420.</w:t>
      </w:r>
    </w:p>
    <w:bookmarkEnd w:id="91"/>
    <w:bookmarkStart w:id="92" w:name="ref-tompson2015uk"/>
    <w:p>
      <w:pPr>
        <w:pStyle w:val="Bibliography"/>
      </w:pPr>
      <w:r>
        <w:t xml:space="preserve">Tompson, Lisa, Shane Johnson, Matthew Ashby, Chloe Perkins, and Phillip Edwards. 2015. “UK Open Source Crime Data: Accuracy and Possibilities for Research.”</w:t>
      </w:r>
      <w:r>
        <w:t xml:space="preserve"> </w:t>
      </w:r>
      <w:r>
        <w:rPr>
          <w:i/>
        </w:rPr>
        <w:t xml:space="preserve">Cartography and Geographic Information Science</w:t>
      </w:r>
      <w:r>
        <w:t xml:space="preserve"> </w:t>
      </w:r>
      <w:r>
        <w:t xml:space="preserve">42 (2): 97–111.</w:t>
      </w:r>
    </w:p>
    <w:bookmarkEnd w:id="92"/>
    <w:bookmarkStart w:id="94" w:name="ref-vuong2017open"/>
    <w:p>
      <w:pPr>
        <w:pStyle w:val="Bibliography"/>
      </w:pPr>
      <w:r>
        <w:t xml:space="preserve">Vuong, Quan Hoang. 2017. “Open Data, Open Review and Open Dialogue in Making Social Sciences Plausible.”</w:t>
      </w:r>
      <w:r>
        <w:t xml:space="preserve"> </w:t>
      </w:r>
      <w:r>
        <w:rPr>
          <w:i/>
        </w:rPr>
        <w:t xml:space="preserve">Nature: Scientific Data Updates</w:t>
      </w:r>
      <w:r>
        <w:t xml:space="preserve">.</w:t>
      </w:r>
      <w:r>
        <w:t xml:space="preserve"> </w:t>
      </w:r>
      <w:hyperlink r:id="rId93">
        <w:r>
          <w:rPr>
            <w:rStyle w:val="Hyperlink"/>
          </w:rPr>
          <w:t xml:space="preserve">https://ssrn.com/abstract=3086667</w:t>
        </w:r>
      </w:hyperlink>
      <w:r>
        <w:t xml:space="preserv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_rels/footnotes.xml.rels><?xml version="1.0" encoding="UTF-8"?>
<Relationships xmlns="http://schemas.openxmlformats.org/package/2006/relationships"><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dc:title>
  <dc:creator/>
  <cp:keywords/>
  <dcterms:created xsi:type="dcterms:W3CDTF">2020-06-11T07:16:12Z</dcterms:created>
  <dcterms:modified xsi:type="dcterms:W3CDTF">2020-06-11T07:16:12Z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June 2020</vt:lpwstr>
  </property>
  <property fmtid="{D5CDD505-2E9C-101B-9397-08002B2CF9AE}" pid="4" name="editor_options">
    <vt:lpwstr/>
  </property>
  <property fmtid="{D5CDD505-2E9C-101B-9397-08002B2CF9AE}" pid="5" name="output">
    <vt:lpwstr/>
  </property>
</Properties>
</file>