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6.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Author"/>
      </w:pPr>
      <w:r>
        <w:t xml:space="preserve">Samuel</w:t>
      </w:r>
      <w:r>
        <w:t xml:space="preserve"> </w:t>
      </w:r>
      <w:r>
        <w:t xml:space="preserve">Langton</w:t>
      </w:r>
    </w:p>
    <w:p>
      <w:pPr>
        <w:pStyle w:val="Author"/>
      </w:pPr>
      <w:r>
        <w:t xml:space="preserve">Reka</w:t>
      </w:r>
      <w:r>
        <w:t xml:space="preserve"> </w:t>
      </w:r>
      <w:r>
        <w:t xml:space="preserve">Solymosi</w:t>
      </w:r>
    </w:p>
    <w:p>
      <w:pPr>
        <w:pStyle w:val="FirstParagraph"/>
      </w:pPr>
      <w:r>
        <w:t xml:space="preserve">This is an unedited draft, not for citation, of a book chapter that has been accepted for publication in E. Groff and C. Haberman (Eds.), The study of crime and place: A methods handbook (Temple University Press, 2021). Temple University Press retains all rights and subrights of this document. This pre-print is not published under a CC license.</w:t>
      </w:r>
    </w:p>
    <w:p>
      <w:pPr>
        <w:pStyle w:val="BodyText"/>
      </w:pPr>
      <w:r>
        <w:rPr>
          <w:b/>
        </w:rPr>
        <w:t xml:space="preserve">Keywords:</w:t>
      </w:r>
      <w:r>
        <w:t xml:space="preserve"> </w:t>
      </w:r>
      <w:r>
        <w:t xml:space="preserve">crime, open data, Open Street Map, transport, geography.</w:t>
      </w:r>
    </w:p>
    <w:p>
      <w:pPr>
        <w:pStyle w:val="BodyText"/>
      </w:pPr>
      <w:r>
        <w:rPr>
          <w:b/>
        </w:rPr>
        <w:t xml:space="preserve">Corresponding author:</w:t>
      </w:r>
      <w:r>
        <w:t xml:space="preserve"> </w:t>
      </w:r>
      <w:r>
        <w:t xml:space="preserve">Samuel Langton, Manchester Metropolitan University, Crime and Well-Being</w:t>
      </w:r>
    </w:p>
    <w:p>
      <w:pPr>
        <w:pStyle w:val="BodyText"/>
      </w:pPr>
      <w:r>
        <w:t xml:space="preserve">Big Data Centre, Geoffrey Manton Building, Manchester, M16 6EB, United Kingdom.</w:t>
      </w:r>
    </w:p>
    <w:p>
      <w:pPr>
        <w:pStyle w:val="BodyText"/>
      </w:pPr>
      <w:r>
        <w:t xml:space="preserve">Telephone: +44 (0)161 247 2000. Email:</w:t>
      </w:r>
      <w:r>
        <w:t xml:space="preserve"> </w:t>
      </w:r>
      <w:hyperlink r:id="rId20">
        <w:r>
          <w:rPr>
            <w:rStyle w:val="Hyperlink"/>
          </w:rPr>
          <w:t xml:space="preserve">s.langton@mmu.ac.uk</w:t>
        </w:r>
      </w:hyperlink>
      <w:r>
        <w:t xml:space="preserve">.</w:t>
      </w:r>
    </w:p>
    <w:p>
      <w:r>
        <w:pict>
          <v:rect style="width:0;height:1.5pt" o:hralign="center" o:hrstd="t" o:hr="t"/>
        </w:pict>
      </w:r>
    </w:p>
    <w:p>
      <w:pPr>
        <w:pStyle w:val="FirstParagraph"/>
      </w:pPr>
      <w:r>
        <w:t xml:space="preserve">Department of Sociology, Manchester Metropolitan University, Manchester, United Kingdom. ORCID: 0000-0002-1322-1553.</w:t>
      </w:r>
    </w:p>
    <w:p>
      <w:pPr>
        <w:pStyle w:val="BodyText"/>
      </w:pPr>
      <w:r>
        <w:t xml:space="preserve">School of Social Sciences, University of Manchester, Manchester, United Kingdom. ORCID: 0000-0001-8689-1526.</w:t>
      </w:r>
    </w:p>
    <w:p>
      <w:r>
        <w:br w:type="page"/>
      </w:r>
    </w:p>
    <w:p>
      <w:pPr>
        <w:pStyle w:val="Heading1"/>
      </w:pPr>
      <w:bookmarkStart w:id="21" w:name="introduction"/>
      <w:r>
        <w:t xml:space="preserve">Introduction</w:t>
      </w:r>
      <w:bookmarkEnd w:id="21"/>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&amp; Bowers, 2018)</w:t>
      </w:r>
      <w:r>
        <w:t xml:space="preserve">. As such, it is important that social scientists, researchers, crime analysts, and others interested in making sense of the world around them have the skills and know-how to access, interpret, critique, and analyse open datasets.</w:t>
      </w:r>
    </w:p>
    <w:p>
      <w:pPr>
        <w:pStyle w:val="BodyText"/>
      </w:pPr>
      <w:r>
        <w:t xml:space="preserve">This chapter will outline how to develop such skills by providing a framework to approach and meaningfully interpret open data. The chapter also offers a practical hands-on guide to demonstrate how to access, wrangle, and analyse different sources of open data in order to draw conclusions about crime and place.</w:t>
      </w:r>
    </w:p>
    <w:p>
      <w:pPr>
        <w:pStyle w:val="Heading1"/>
      </w:pPr>
      <w:bookmarkStart w:id="22" w:name="background"/>
      <w:r>
        <w:t xml:space="preserve">Background</w:t>
      </w:r>
      <w:bookmarkEnd w:id="22"/>
    </w:p>
    <w:p>
      <w:pPr>
        <w:pStyle w:val="Heading2"/>
      </w:pPr>
      <w:bookmarkStart w:id="23" w:name="what-is-open-data"/>
      <w:r>
        <w:t xml:space="preserve">What is open data?</w:t>
      </w:r>
      <w:bookmarkEnd w:id="23"/>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 a hallmark for open science research practice. Opening up datasets used in criminology publications and wider social sciences fosters and facilitates a culture of replication</w:t>
      </w:r>
      <w:r>
        <w:t xml:space="preserve"> </w:t>
      </w:r>
      <w:r>
        <w:t xml:space="preserve">(Pridemore et al.,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4">
        <w:r>
          <w:rPr>
            <w:rStyle w:val="Hyperlink"/>
          </w:rPr>
          <w:t xml:space="preserve">https://osf.io/</w:t>
        </w:r>
      </w:hyperlink>
      <w:r>
        <w:t xml:space="preserve">), data (e.g. </w:t>
      </w:r>
      <w:hyperlink r:id="rId25">
        <w:r>
          <w:rPr>
            <w:rStyle w:val="Hyperlink"/>
          </w:rPr>
          <w:t xml:space="preserve">https://www.ukdataservice.ac.uk/deposit-data</w:t>
        </w:r>
      </w:hyperlink>
      <w:r>
        <w:t xml:space="preserve">) and code (e.g. </w:t>
      </w:r>
      <w:hyperlink r:id="rId26">
        <w:r>
          <w:rPr>
            <w:rStyle w:val="Hyperlink"/>
          </w:rPr>
          <w:t xml:space="preserve">https://github.com/</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7" w:name="what-are-types-of-open-data"/>
      <w:r>
        <w:t xml:space="preserve">What are types of open data?</w:t>
      </w:r>
      <w:bookmarkEnd w:id="27"/>
    </w:p>
    <w:p>
      <w:pPr>
        <w:pStyle w:val="FirstParagraph"/>
      </w:pPr>
      <w:r>
        <w:t xml:space="preserve">Now we have a reasonable idea about what open data is in a broad sense, we can consider the different types of open data which you might come across. Here, we formulate a typology of open datasets based on their origin.</w:t>
      </w:r>
    </w:p>
    <w:p>
      <w:pPr>
        <w:pStyle w:val="Heading3"/>
      </w:pPr>
      <w:bookmarkStart w:id="28" w:name="public-sector"/>
      <w:r>
        <w:t xml:space="preserve">Public sector</w:t>
      </w:r>
      <w:bookmarkEnd w:id="28"/>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of providing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datasets of interest in this particular domain might include data describing urban structure, such as street networks, to assess whether the configuration of roads dictates things like violent crime victimization</w:t>
      </w:r>
      <w:r>
        <w:t xml:space="preserve"> </w:t>
      </w:r>
      <w:r>
        <w:t xml:space="preserve">(Summers &amp; Johnson, 2017)</w:t>
      </w:r>
      <w:r>
        <w:t xml:space="preserve">, or victimisation surveys to quantify citizens’ perceived safety and security.</w:t>
      </w:r>
    </w:p>
    <w:p>
      <w:pPr>
        <w:pStyle w:val="Heading3"/>
      </w:pPr>
      <w:bookmarkStart w:id="29" w:name="private-sector"/>
      <w:r>
        <w:t xml:space="preserve">Private sector</w:t>
      </w:r>
      <w:bookmarkEnd w:id="29"/>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30">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&amp; Steenbeek, 2017)</w:t>
      </w:r>
      <w:r>
        <w:t xml:space="preserve"> </w:t>
      </w:r>
      <w:r>
        <w:t xml:space="preserve">and Twitter</w:t>
      </w:r>
      <w:r>
        <w:t xml:space="preserve"> </w:t>
      </w:r>
      <w:r>
        <w:t xml:space="preserve">(Malleson &amp; Andresen, 2015)</w:t>
      </w:r>
      <w:r>
        <w:t xml:space="preserve">. In fact, you will learn to how to obtain free Twitter data for such purposes in this book (see Chapter 6, Topic 7).</w:t>
      </w:r>
    </w:p>
    <w:p>
      <w:pPr>
        <w:pStyle w:val="Heading3"/>
      </w:pPr>
      <w:bookmarkStart w:id="31" w:name="open-crowdsourced-data"/>
      <w:r>
        <w:t xml:space="preserve">Open crowdsourced data</w:t>
      </w:r>
      <w:bookmarkEnd w:id="31"/>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datasets. Examples include Wikipedia (</w:t>
      </w:r>
      <w:hyperlink r:id="rId32">
        <w:r>
          <w:rPr>
            <w:rStyle w:val="Hyperlink"/>
          </w:rPr>
          <w:t xml:space="preserve">https://www.wikipedia.org/</w:t>
        </w:r>
      </w:hyperlink>
      <w:r>
        <w:t xml:space="preserve">), an online encyclopedia where anyone can contribute, or Flickr (</w:t>
      </w:r>
      <w:hyperlink r:id="rId33">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4">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et al., 2018)</w:t>
      </w:r>
      <w:r>
        <w:t xml:space="preserve">. Another topic in this book (see Chapter 6, Topic 6) discusses the merits and pitfalls of crowdsourced data, and what to watch out for when analyzing open data of this type.</w:t>
      </w:r>
    </w:p>
    <w:p>
      <w:pPr>
        <w:pStyle w:val="Heading2"/>
      </w:pPr>
      <w:bookmarkStart w:id="35" w:name="strengths-and-limitations"/>
      <w:r>
        <w:t xml:space="preserve">Strengths and limitations</w:t>
      </w:r>
      <w:bookmarkEnd w:id="35"/>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&amp;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&amp;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&amp;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despite the merits of open data in terms of remedying pitfalls in traditional survey methods, there are other threats to validity that may emerge. For instance, whilst many online resources offer an</w:t>
      </w:r>
      <w:r>
        <w:t xml:space="preserve"> </w:t>
      </w:r>
      <w:r>
        <w:t xml:space="preserve">‘</w:t>
      </w:r>
      <w:r>
        <w:t xml:space="preserve">honest</w:t>
      </w:r>
      <w:r>
        <w:t xml:space="preserve">’</w:t>
      </w:r>
      <w:r>
        <w:t xml:space="preserve"> </w:t>
      </w:r>
      <w:r>
        <w:t xml:space="preserve">depiction of society, uncaptured by surveys,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et al., 2006)</w:t>
      </w:r>
      <w:r>
        <w:t xml:space="preserve">, or because of wider issues such as government censorship, or cultural norms around particular topics, particularly sensitive topics of interest to researchers of crime, such as sexual assault or drug use.</w:t>
      </w:r>
    </w:p>
    <w:p>
      <w:pPr>
        <w:pStyle w:val="BodyText"/>
      </w:pPr>
      <w:r>
        <w:t xml:space="preserve">Relatedly, researchers should be aware of issues over sampling,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(which we look at in the practical exercise later) are correlated with contextual characteristics such as poverty and population density, and as such, coverage is non-uniformly distributed across urban areas</w:t>
      </w:r>
      <w:r>
        <w:t xml:space="preserve"> </w:t>
      </w:r>
      <w:r>
        <w:t xml:space="preserve">(Mashhadi et al., 2013)</w:t>
      </w:r>
      <w:r>
        <w:t xml:space="preserve">. These are important to keep in mind (and be transparent about) when reporting findings based on analysis of such data.</w:t>
      </w:r>
    </w:p>
    <w:p>
      <w:pPr>
        <w:pStyle w:val="Heading3"/>
      </w:pPr>
      <w:bookmarkStart w:id="36" w:name="what-can-be-done"/>
      <w:r>
        <w:t xml:space="preserve">What can be done?</w:t>
      </w:r>
      <w:bookmarkEnd w:id="36"/>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have that influenced results?</w:t>
      </w:r>
    </w:p>
    <w:p>
      <w:pPr>
        <w:pStyle w:val="FirstParagraph"/>
      </w:pPr>
      <w:r>
        <w:t xml:space="preserve">The answers to these questions will put the data sources in context, and ensure that researchers use them appropriately and with due care.</w:t>
      </w:r>
    </w:p>
    <w:p>
      <w:pPr>
        <w:pStyle w:val="BodyText"/>
      </w:pPr>
      <w:r>
        <w:t xml:space="preserve">With this in mind, we now move on to a practical exercise in which we will utilize multiple sources of open data to explore police-recorded crime on and around public transport in London, England.</w:t>
      </w:r>
    </w:p>
    <w:p>
      <w:pPr>
        <w:pStyle w:val="Heading1"/>
      </w:pPr>
      <w:bookmarkStart w:id="37" w:name="practical-exercise"/>
      <w:r>
        <w:t xml:space="preserve">Practical exercise</w:t>
      </w:r>
      <w:bookmarkEnd w:id="37"/>
    </w:p>
    <w:p>
      <w:pPr>
        <w:pStyle w:val="FirstParagraph"/>
      </w:pPr>
      <w:r>
        <w:t xml:space="preserve">In this exercise you will acquire a number of different skills, including:</w:t>
      </w:r>
    </w:p>
    <w:p>
      <w:pPr>
        <w:pStyle w:val="Compact"/>
        <w:numPr>
          <w:numId w:val="1003"/>
          <w:ilvl w:val="0"/>
        </w:numPr>
      </w:pPr>
      <w:r>
        <w:t xml:space="preserve">Accessing open data using three different methods:</w:t>
      </w:r>
    </w:p>
    <w:p>
      <w:pPr>
        <w:pStyle w:val="Compact"/>
        <w:numPr>
          <w:numId w:val="1004"/>
          <w:ilvl w:val="1"/>
        </w:numPr>
      </w:pPr>
      <w:r>
        <w:t xml:space="preserve">Direct download.</w:t>
      </w:r>
    </w:p>
    <w:p>
      <w:pPr>
        <w:pStyle w:val="Compact"/>
        <w:numPr>
          <w:numId w:val="1004"/>
          <w:ilvl w:val="1"/>
        </w:numPr>
      </w:pPr>
      <w:r>
        <w:t xml:space="preserve">Direct calls to an Application Programming Interface (API).</w:t>
      </w:r>
    </w:p>
    <w:p>
      <w:pPr>
        <w:pStyle w:val="Compact"/>
        <w:numPr>
          <w:numId w:val="1004"/>
          <w:ilvl w:val="1"/>
        </w:numPr>
      </w:pPr>
      <w:r>
        <w:t xml:space="preserve">Calls to an API using a wrapper.</w:t>
      </w:r>
    </w:p>
    <w:p>
      <w:pPr>
        <w:pStyle w:val="Compact"/>
        <w:numPr>
          <w:numId w:val="1003"/>
          <w:ilvl w:val="0"/>
        </w:numPr>
      </w:pPr>
      <w:r>
        <w:t xml:space="preserve">Cleaning, wrangling, and visualizing open spatial data.</w:t>
      </w:r>
    </w:p>
    <w:p>
      <w:pPr>
        <w:pStyle w:val="Compact"/>
        <w:numPr>
          <w:numId w:val="1003"/>
          <w:ilvl w:val="0"/>
        </w:numPr>
      </w:pPr>
      <w:r>
        <w:t xml:space="preserve">Comparing different sources of open data.</w:t>
      </w:r>
    </w:p>
    <w:p>
      <w:pPr>
        <w:pStyle w:val="Compact"/>
        <w:numPr>
          <w:numId w:val="1003"/>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38" w:name="our-aim"/>
      <w:r>
        <w:t xml:space="preserve">Our aim</w:t>
      </w:r>
      <w:bookmarkEnd w:id="38"/>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et al.,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et al.,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w:t>
      </w:r>
    </w:p>
    <w:p>
      <w:pPr>
        <w:pStyle w:val="Heading2"/>
      </w:pPr>
      <w:bookmarkStart w:id="39" w:name="accessing-data"/>
      <w:r>
        <w:t xml:space="preserve">Accessing data</w:t>
      </w:r>
      <w:bookmarkEnd w:id="39"/>
    </w:p>
    <w:p>
      <w:pPr>
        <w:pStyle w:val="FirstParagraph"/>
      </w:pPr>
      <w:r>
        <w:t xml:space="preserve">We will be using two different types of open data in this exercise: public sector data (police-recorded crime data and local transport authority data) and crowdsourced data (from Open Street Map). To access them, we will use three different methods, namely, (1) direct download, (2) direct request to an API, and (3) request to an API using a wrapper. This will give you a few different ideas about how you might go about accessing other open datasets relevant to your research. Locating, identifying and learning to access open data is a skill in itself.</w:t>
      </w:r>
    </w:p>
    <w:p>
      <w:pPr>
        <w:pStyle w:val="Heading3"/>
      </w:pPr>
      <w:bookmarkStart w:id="40" w:name="direct-download"/>
      <w:r>
        <w:t xml:space="preserve">Direct download</w:t>
      </w:r>
      <w:bookmarkEnd w:id="40"/>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to your computer.</w:t>
      </w:r>
    </w:p>
    <w:p>
      <w:pPr>
        <w:pStyle w:val="BodyText"/>
      </w:pPr>
      <w:r>
        <w:t xml:space="preserve">In the United Kingdom, police-recorded crime data in England and Wales can be accessed this way using an online web portal (</w:t>
      </w:r>
      <w:hyperlink r:id="rId41">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 anonymization 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lockText"/>
      </w:pPr>
      <w:r>
        <w:t xml:space="preserve">Location anonymization.</w:t>
      </w:r>
      <w:r>
        <w:t xml:space="preserve"> </w:t>
      </w:r>
      <w:r>
        <w:t xml:space="preserve">The latitude and longitude locations of Crime and ASB incidents published on this site always represent the approximate location of a crime — not the exact place that it happened.</w:t>
      </w:r>
    </w:p>
    <w:p>
      <w:pPr>
        <w:pStyle w:val="FirstParagraph"/>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and then generate and download the file.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BodyText"/>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BodyText"/>
      </w:pPr>
      <w:r>
        <w:t xml:space="preserve">You should now have a data frame with 5694 crimes in, ready for you to explore!</w:t>
      </w:r>
    </w:p>
    <w:p>
      <w:pPr>
        <w:pStyle w:val="Heading3"/>
      </w:pPr>
      <w:bookmarkStart w:id="42" w:name="direct-request-to-an-api"/>
      <w:r>
        <w:t xml:space="preserve">Direct request to an API</w:t>
      </w:r>
      <w:bookmarkEnd w:id="42"/>
    </w:p>
    <w:p>
      <w:pPr>
        <w:pStyle w:val="FirstParagraph"/>
      </w:pPr>
      <w:r>
        <w:t xml:space="preserve">Another way of downloading open data is through an Application Programming Interface (API). This is a tool which defines an interface for a programme to interact with a software component. For example, it defines the kind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et 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43">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44">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45">
        <w:r>
          <w:rPr>
            <w:rStyle w:val="Hyperlink"/>
          </w:rPr>
          <w:t xml:space="preserve">https://api.tfl.gov.uk/line/bakerloo/stoppoints</w:t>
        </w:r>
      </w:hyperlink>
      <w:r>
        <w:t xml:space="preserve">) and paste it into your web browser. When you visit this page, you should see something like Figure 1.</w:t>
      </w:r>
    </w:p>
    <w:p>
      <w:pPr>
        <w:pStyle w:val="CaptionedFigure"/>
      </w:pPr>
      <w:r>
        <w:drawing>
          <wp:inline>
            <wp:extent cx="5334000" cy="2889250"/>
            <wp:effectExtent b="0" l="0" r="0" t="0"/>
            <wp:docPr descr="example of data from Transport for London" title="" id="1" name="Picture"/>
            <a:graphic>
              <a:graphicData uri="http://schemas.openxmlformats.org/drawingml/2006/picture">
                <pic:pic>
                  <pic:nvPicPr>
                    <pic:cNvPr descr="img/tfl_screenshot.png" id="0" name="Picture"/>
                    <pic:cNvPicPr>
                      <a:picLocks noChangeArrowheads="1" noChangeAspect="1"/>
                    </pic:cNvPicPr>
                  </pic:nvPicPr>
                  <pic:blipFill>
                    <a:blip r:embed="rId46"/>
                    <a:stretch>
                      <a:fillRect/>
                    </a:stretch>
                  </pic:blipFill>
                  <pic:spPr bwMode="auto">
                    <a:xfrm>
                      <a:off x="0" y="0"/>
                      <a:ext cx="5334000" cy="2889250"/>
                    </a:xfrm>
                    <a:prstGeom prst="rect">
                      <a:avLst/>
                    </a:prstGeom>
                    <a:noFill/>
                    <a:ln w="9525">
                      <a:noFill/>
                      <a:headEnd/>
                      <a:tailEnd/>
                    </a:ln>
                  </pic:spPr>
                </pic:pic>
              </a:graphicData>
            </a:graphic>
          </wp:inline>
        </w:drawing>
      </w:r>
    </w:p>
    <w:p>
      <w:pPr>
        <w:pStyle w:val="ImageCaption"/>
      </w:pPr>
      <w:r>
        <w:t xml:space="preserve">example of data from Transport for London</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won’t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Jubilee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jubilee</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Jubilee line, one of the busiest on the network. Note how this is simply an amended version of the example provided by TfL in the API documentation.</w:t>
      </w:r>
    </w:p>
    <w:p>
      <w:pPr>
        <w:pStyle w:val="BodyText"/>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47" w:name="request-to-an-api-using-a-wrapper"/>
      <w:r>
        <w:t xml:space="preserve">Request to an API using a wrapper</w:t>
      </w:r>
      <w:bookmarkEnd w:id="47"/>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48">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Open Street Map has two main types of wrappers available for its API, a web-based GUI called Overpass Turbo (</w:t>
      </w:r>
      <w:hyperlink r:id="rId49">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50">
        <w:r>
          <w:rPr>
            <w:rStyle w:val="Hyperlink"/>
          </w:rPr>
          <w:t xml:space="preserve">https://www.openstreetmap.org/about</w:t>
        </w:r>
      </w:hyperlink>
      <w:r>
        <w:t xml:space="preserve">. Using the wrapper in R, we can refer to the package documentation and the associated vignette online:</w:t>
      </w:r>
      <w:r>
        <w:t xml:space="preserve"> </w:t>
      </w:r>
      <w:hyperlink r:id="rId51">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need to specify a bounding box.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One way to do this is through a search term. Here, we want to select Greater London, so we can use the search term</w:t>
      </w:r>
      <w:r>
        <w:t xml:space="preserve"> </w:t>
      </w:r>
      <w:r>
        <w:t xml:space="preserve">“</w:t>
      </w:r>
      <w:r>
        <w:t xml:space="preserve">greater london united kingdom</w:t>
      </w:r>
      <w:r>
        <w:t xml:space="preserve">”</w:t>
      </w:r>
      <w:r>
        <w:t xml:space="preserve"> </w:t>
      </w:r>
      <w:r>
        <w:t xml:space="preserve">within the</w:t>
      </w:r>
      <w:r>
        <w:t xml:space="preserve"> </w:t>
      </w:r>
      <w:r>
        <w:rPr>
          <w:rStyle w:val="VerbatimChar"/>
        </w:rPr>
        <w:t xml:space="preserve">getbb()</w:t>
      </w:r>
      <w:r>
        <w:t xml:space="preserve"> </w:t>
      </w:r>
      <w:r>
        <w:t xml:space="preserve">function. Using this function we can also specify what format we want the data to be in. In this case, we want a spatial object, specifically an</w:t>
      </w:r>
      <w:r>
        <w:t xml:space="preserve"> </w:t>
      </w:r>
      <w:r>
        <w:rPr>
          <w:rStyle w:val="VerbatimChar"/>
        </w:rPr>
        <w:t xml:space="preserve">sf</w:t>
      </w:r>
      <w:r>
        <w:t xml:space="preserve"> </w:t>
      </w:r>
      <w:r>
        <w:t xml:space="preserve">polygon object (from the</w:t>
      </w:r>
      <w:r>
        <w:t xml:space="preserve"> </w:t>
      </w:r>
      <w:r>
        <w:rPr>
          <w:rStyle w:val="VerbatimChar"/>
        </w:rPr>
        <w:t xml:space="preserve">sf</w:t>
      </w:r>
      <w:r>
        <w:t xml:space="preserve"> </w:t>
      </w:r>
      <w:r>
        <w:t xml:space="preserve">package), which we name</w:t>
      </w:r>
      <w:r>
        <w:t xml:space="preserve"> </w:t>
      </w:r>
      <w:r>
        <w:rPr>
          <w:rStyle w:val="VerbatimChar"/>
        </w:rPr>
        <w:t xml:space="preserve">bb_sf</w:t>
      </w:r>
      <w:r>
        <w:t xml:space="preserve">.</w:t>
      </w:r>
    </w:p>
    <w:p>
      <w:pPr>
        <w:pStyle w:val="BodyText"/>
      </w:pPr>
      <w:r>
        <w:t xml:space="preserve">One downside of using search terms to define the bounding box, as with any search term, is that inconsistencies in terminology, wordings and spelling might lead to unexpected outputs (or none at all). Another way to obtain the bounding box is to manually specify the latitude and longitude coordinates. This requires a bit of pre-existing knowledge about your study region. A quick internet search, or exploration of the interactive Open Street Map platform (</w:t>
      </w:r>
      <w:hyperlink r:id="rId48">
        <w:r>
          <w:rPr>
            <w:rStyle w:val="Hyperlink"/>
          </w:rPr>
          <w:t xml:space="preserve">https://www.openstreetmap.org/</w:t>
        </w:r>
      </w:hyperlink>
      <w:r>
        <w:t xml:space="preserve">), will give you an idea of the coordinates for your study region. For Greater London, we can specify our bounding box as follows, saving the coordinates to the object</w:t>
      </w:r>
      <w:r>
        <w:t xml:space="preserve"> </w:t>
      </w:r>
      <w:r>
        <w:rPr>
          <w:rStyle w:val="VerbatimChar"/>
        </w:rPr>
        <w:t xml:space="preserve">bb_gl</w:t>
      </w:r>
      <w:r>
        <w:t xml:space="preserve"> </w:t>
      </w:r>
      <w:r>
        <w:t xml:space="preserve">for later use.</w:t>
      </w:r>
    </w:p>
    <w:p>
      <w:pPr>
        <w:pStyle w:val="BodyText"/>
      </w:pPr>
      <w:r>
        <w:t xml:space="preserve">We can now move on to query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object(s)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52">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 are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 Here, we specify our bounding box as the manual coordinates contained in</w:t>
      </w:r>
      <w:r>
        <w:t xml:space="preserve"> </w:t>
      </w:r>
      <w:r>
        <w:rPr>
          <w:rStyle w:val="VerbatimChar"/>
        </w:rPr>
        <w:t xml:space="preserve">bb_gl</w:t>
      </w:r>
      <w:r>
        <w:t xml:space="preserve">.</w:t>
      </w:r>
      <w:r>
        <w:rPr>
          <w:rStyle w:val="FootnoteReference"/>
        </w:rPr>
        <w:footnoteReference w:id="53"/>
      </w:r>
    </w:p>
    <w:p>
      <w:pPr>
        <w:pStyle w:val="BodyText"/>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w:t>
      </w:r>
      <w:r>
        <w:t xml:space="preserve"> </w:t>
      </w:r>
      <w:r>
        <w:rPr>
          <w:b/>
        </w:rPr>
        <w:t xml:space="preserve">Console</w:t>
      </w:r>
      <w:r>
        <w:t xml:space="preserve">.</w:t>
      </w:r>
    </w:p>
    <w:p>
      <w:pPr>
        <w:pStyle w:val="BodyText"/>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1706 at the time of writing. We also have around fifty polygons. For now, let’s extract the point information.</w:t>
      </w:r>
    </w:p>
    <w:p>
      <w:pPr>
        <w:pStyle w:val="BodyText"/>
      </w:pPr>
      <w:r>
        <w:t xml:space="preserve">We now have an</w:t>
      </w:r>
      <w:r>
        <w:t xml:space="preserve"> </w:t>
      </w:r>
      <w:r>
        <w:rPr>
          <w:rStyle w:val="VerbatimChar"/>
        </w:rPr>
        <w:t xml:space="preserve">sf</w:t>
      </w:r>
      <w:r>
        <w:t xml:space="preserve"> </w:t>
      </w:r>
      <w:r>
        <w:t xml:space="preserve">object with all the public transport stations in our study region mapped by Open Street Map volunteers, along with ~130 variables of auxiliary data, such as the</w:t>
      </w:r>
      <w:r>
        <w:t xml:space="preserve"> </w:t>
      </w:r>
      <w:r>
        <w:rPr>
          <w:rStyle w:val="VerbatimChar"/>
        </w:rPr>
        <w:t xml:space="preserve">fare_zone</w:t>
      </w:r>
      <w:r>
        <w:t xml:space="preserve"> </w:t>
      </w:r>
      <w:r>
        <w:t xml:space="preserve">the station is in, what</w:t>
      </w:r>
      <w:r>
        <w:t xml:space="preserve"> </w:t>
      </w:r>
      <w:r>
        <w:rPr>
          <w:rStyle w:val="VerbatimChar"/>
        </w:rPr>
        <w:t xml:space="preserve">amenity</w:t>
      </w:r>
      <w:r>
        <w:t xml:space="preserve"> </w:t>
      </w:r>
      <w:r>
        <w:t xml:space="preserve">it may have and whether it has</w:t>
      </w:r>
      <w:r>
        <w:t xml:space="preserve"> </w:t>
      </w:r>
      <w:r>
        <w:rPr>
          <w:rStyle w:val="VerbatimChar"/>
        </w:rPr>
        <w:t xml:space="preserve">toilets</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Jubilee Line). The variable</w:t>
      </w:r>
      <w:r>
        <w:t xml:space="preserve"> </w:t>
      </w:r>
      <w:r>
        <w:rPr>
          <w:rStyle w:val="VerbatimChar"/>
        </w:rPr>
        <w:t xml:space="preserve">line</w:t>
      </w:r>
      <w:r>
        <w:t xml:space="preserve"> </w:t>
      </w:r>
      <w:r>
        <w:t xml:space="preserve">can help us with this. First, let’s explore this variable by using the</w:t>
      </w:r>
      <w:r>
        <w:t xml:space="preserve"> </w:t>
      </w:r>
      <w:r>
        <w:rPr>
          <w:rStyle w:val="VerbatimChar"/>
        </w:rPr>
        <w:t xml:space="preserve">table()</w:t>
      </w:r>
      <w:r>
        <w:t xml:space="preserve"> </w:t>
      </w:r>
      <w:r>
        <w:t xml:space="preserve">function.</w:t>
      </w:r>
    </w:p>
    <w:p>
      <w:pPr>
        <w:pStyle w:val="BodyText"/>
      </w:pPr>
      <w:r>
        <w:t xml:space="preserve">You will see that</w:t>
      </w:r>
      <w:r>
        <w:t xml:space="preserve"> </w:t>
      </w:r>
      <w:r>
        <w:t xml:space="preserve">“</w:t>
      </w:r>
      <w:r>
        <w:t xml:space="preserve">Jubilee</w:t>
      </w:r>
      <w:r>
        <w:t xml:space="preserve">”</w:t>
      </w:r>
      <w:r>
        <w:t xml:space="preserve"> </w:t>
      </w:r>
      <w:r>
        <w:t xml:space="preserve">appears several times under different line names. The main category (</w:t>
      </w:r>
      <w:r>
        <w:t xml:space="preserve">“</w:t>
      </w:r>
      <w:r>
        <w:t xml:space="preserve">Jubilee</w:t>
      </w:r>
      <w:r>
        <w:t xml:space="preserve">”</w:t>
      </w:r>
      <w:r>
        <w:t xml:space="preserve">) is the most common, but many other combinations exist (e.g. </w:t>
      </w:r>
      <w:r>
        <w:t xml:space="preserve">“</w:t>
      </w:r>
      <w:r>
        <w:t xml:space="preserve">Central;Jubilee</w:t>
      </w:r>
      <w:r>
        <w:t xml:space="preserve">”</w:t>
      </w:r>
      <w:r>
        <w:t xml:space="preserve">) for stations which sit on multiple lines. To get round this, and select all stations with</w:t>
      </w:r>
      <w:r>
        <w:t xml:space="preserve"> </w:t>
      </w:r>
      <w:r>
        <w:t xml:space="preserve">“</w:t>
      </w:r>
      <w:r>
        <w:t xml:space="preserve">Jubilee</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BodyText"/>
      </w:pPr>
      <w:r>
        <w:t xml:space="preserve">This gives us Open Street Map data on all 27 stations on the Jubilee underground line. Now we have all our open datasets loaded into the R environment!</w:t>
      </w:r>
    </w:p>
    <w:p>
      <w:pPr>
        <w:pStyle w:val="Heading2"/>
      </w:pPr>
      <w:bookmarkStart w:id="54" w:name="X7eeb9829bed2cc4df15ccb5998e3195404de65f"/>
      <w:r>
        <w:t xml:space="preserve">Cleaning, wrangling, and visualising our data</w:t>
      </w:r>
      <w:bookmarkEnd w:id="54"/>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visualization.</w:t>
      </w:r>
      <w:r>
        <w:t xml:space="preserve"> </w:t>
      </w:r>
      <w:r>
        <w:t xml:space="preserve">We’ve already loaded the</w:t>
      </w:r>
      <w:r>
        <w:t xml:space="preserve"> </w:t>
      </w:r>
      <w:r>
        <w:rPr>
          <w:rStyle w:val="VerbatimChar"/>
        </w:rPr>
        <w:t xml:space="preserve">osmdata</w:t>
      </w:r>
      <w:r>
        <w:t xml:space="preserve"> </w:t>
      </w:r>
      <w:r>
        <w:t xml:space="preserve">and</w:t>
      </w:r>
      <w:r>
        <w:t xml:space="preserve"> </w:t>
      </w:r>
      <w:r>
        <w:rPr>
          <w:rStyle w:val="VerbatimChar"/>
        </w:rPr>
        <w:t xml:space="preserve">dplyr</w:t>
      </w:r>
      <w:r>
        <w:t xml:space="preserve"> </w:t>
      </w:r>
      <w:r>
        <w:t xml:space="preserve">packages, but here, we will also make use of</w:t>
      </w:r>
      <w:r>
        <w:t xml:space="preserve"> </w:t>
      </w:r>
      <w:r>
        <w:rPr>
          <w:rStyle w:val="VerbatimChar"/>
        </w:rPr>
        <w:t xml:space="preserve">ggplot2</w:t>
      </w:r>
      <w:r>
        <w:t xml:space="preserve">,</w:t>
      </w:r>
      <w:r>
        <w:t xml:space="preserve"> </w:t>
      </w:r>
      <w:r>
        <w:rPr>
          <w:rStyle w:val="VerbatimChar"/>
        </w:rPr>
        <w:t xml:space="preserve">sf</w:t>
      </w:r>
      <w:r>
        <w:t xml:space="preserve">,</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Heading3"/>
      </w:pPr>
      <w:bookmarkStart w:id="55" w:name="from-json-to-data-frame"/>
      <w:r>
        <w:t xml:space="preserve">From JSON to data frame</w:t>
      </w:r>
      <w:bookmarkEnd w:id="55"/>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BodyText"/>
      </w:pPr>
      <w:r>
        <w:t xml:space="preserve">We can now easily visualize this data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BodyText"/>
      </w:pPr>
      <w:r>
        <w:drawing>
          <wp:inline>
            <wp:extent cx="4620126" cy="3696101"/>
            <wp:effectExtent b="0" l="0" r="0" t="0"/>
            <wp:docPr descr="" title="" id="1" name="Picture"/>
            <a:graphic>
              <a:graphicData uri="http://schemas.openxmlformats.org/drawingml/2006/picture">
                <pic:pic>
                  <pic:nvPicPr>
                    <pic:cNvPr descr="draft_chapter_files/figure-docx/tflmap-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 have it: with just a few lines of code in R, we have queried the TfL API, a public sector source of open data, and plotted a basic map of stations on the Jubilee underground line.</w:t>
      </w:r>
    </w:p>
    <w:p>
      <w:pPr>
        <w:pStyle w:val="Heading3"/>
      </w:pPr>
      <w:bookmarkStart w:id="57" w:name="X44c9b632ce2d5067089a827886d2fcb5ccb2c3e"/>
      <w:r>
        <w:t xml:space="preserve">Visualise to check and compare our datasets</w:t>
      </w:r>
      <w:bookmarkEnd w:id="57"/>
    </w:p>
    <w:p>
      <w:pPr>
        <w:pStyle w:val="FirstParagraph"/>
      </w:pPr>
      <w:r>
        <w:t xml:space="preserve">We can now plot the Open Street Map station points, which are already spatial, over these station locations pulled from the TfL API, to see how the two datasets compare.</w:t>
      </w:r>
    </w:p>
    <w:p>
      <w:pPr>
        <w:pStyle w:val="BodyText"/>
      </w:pPr>
      <w:r>
        <w:drawing>
          <wp:inline>
            <wp:extent cx="4620126" cy="3696101"/>
            <wp:effectExtent b="0" l="0" r="0" t="0"/>
            <wp:docPr descr="" title="" id="1" name="Picture"/>
            <a:graphic>
              <a:graphicData uri="http://schemas.openxmlformats.org/drawingml/2006/picture">
                <pic:pic>
                  <pic:nvPicPr>
                    <pic:cNvPr descr="draft_chapter_files/figure-docx/mapline-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two data sources appear to be broadly comparable in terms of their spatial patterning. However, the exact location of stations differs between Open Street Map and TfL. Determining a single pinpoint location for underground stations is not straightforward, especially for larger stations which have multiple entrances, platforms, and walkway tunnels. For operational purposes, TfL might have a specific definition for the location of a station, such as its centroid, which has been systematically applied to create the coordinates. The data pulled from Open Street Map might have been compiled by a volunteer contributor with their own perception of how to define the location of a station, such as the ticket booth or the main entrance. This definition</w:t>
      </w:r>
      <w:r>
        <w:t xml:space="preserve"> </w:t>
      </w:r>
      <w:r>
        <w:rPr>
          <w:i/>
        </w:rPr>
        <w:t xml:space="preserve">might</w:t>
      </w:r>
      <w:r>
        <w:t xml:space="preserve"> </w:t>
      </w:r>
      <w:r>
        <w:t xml:space="preserve">be more theoretically meaningful than that used by TfL, since it could reflect a realistic</w:t>
      </w:r>
      <w:r>
        <w:t xml:space="preserve"> </w:t>
      </w:r>
      <w:r>
        <w:t xml:space="preserve">‘</w:t>
      </w:r>
      <w:r>
        <w:t xml:space="preserve">on the ground</w:t>
      </w:r>
      <w:r>
        <w:t xml:space="preserve">’</w:t>
      </w:r>
      <w:r>
        <w:t xml:space="preserve"> </w:t>
      </w:r>
      <w:r>
        <w:t xml:space="preserve">perception of the station’s built environment, and thus opportunities for crime. On the other hand, if the locations from Open Street Map were collated by multiple different contributors, each with their own idea of where each station lies on the line, we might conclude that the measure is unreliable. These kinds of questions demonstrate why critically engaging with open data sources is so crucial, but also challenging.</w:t>
      </w:r>
    </w:p>
    <w:p>
      <w:pPr>
        <w:pStyle w:val="BodyText"/>
      </w:pPr>
      <w:r>
        <w:t xml:space="preserve">Given the differences observed between the two open data sources, what might the impact be when studying crime in and around London Underground stations? For that, we can turn to our British Transport Police data. In its raw form, this data is a standard data frame, but we can make it spatial using some of the functions from the</w:t>
      </w:r>
      <w:r>
        <w:t xml:space="preserve"> </w:t>
      </w:r>
      <w:r>
        <w:rPr>
          <w:rStyle w:val="VerbatimChar"/>
        </w:rPr>
        <w:t xml:space="preserve">sf</w:t>
      </w:r>
      <w:r>
        <w:t xml:space="preserve"> </w:t>
      </w:r>
      <w:r>
        <w:t xml:space="preserve">package that we used earlier.</w:t>
      </w:r>
    </w:p>
    <w:p>
      <w:pPr>
        <w:pStyle w:val="BodyText"/>
      </w:pPr>
      <w:r>
        <w:t xml:space="preserve">We now have the recorded location of all crimes recorded by the British Transport Police during January, 2020. For the purposes of this demonstration, we can define crimes occurring as</w:t>
      </w:r>
      <w:r>
        <w:t xml:space="preserve"> </w:t>
      </w:r>
      <w:r>
        <w:t xml:space="preserve">‘</w:t>
      </w:r>
      <w:r>
        <w:t xml:space="preserve">in and around</w:t>
      </w:r>
      <w:r>
        <w:t xml:space="preserve">’</w:t>
      </w:r>
      <w:r>
        <w:t xml:space="preserve"> </w:t>
      </w:r>
      <w:r>
        <w:t xml:space="preserve">Jubilee line tube stations by creating a 50 meter buffer around each station, for each source of data, and counting the number of points falling within each. It is worth noting that this definition is somewhat arbitrary, and is subject to the spatial inaccuracy in open police-recorded crime data</w:t>
      </w:r>
      <w:r>
        <w:t xml:space="preserve"> </w:t>
      </w:r>
      <w:r>
        <w:t xml:space="preserve">(see Tompson et al., 2015)</w:t>
      </w:r>
      <w:r>
        <w:t xml:space="preserve">, but it does serve to facilitate this demonstration.</w:t>
      </w:r>
    </w:p>
    <w:p>
      <w:pPr>
        <w:pStyle w:val="BodyText"/>
      </w:pPr>
      <w:r>
        <w:t xml:space="preserve">We can then visualize these counts and compare the two sources of data by coloring in our point locations according to the crime count. Note that we arrange the plots using syntax available using the</w:t>
      </w:r>
      <w:r>
        <w:t xml:space="preserve"> </w:t>
      </w:r>
      <w:r>
        <w:rPr>
          <w:rStyle w:val="VerbatimChar"/>
        </w:rPr>
        <w:t xml:space="preserve">patchwork</w:t>
      </w:r>
      <w:r>
        <w:t xml:space="preserve"> </w:t>
      </w:r>
      <w:r>
        <w:t xml:space="preserve">package, and set the scales to be comparable using the</w:t>
      </w:r>
      <w:r>
        <w:t xml:space="preserve"> </w:t>
      </w:r>
      <w:r>
        <w:rPr>
          <w:rStyle w:val="VerbatimChar"/>
        </w:rPr>
        <w:t xml:space="preserve">lim</w:t>
      </w:r>
      <w:r>
        <w:t xml:space="preserve"> </w:t>
      </w:r>
      <w:r>
        <w:t xml:space="preserve">argument within</w:t>
      </w:r>
      <w:r>
        <w:t xml:space="preserve"> </w:t>
      </w:r>
      <w:r>
        <w:rPr>
          <w:rStyle w:val="VerbatimChar"/>
        </w:rPr>
        <w:t xml:space="preserve">scale_color_viridis_c()</w:t>
      </w:r>
      <w:r>
        <w:t xml:space="preserve">.</w:t>
      </w:r>
    </w:p>
    <w:p>
      <w:pPr>
        <w:pStyle w:val="BodyText"/>
      </w:pPr>
      <w:r>
        <w:drawing>
          <wp:inline>
            <wp:extent cx="5334000" cy="3555372"/>
            <wp:effectExtent b="0" l="0" r="0" t="0"/>
            <wp:docPr descr="" title="" id="1" name="Picture"/>
            <a:graphic>
              <a:graphicData uri="http://schemas.openxmlformats.org/drawingml/2006/picture">
                <pic:pic>
                  <pic:nvPicPr>
                    <pic:cNvPr descr="img/maps.png" id="0" name="Picture"/>
                    <pic:cNvPicPr>
                      <a:picLocks noChangeArrowheads="1" noChangeAspect="1"/>
                    </pic:cNvPicPr>
                  </pic:nvPicPr>
                  <pic:blipFill>
                    <a:blip r:embed="rId59"/>
                    <a:stretch>
                      <a:fillRect/>
                    </a:stretch>
                  </pic:blipFill>
                  <pic:spPr bwMode="auto">
                    <a:xfrm>
                      <a:off x="0" y="0"/>
                      <a:ext cx="5334000" cy="3555372"/>
                    </a:xfrm>
                    <a:prstGeom prst="rect">
                      <a:avLst/>
                    </a:prstGeom>
                    <a:noFill/>
                    <a:ln w="9525">
                      <a:noFill/>
                      <a:headEnd/>
                      <a:tailEnd/>
                    </a:ln>
                  </pic:spPr>
                </pic:pic>
              </a:graphicData>
            </a:graphic>
          </wp:inline>
        </w:drawing>
      </w:r>
    </w:p>
    <w:p>
      <w:pPr>
        <w:pStyle w:val="BodyText"/>
      </w:pPr>
      <w:r>
        <w:t xml:space="preserve">A number of factors emerge from this investigation. First, there is a disparity between the total number of crimes captured by the buffers in each dataset. Using the Open Street Map data, a total of 168 crimes were recorded across all stations on the line. Using the TfL data, only 136 were recorded. Thus, the volume of crime observed in and around Jubilee stations during January will differ depending on the open data source being used. This could have important implications for how community and policing resources are distributed between underground lines. Second, the spatial patterning of crime hotspots on the line differs considerably between the two data sources. Using the Open Street Map data, the final station on the line, Stratford, has the greatest concentration of crimes, whereas the TfL data suggests that the most problematic station is Green Park, in the city centre. Despite the minor differences in the locations of each station, the conclusions drawn are starkly different, and would determine the consistency of findings with existing research examining crime at underground stations</w:t>
      </w:r>
      <w:r>
        <w:t xml:space="preserve"> </w:t>
      </w:r>
      <w:r>
        <w:t xml:space="preserve">(Ceccato et al., 2013)</w:t>
      </w:r>
      <w:r>
        <w:t xml:space="preserve">.</w:t>
      </w:r>
    </w:p>
    <w:p>
      <w:pPr>
        <w:pStyle w:val="BodyText"/>
      </w:pPr>
      <w:r>
        <w:t xml:space="preserve">In this example, there is no obvious</w:t>
      </w:r>
      <w:r>
        <w:t xml:space="preserve"> </w:t>
      </w:r>
      <w:r>
        <w:t xml:space="preserve">‘</w:t>
      </w:r>
      <w:r>
        <w:t xml:space="preserve">right or wrong</w:t>
      </w:r>
      <w:r>
        <w:t xml:space="preserve">’</w:t>
      </w:r>
      <w:r>
        <w:t xml:space="preserve"> </w:t>
      </w:r>
      <w:r>
        <w:t xml:space="preserve">answer to determine which open data source is most appropriate. Engaging with the creators of the data would be an important step in answering the critical questions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posed at the beginning of this chapter. For TfL, this might mean investigating the criteria used by their analysts to define the coordinates for stations. For Open Street Map, its online transparency means that we could find out which user(s) recorded the Jubilee station locations, and directly contact this community of volunteers to find out how and why station locations were recorded in this manner. Based on this information, an informed decision could be made on which data source is most appropriate given the research question and theoretical framework being used.</w:t>
      </w:r>
    </w:p>
    <w:p>
      <w:pPr>
        <w:pStyle w:val="Heading1"/>
      </w:pPr>
      <w:bookmarkStart w:id="60" w:name="discussion"/>
      <w:r>
        <w:t xml:space="preserve">Discussion</w:t>
      </w:r>
      <w:bookmarkEnd w:id="60"/>
    </w:p>
    <w:p>
      <w:pPr>
        <w:pStyle w:val="Heading2"/>
      </w:pPr>
      <w:bookmarkStart w:id="61" w:name="summary"/>
      <w:r>
        <w:t xml:space="preserve">Summary</w:t>
      </w:r>
      <w:bookmarkEnd w:id="61"/>
    </w:p>
    <w:p>
      <w:pPr>
        <w:pStyle w:val="FirstParagraph"/>
      </w:pPr>
      <w:r>
        <w:t xml:space="preserve">This chapter has sought to introduce open data as a novel, growing and invaluable tool in crime and place research through a review of key fundamentals and a substantive demonstration within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By way of an example, we accessed different sources of open data in order to explore crime concentrations at London Underground stations on the Jubilee line: police-recorded crime data via a direct download from a public sector website, transport data via directly querying a public sector API, hosted by Transport for London, and the equivalent transport data retrieved from a crowdsourced database, Open Street Map, using an API wrapper. Minor discrepancies in the geographic location of underground stations in each open data source painted two starkly different stories about the volume and concentration of crime occurring on the line. The demonstration highlighted both the power of open data, but the need to critically engage with sources.</w:t>
      </w:r>
    </w:p>
    <w:p>
      <w:pPr>
        <w:pStyle w:val="Heading2"/>
      </w:pPr>
      <w:bookmarkStart w:id="62" w:name="future-of-open-data"/>
      <w:r>
        <w:t xml:space="preserve">Future of open data</w:t>
      </w:r>
      <w:bookmarkEnd w:id="62"/>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this chapter, are increasingly being taught and deployed in social science. The number and quality of open data resources is also improving, many of which will help illuminate key topics in spatial criminology. For instance, information which traces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concentrations in the capital, unrestricted by fees or strict terms, for the first time. But, as the discussions and demonstrations in this chapter have shown, there is still a long way to go. As with any emerging domain, open data sources vary considerably in their degree of completeness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63" w:name="references"/>
      <w:r>
        <w:t xml:space="preserve">References</w:t>
      </w:r>
      <w:bookmarkEnd w:id="63"/>
    </w:p>
    <w:bookmarkStart w:id="94" w:name="refs"/>
    <w:bookmarkStart w:id="64" w:name="ref-boyd2012critical"/>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64"/>
    <w:bookmarkStart w:id="65" w:name="ref-budhathoki2010participants"/>
    <w:p>
      <w:pPr>
        <w:pStyle w:val="Bibliography"/>
      </w:pPr>
      <w:r>
        <w:t xml:space="preserve">Budhathoki, N. R. (2010).</w:t>
      </w:r>
      <w:r>
        <w:t xml:space="preserve"> </w:t>
      </w:r>
      <w:r>
        <w:rPr>
          <w:i/>
        </w:rPr>
        <w:t xml:space="preserve">Participants’ motivations to contribute geographic information in an online community</w:t>
      </w:r>
      <w:r>
        <w:t xml:space="preserve"> </w:t>
      </w:r>
      <w:r>
        <w:t xml:space="preserve">[PhD thesis]. University of Illinois at Urbana-Champaign.</w:t>
      </w:r>
    </w:p>
    <w:bookmarkEnd w:id="65"/>
    <w:bookmarkStart w:id="66" w:name="ref-ceccato2013security"/>
    <w:p>
      <w:pPr>
        <w:pStyle w:val="Bibliography"/>
      </w:pPr>
      <w:r>
        <w:t xml:space="preserve">Ceccato, V., Uittenbogaard, A., &amp; Bamzar, R. (2013). Security in stockholm’s underground stations: The importance of environmental attributes and context.</w:t>
      </w:r>
      <w:r>
        <w:t xml:space="preserve"> </w:t>
      </w:r>
      <w:r>
        <w:rPr>
          <w:i/>
        </w:rPr>
        <w:t xml:space="preserve">Security Journal</w:t>
      </w:r>
      <w:r>
        <w:t xml:space="preserve">,</w:t>
      </w:r>
      <w:r>
        <w:t xml:space="preserve"> </w:t>
      </w:r>
      <w:r>
        <w:rPr>
          <w:i/>
        </w:rPr>
        <w:t xml:space="preserve">26</w:t>
      </w:r>
      <w:r>
        <w:t xml:space="preserve">(1), 33–59.</w:t>
      </w:r>
    </w:p>
    <w:bookmarkEnd w:id="66"/>
    <w:bookmarkStart w:id="68" w:name="ref-dietrich2009open"/>
    <w:p>
      <w:pPr>
        <w:pStyle w:val="Bibliography"/>
      </w:pPr>
      <w:r>
        <w:t xml:space="preserve">Dietrich, D., Gray, J., McNamara, T., Poikola, A., Pollock, P., Tait, J., Zijlstra, T., &amp; others. (2009). Open data handbook. In</w:t>
      </w:r>
      <w:r>
        <w:t xml:space="preserve"> </w:t>
      </w:r>
      <w:r>
        <w:rPr>
          <w:i/>
        </w:rPr>
        <w:t xml:space="preserve">Open Knowledge International</w:t>
      </w:r>
      <w:r>
        <w:t xml:space="preserve">.</w:t>
      </w:r>
      <w:r>
        <w:t xml:space="preserve"> </w:t>
      </w:r>
      <w:hyperlink r:id="rId67">
        <w:r>
          <w:rPr>
            <w:rStyle w:val="Hyperlink"/>
          </w:rPr>
          <w:t xml:space="preserve">https://opendatahandbook.org/guide/en/what-is-open-data/</w:t>
        </w:r>
      </w:hyperlink>
    </w:p>
    <w:bookmarkEnd w:id="68"/>
    <w:bookmarkStart w:id="69" w:name="ref-ellison2006managing"/>
    <w:p>
      <w:pPr>
        <w:pStyle w:val="Bibliography"/>
      </w:pPr>
      <w:r>
        <w:t xml:space="preserve">Ellison, N., Heino, R., &amp; Gibbs, J. (2006). Managing impressions online: Self-presentation processes in the online dating environment.</w:t>
      </w:r>
      <w:r>
        <w:t xml:space="preserve"> </w:t>
      </w:r>
      <w:r>
        <w:rPr>
          <w:i/>
        </w:rPr>
        <w:t xml:space="preserve">Journal of Computer-Mediated Communication</w:t>
      </w:r>
      <w:r>
        <w:t xml:space="preserve">,</w:t>
      </w:r>
      <w:r>
        <w:t xml:space="preserve"> </w:t>
      </w:r>
      <w:r>
        <w:rPr>
          <w:i/>
        </w:rPr>
        <w:t xml:space="preserve">11</w:t>
      </w:r>
      <w:r>
        <w:t xml:space="preserve">(2), 415–441.</w:t>
      </w:r>
    </w:p>
    <w:bookmarkEnd w:id="69"/>
    <w:bookmarkStart w:id="70" w:name="ref-foster2016big"/>
    <w:p>
      <w:pPr>
        <w:pStyle w:val="Bibliography"/>
      </w:pPr>
      <w:r>
        <w:t xml:space="preserve">Foster, I., Ghani, R., Jarmin, R. S., Kreuter, F., &amp; Lane, J. (2016).</w:t>
      </w:r>
      <w:r>
        <w:t xml:space="preserve"> </w:t>
      </w:r>
      <w:r>
        <w:rPr>
          <w:i/>
        </w:rPr>
        <w:t xml:space="preserve">Big data and social science: A practical guide to methods and tools</w:t>
      </w:r>
      <w:r>
        <w:t xml:space="preserve">. crc Press.</w:t>
      </w:r>
    </w:p>
    <w:bookmarkEnd w:id="70"/>
    <w:bookmarkStart w:id="71" w:name="ref-haklay2010good"/>
    <w:p>
      <w:pPr>
        <w:pStyle w:val="Bibliography"/>
      </w:pPr>
      <w:r>
        <w:t xml:space="preserve">Haklay, M. (2010). How good is volunteered geographical information? A comparative study of openstreetmap and ordnance survey datasets.</w:t>
      </w:r>
      <w:r>
        <w:t xml:space="preserve"> </w:t>
      </w:r>
      <w:r>
        <w:rPr>
          <w:i/>
        </w:rPr>
        <w:t xml:space="preserve">Environment and Planning B: Planning and Design</w:t>
      </w:r>
      <w:r>
        <w:t xml:space="preserve">,</w:t>
      </w:r>
      <w:r>
        <w:t xml:space="preserve"> </w:t>
      </w:r>
      <w:r>
        <w:rPr>
          <w:i/>
        </w:rPr>
        <w:t xml:space="preserve">37</w:t>
      </w:r>
      <w:r>
        <w:t xml:space="preserve">(4), 682–703.</w:t>
      </w:r>
    </w:p>
    <w:bookmarkEnd w:id="71"/>
    <w:bookmarkStart w:id="72" w:name="ref-hudson2018colouring"/>
    <w:p>
      <w:pPr>
        <w:pStyle w:val="Bibliography"/>
      </w:pPr>
      <w:r>
        <w:t xml:space="preserve">Hudson, P., Dennett, A., Russell, T., &amp; Smith, D.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72"/>
    <w:bookmarkStart w:id="73" w:name="ref-kitchin2014data"/>
    <w:p>
      <w:pPr>
        <w:pStyle w:val="Bibliography"/>
      </w:pPr>
      <w:r>
        <w:t xml:space="preserve">Kitchin, R. (2014).</w:t>
      </w:r>
      <w:r>
        <w:t xml:space="preserve"> </w:t>
      </w:r>
      <w:r>
        <w:rPr>
          <w:i/>
        </w:rPr>
        <w:t xml:space="preserve">The data revolution: Big data, open data, data infrastructures and their consequences</w:t>
      </w:r>
      <w:r>
        <w:t xml:space="preserve">. SAGE Publications.</w:t>
      </w:r>
    </w:p>
    <w:bookmarkEnd w:id="73"/>
    <w:bookmarkStart w:id="74" w:name="ref-langton2017residential"/>
    <w:p>
      <w:pPr>
        <w:pStyle w:val="Bibliography"/>
      </w:pPr>
      <w:r>
        <w:t xml:space="preserve">Langton, S. H., &amp; Steenbeek, W. (2017). Residential burglary target selection: An analysis at the property-level using google street view.</w:t>
      </w:r>
      <w:r>
        <w:t xml:space="preserve"> </w:t>
      </w:r>
      <w:r>
        <w:rPr>
          <w:i/>
        </w:rPr>
        <w:t xml:space="preserve">Applied Geography</w:t>
      </w:r>
      <w:r>
        <w:t xml:space="preserve">,</w:t>
      </w:r>
      <w:r>
        <w:t xml:space="preserve"> </w:t>
      </w:r>
      <w:r>
        <w:rPr>
          <w:i/>
        </w:rPr>
        <w:t xml:space="preserve">86</w:t>
      </w:r>
      <w:r>
        <w:t xml:space="preserve">, 292–299.</w:t>
      </w:r>
    </w:p>
    <w:bookmarkEnd w:id="74"/>
    <w:bookmarkStart w:id="75" w:name="ref-longley2012geodemographics"/>
    <w:p>
      <w:pPr>
        <w:pStyle w:val="Bibliography"/>
      </w:pPr>
      <w:r>
        <w:t xml:space="preserve">Longley, P. A. (2012). Geodemographics and the practices of geographic information science.</w:t>
      </w:r>
      <w:r>
        <w:t xml:space="preserve"> </w:t>
      </w:r>
      <w:r>
        <w:rPr>
          <w:i/>
        </w:rPr>
        <w:t xml:space="preserve">International Journal of Geographical Information Science</w:t>
      </w:r>
      <w:r>
        <w:t xml:space="preserve">,</w:t>
      </w:r>
      <w:r>
        <w:t xml:space="preserve"> </w:t>
      </w:r>
      <w:r>
        <w:rPr>
          <w:i/>
        </w:rPr>
        <w:t xml:space="preserve">26</w:t>
      </w:r>
      <w:r>
        <w:t xml:space="preserve">(12), 2227–2237.</w:t>
      </w:r>
    </w:p>
    <w:bookmarkEnd w:id="75"/>
    <w:bookmarkStart w:id="76" w:name="ref-loukaitou1999hot"/>
    <w:p>
      <w:pPr>
        <w:pStyle w:val="Bibliography"/>
      </w:pPr>
      <w:r>
        <w:t xml:space="preserve">Loukaitou-Sideris, A. (1999). Hot spots of bus stop crime: The importance of environmental attributes.</w:t>
      </w:r>
      <w:r>
        <w:t xml:space="preserve"> </w:t>
      </w:r>
      <w:r>
        <w:rPr>
          <w:i/>
        </w:rPr>
        <w:t xml:space="preserve">Journal of the American Planning Association</w:t>
      </w:r>
      <w:r>
        <w:t xml:space="preserve">,</w:t>
      </w:r>
      <w:r>
        <w:t xml:space="preserve"> </w:t>
      </w:r>
      <w:r>
        <w:rPr>
          <w:i/>
        </w:rPr>
        <w:t xml:space="preserve">65</w:t>
      </w:r>
      <w:r>
        <w:t xml:space="preserve">(4), 395–411.</w:t>
      </w:r>
    </w:p>
    <w:bookmarkEnd w:id="76"/>
    <w:bookmarkStart w:id="77" w:name="ref-malleson2015impact"/>
    <w:p>
      <w:pPr>
        <w:pStyle w:val="Bibliography"/>
      </w:pPr>
      <w:r>
        <w:t xml:space="preserve">Malleson, N., &amp; Andresen, M. A. (2015). The impact of using social media data in crime rate calculations: Shifting hot spots and changing spatial patterns.</w:t>
      </w:r>
      <w:r>
        <w:t xml:space="preserve"> </w:t>
      </w:r>
      <w:r>
        <w:rPr>
          <w:i/>
        </w:rPr>
        <w:t xml:space="preserve">Cartography and Geographic Information Science</w:t>
      </w:r>
      <w:r>
        <w:t xml:space="preserve">,</w:t>
      </w:r>
      <w:r>
        <w:t xml:space="preserve"> </w:t>
      </w:r>
      <w:r>
        <w:rPr>
          <w:i/>
        </w:rPr>
        <w:t xml:space="preserve">42</w:t>
      </w:r>
      <w:r>
        <w:t xml:space="preserve">(2), 112–121.</w:t>
      </w:r>
    </w:p>
    <w:bookmarkEnd w:id="77"/>
    <w:bookmarkStart w:id="78" w:name="ref-manovich2011trending"/>
    <w:p>
      <w:pPr>
        <w:pStyle w:val="Bibliography"/>
      </w:pPr>
      <w:r>
        <w:t xml:space="preserve">Manovich, L. (2011). Trending: The promises and the challenges of big social data.</w:t>
      </w:r>
      <w:r>
        <w:t xml:space="preserve"> </w:t>
      </w:r>
      <w:r>
        <w:rPr>
          <w:i/>
        </w:rPr>
        <w:t xml:space="preserve">Debates in the Digital Humanities</w:t>
      </w:r>
      <w:r>
        <w:t xml:space="preserve">,</w:t>
      </w:r>
      <w:r>
        <w:t xml:space="preserve"> </w:t>
      </w:r>
      <w:r>
        <w:rPr>
          <w:i/>
        </w:rPr>
        <w:t xml:space="preserve">2</w:t>
      </w:r>
      <w:r>
        <w:t xml:space="preserve">, 460–475.</w:t>
      </w:r>
    </w:p>
    <w:bookmarkEnd w:id="78"/>
    <w:bookmarkStart w:id="79" w:name="ref-mashhadi2013putting"/>
    <w:p>
      <w:pPr>
        <w:pStyle w:val="Bibliography"/>
      </w:pPr>
      <w:r>
        <w:t xml:space="preserve">Mashhadi, A., Quattrone, G., &amp; Capra, L. (2013). Putting ubiquitous crowd-sourcing into context.</w:t>
      </w:r>
      <w:r>
        <w:t xml:space="preserve"> </w:t>
      </w:r>
      <w:r>
        <w:rPr>
          <w:i/>
        </w:rPr>
        <w:t xml:space="preserve">Proceedings of the 2013 Conference on Computer Supported Cooperative Work</w:t>
      </w:r>
      <w:r>
        <w:t xml:space="preserve">, 611–622.</w:t>
      </w:r>
    </w:p>
    <w:bookmarkEnd w:id="79"/>
    <w:bookmarkStart w:id="80" w:name="ref-mayer2013big"/>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bookmarkEnd w:id="80"/>
    <w:bookmarkStart w:id="81" w:name="ref-newton2004crime"/>
    <w:p>
      <w:pPr>
        <w:pStyle w:val="Bibliography"/>
      </w:pPr>
      <w:r>
        <w:t xml:space="preserve">Newton, A. D., Johnson, S. D., &amp; Bowers, K. J. (2004). Crime on bus routes: An evaluation of a safer travel initiative.</w:t>
      </w:r>
      <w:r>
        <w:t xml:space="preserve"> </w:t>
      </w:r>
      <w:r>
        <w:rPr>
          <w:i/>
        </w:rPr>
        <w:t xml:space="preserve">Policing: An International Journal of Police Strategies &amp; Management</w:t>
      </w:r>
      <w:r>
        <w:t xml:space="preserve">.</w:t>
      </w:r>
    </w:p>
    <w:bookmarkEnd w:id="81"/>
    <w:bookmarkStart w:id="82" w:name="ref-olmedilla2016harvesting"/>
    <w:p>
      <w:pPr>
        <w:pStyle w:val="Bibliography"/>
      </w:pPr>
      <w:r>
        <w:t xml:space="preserve">Olmedilla, M., Martı́nez-Torres, M. R., &amp; Toral, S. (2016). Harvesting big data in social science: A methodological approach for collecting online user-generated content.</w:t>
      </w:r>
      <w:r>
        <w:t xml:space="preserve"> </w:t>
      </w:r>
      <w:r>
        <w:rPr>
          <w:i/>
        </w:rPr>
        <w:t xml:space="preserve">Computer Standards &amp; Interfaces</w:t>
      </w:r>
      <w:r>
        <w:t xml:space="preserve">,</w:t>
      </w:r>
      <w:r>
        <w:t xml:space="preserve"> </w:t>
      </w:r>
      <w:r>
        <w:rPr>
          <w:i/>
        </w:rPr>
        <w:t xml:space="preserve">46</w:t>
      </w:r>
      <w:r>
        <w:t xml:space="preserve">, 79–87.</w:t>
      </w:r>
    </w:p>
    <w:bookmarkEnd w:id="82"/>
    <w:bookmarkStart w:id="84" w:name="ref-knowledge2016open"/>
    <w:p>
      <w:pPr>
        <w:pStyle w:val="Bibliography"/>
      </w:pPr>
      <w:r>
        <w:t xml:space="preserve">Open Knowledge Foundation. (2016).</w:t>
      </w:r>
      <w:r>
        <w:t xml:space="preserve"> </w:t>
      </w:r>
      <w:r>
        <w:rPr>
          <w:i/>
        </w:rPr>
        <w:t xml:space="preserve">Open definition version 2.1</w:t>
      </w:r>
      <w:r>
        <w:t xml:space="preserve">.</w:t>
      </w:r>
      <w:r>
        <w:t xml:space="preserve"> </w:t>
      </w:r>
      <w:hyperlink r:id="rId83">
        <w:r>
          <w:rPr>
            <w:rStyle w:val="Hyperlink"/>
          </w:rPr>
          <w:t xml:space="preserve">https://opendefinition.org/od/2.1/en/</w:t>
        </w:r>
      </w:hyperlink>
    </w:p>
    <w:bookmarkEnd w:id="84"/>
    <w:bookmarkStart w:id="86" w:name="ref-globopendata"/>
    <w:p>
      <w:pPr>
        <w:pStyle w:val="Bibliography"/>
      </w:pPr>
      <w:r>
        <w:t xml:space="preserve">Open Knowledge Foundation. (2020).</w:t>
      </w:r>
      <w:r>
        <w:t xml:space="preserve"> </w:t>
      </w:r>
      <w:r>
        <w:rPr>
          <w:i/>
        </w:rPr>
        <w:t xml:space="preserve">Global open data index</w:t>
      </w:r>
      <w:r>
        <w:t xml:space="preserve">.</w:t>
      </w:r>
      <w:r>
        <w:t xml:space="preserve"> </w:t>
      </w:r>
      <w:hyperlink r:id="rId85">
        <w:r>
          <w:rPr>
            <w:rStyle w:val="Hyperlink"/>
          </w:rPr>
          <w:t xml:space="preserve">https://index.okfn.org/</w:t>
        </w:r>
      </w:hyperlink>
    </w:p>
    <w:bookmarkEnd w:id="86"/>
    <w:bookmarkStart w:id="87" w:name="ref-pridemore2018replication"/>
    <w:p>
      <w:pPr>
        <w:pStyle w:val="Bibliography"/>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 19–38.</w:t>
      </w:r>
    </w:p>
    <w:bookmarkEnd w:id="87"/>
    <w:bookmarkStart w:id="88" w:name="ref-solymosi2018role"/>
    <w:p>
      <w:pPr>
        <w:pStyle w:val="Bibliography"/>
      </w:pPr>
      <w:r>
        <w:t xml:space="preserve">Solymosi, R., &amp; Bowers, K. (2018). The role of innovative data collection methods in advancing criminological understanding.</w:t>
      </w:r>
      <w:r>
        <w:t xml:space="preserve"> </w:t>
      </w:r>
      <w:r>
        <w:rPr>
          <w:i/>
        </w:rPr>
        <w:t xml:space="preserve">The Oxford Handbook of Environmental Criminology</w:t>
      </w:r>
      <w:r>
        <w:t xml:space="preserve">,</w:t>
      </w:r>
      <w:r>
        <w:t xml:space="preserve"> </w:t>
      </w:r>
      <w:r>
        <w:rPr>
          <w:i/>
        </w:rPr>
        <w:t xml:space="preserve">210</w:t>
      </w:r>
      <w:r>
        <w:t xml:space="preserve">, 210–237.</w:t>
      </w:r>
    </w:p>
    <w:bookmarkEnd w:id="88"/>
    <w:bookmarkStart w:id="89" w:name="ref-solymosi2018crowdsourcing"/>
    <w:p>
      <w:pPr>
        <w:pStyle w:val="Bibliography"/>
      </w:pPr>
      <w:r>
        <w:t xml:space="preserve">Solymosi, R., Bowers, K. J., &amp; Fujiyama, T. (2018). Crowdsourcing subjective perceptions of neighbourhood disorder: Interpreting bias in open data.</w:t>
      </w:r>
      <w:r>
        <w:t xml:space="preserve"> </w:t>
      </w:r>
      <w:r>
        <w:rPr>
          <w:i/>
        </w:rPr>
        <w:t xml:space="preserve">The British Journal of Criminology</w:t>
      </w:r>
      <w:r>
        <w:t xml:space="preserve">,</w:t>
      </w:r>
      <w:r>
        <w:t xml:space="preserve"> </w:t>
      </w:r>
      <w:r>
        <w:rPr>
          <w:i/>
        </w:rPr>
        <w:t xml:space="preserve">58</w:t>
      </w:r>
      <w:r>
        <w:t xml:space="preserve">(4), 944–967.</w:t>
      </w:r>
    </w:p>
    <w:bookmarkEnd w:id="89"/>
    <w:bookmarkStart w:id="90" w:name="ref-streetsyntax2017"/>
    <w:p>
      <w:pPr>
        <w:pStyle w:val="Bibliography"/>
      </w:pPr>
      <w:r>
        <w:t xml:space="preserve">Summers, L., &amp; Johnson, S. D.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w:t>
      </w:r>
      <w:r>
        <w:t xml:space="preserve"> </w:t>
      </w:r>
      <w:r>
        <w:rPr>
          <w:i/>
        </w:rPr>
        <w:t xml:space="preserve">33</w:t>
      </w:r>
      <w:r>
        <w:t xml:space="preserve">(2), 397–420.</w:t>
      </w:r>
    </w:p>
    <w:bookmarkEnd w:id="90"/>
    <w:bookmarkStart w:id="91"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91"/>
    <w:bookmarkStart w:id="93" w:name="ref-vuong2017open"/>
    <w:p>
      <w:pPr>
        <w:pStyle w:val="Bibliography"/>
      </w:pPr>
      <w:r>
        <w:t xml:space="preserve">Vuong, Q. H. (2017). Open data, open review and open dialogue in making social sciences plausible.</w:t>
      </w:r>
      <w:r>
        <w:t xml:space="preserve"> </w:t>
      </w:r>
      <w:r>
        <w:rPr>
          <w:i/>
        </w:rPr>
        <w:t xml:space="preserve">Nature: Scientific Data Updates</w:t>
      </w:r>
      <w:r>
        <w:t xml:space="preserve">.</w:t>
      </w:r>
      <w:r>
        <w:t xml:space="preserve"> </w:t>
      </w:r>
      <w:hyperlink r:id="rId92">
        <w:r>
          <w:rPr>
            <w:rStyle w:val="Hyperlink"/>
          </w:rPr>
          <w:t xml:space="preserve">https://ssrn.com/abstract=3086667</w:t>
        </w:r>
      </w:hyperlink>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If you use the bounding box obtained through</w:t>
      </w:r>
      <w:r>
        <w:t xml:space="preserve"> </w:t>
      </w:r>
      <w:r>
        <w:rPr>
          <w:rStyle w:val="VerbatimChar"/>
        </w:rPr>
        <w:t xml:space="preserve">getbb()</w:t>
      </w:r>
      <w:r>
        <w:t xml:space="preserve"> </w:t>
      </w:r>
      <w:r>
        <w:t xml:space="preserve">one can subsequently trim down the outputs from</w:t>
      </w:r>
      <w:r>
        <w:t xml:space="preserve"> </w:t>
      </w:r>
      <w:r>
        <w:rPr>
          <w:rStyle w:val="VerbatimChar"/>
        </w:rPr>
        <w:t xml:space="preserve">add_osm_feature()</w:t>
      </w:r>
      <w:r>
        <w:t xml:space="preserve"> </w:t>
      </w:r>
      <w:r>
        <w:t xml:space="preserve">using</w:t>
      </w:r>
      <w:r>
        <w:t xml:space="preserve"> </w:t>
      </w:r>
      <w:r>
        <w:rPr>
          <w:rStyle w:val="VerbatimChar"/>
        </w:rPr>
        <w:t xml:space="preserve">trim_osmdata()</w:t>
      </w:r>
      <w:r>
        <w:t xml:space="preserve">. For instance, we could add</w:t>
      </w:r>
      <w:r>
        <w:t xml:space="preserve"> </w:t>
      </w:r>
      <w:r>
        <w:rPr>
          <w:rStyle w:val="VerbatimChar"/>
        </w:rPr>
        <w:t xml:space="preserve">trim_osmdata(bb_poly = bb_sf)</w:t>
      </w:r>
      <w:r>
        <w:t xml:space="preserve"> </w:t>
      </w:r>
      <w:r>
        <w:t xml:space="preserve">to our initial query.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hyperlink" Id="rId44" Target="https://api-portal.tfl.gov.uk/docs" TargetMode="External" /><Relationship Type="http://schemas.openxmlformats.org/officeDocument/2006/relationships/hyperlink" Id="rId45" Target="https://api.tfl.gov.uk/line/bakerloo/stoppoints" TargetMode="External" /><Relationship Type="http://schemas.openxmlformats.org/officeDocument/2006/relationships/hyperlink" Id="rId51" Target="https://cran.r-project.org/web/packages/osmdata/vignettes/osmdata.html" TargetMode="External" /><Relationship Type="http://schemas.openxmlformats.org/officeDocument/2006/relationships/hyperlink" Id="rId41" Target="https://data.police.uk/" TargetMode="External" /><Relationship Type="http://schemas.openxmlformats.org/officeDocument/2006/relationships/hyperlink" Id="rId26" Target="https://github.com/" TargetMode="External" /><Relationship Type="http://schemas.openxmlformats.org/officeDocument/2006/relationships/hyperlink" Id="rId30" Target="https://hub.arcgis.com/search" TargetMode="External" /><Relationship Type="http://schemas.openxmlformats.org/officeDocument/2006/relationships/hyperlink" Id="rId85" Target="https://index.okfn.org/" TargetMode="External" /><Relationship Type="http://schemas.openxmlformats.org/officeDocument/2006/relationships/hyperlink" Id="rId67" Target="https://opendatahandbook.org/guide/en/what-is-open-data/" TargetMode="External" /><Relationship Type="http://schemas.openxmlformats.org/officeDocument/2006/relationships/hyperlink" Id="rId83" Target="https://opendefinition.org/od/2.1/en/" TargetMode="External" /><Relationship Type="http://schemas.openxmlformats.org/officeDocument/2006/relationships/hyperlink" Id="rId24" Target="https://osf.io/" TargetMode="External" /><Relationship Type="http://schemas.openxmlformats.org/officeDocument/2006/relationships/hyperlink" Id="rId49" Target="https://overpass-turbo.eu/" TargetMode="External" /><Relationship Type="http://schemas.openxmlformats.org/officeDocument/2006/relationships/hyperlink" Id="rId92" Target="https://ssrn.com/abstract=3086667" TargetMode="External" /><Relationship Type="http://schemas.openxmlformats.org/officeDocument/2006/relationships/hyperlink" Id="rId43" Target="https://tfl.gov.uk/info-for/open-data-users/unified-api" TargetMode="External" /><Relationship Type="http://schemas.openxmlformats.org/officeDocument/2006/relationships/hyperlink" Id="rId52" Target="https://wiki.openstreetmap.org/wiki/Map_Features" TargetMode="External" /><Relationship Type="http://schemas.openxmlformats.org/officeDocument/2006/relationships/hyperlink" Id="rId34" Target="https://www.fixmystreet.com/" TargetMode="External" /><Relationship Type="http://schemas.openxmlformats.org/officeDocument/2006/relationships/hyperlink" Id="rId33" Target="https://www.flickr.com/" TargetMode="External" /><Relationship Type="http://schemas.openxmlformats.org/officeDocument/2006/relationships/hyperlink" Id="rId48" Target="https://www.openstreetmap.org/" TargetMode="External" /><Relationship Type="http://schemas.openxmlformats.org/officeDocument/2006/relationships/hyperlink" Id="rId50" Target="https://www.openstreetmap.org/about" TargetMode="External" /><Relationship Type="http://schemas.openxmlformats.org/officeDocument/2006/relationships/hyperlink" Id="rId25" Target="https://www.ukdataservice.ac.uk/deposit-data" TargetMode="External" /><Relationship Type="http://schemas.openxmlformats.org/officeDocument/2006/relationships/hyperlink" Id="rId32" Target="https://www.wikipedia.org/" TargetMode="External" /><Relationship Type="http://schemas.openxmlformats.org/officeDocument/2006/relationships/hyperlink" Id="rId20" Target="mailto:s.langton@mmu.ac.uk" TargetMode="External" /></Relationships>
</file>

<file path=word/_rels/footnotes.xml.rels><?xml version="1.0" encoding="UTF-8"?>
<Relationships xmlns="http://schemas.openxmlformats.org/package/2006/relationships"><Relationship Type="http://schemas.openxmlformats.org/officeDocument/2006/relationships/hyperlink" Id="rId44" Target="https://api-portal.tfl.gov.uk/docs" TargetMode="External" /><Relationship Type="http://schemas.openxmlformats.org/officeDocument/2006/relationships/hyperlink" Id="rId45" Target="https://api.tfl.gov.uk/line/bakerloo/stoppoints" TargetMode="External" /><Relationship Type="http://schemas.openxmlformats.org/officeDocument/2006/relationships/hyperlink" Id="rId51" Target="https://cran.r-project.org/web/packages/osmdata/vignettes/osmdata.html" TargetMode="External" /><Relationship Type="http://schemas.openxmlformats.org/officeDocument/2006/relationships/hyperlink" Id="rId41" Target="https://data.police.uk/" TargetMode="External" /><Relationship Type="http://schemas.openxmlformats.org/officeDocument/2006/relationships/hyperlink" Id="rId26" Target="https://github.com/" TargetMode="External" /><Relationship Type="http://schemas.openxmlformats.org/officeDocument/2006/relationships/hyperlink" Id="rId30" Target="https://hub.arcgis.com/search" TargetMode="External" /><Relationship Type="http://schemas.openxmlformats.org/officeDocument/2006/relationships/hyperlink" Id="rId85" Target="https://index.okfn.org/" TargetMode="External" /><Relationship Type="http://schemas.openxmlformats.org/officeDocument/2006/relationships/hyperlink" Id="rId67" Target="https://opendatahandbook.org/guide/en/what-is-open-data/" TargetMode="External" /><Relationship Type="http://schemas.openxmlformats.org/officeDocument/2006/relationships/hyperlink" Id="rId83" Target="https://opendefinition.org/od/2.1/en/" TargetMode="External" /><Relationship Type="http://schemas.openxmlformats.org/officeDocument/2006/relationships/hyperlink" Id="rId24" Target="https://osf.io/" TargetMode="External" /><Relationship Type="http://schemas.openxmlformats.org/officeDocument/2006/relationships/hyperlink" Id="rId49" Target="https://overpass-turbo.eu/" TargetMode="External" /><Relationship Type="http://schemas.openxmlformats.org/officeDocument/2006/relationships/hyperlink" Id="rId92" Target="https://ssrn.com/abstract=3086667" TargetMode="External" /><Relationship Type="http://schemas.openxmlformats.org/officeDocument/2006/relationships/hyperlink" Id="rId43" Target="https://tfl.gov.uk/info-for/open-data-users/unified-api" TargetMode="External" /><Relationship Type="http://schemas.openxmlformats.org/officeDocument/2006/relationships/hyperlink" Id="rId52" Target="https://wiki.openstreetmap.org/wiki/Map_Features" TargetMode="External" /><Relationship Type="http://schemas.openxmlformats.org/officeDocument/2006/relationships/hyperlink" Id="rId34" Target="https://www.fixmystreet.com/" TargetMode="External" /><Relationship Type="http://schemas.openxmlformats.org/officeDocument/2006/relationships/hyperlink" Id="rId33" Target="https://www.flickr.com/" TargetMode="External" /><Relationship Type="http://schemas.openxmlformats.org/officeDocument/2006/relationships/hyperlink" Id="rId48" Target="https://www.openstreetmap.org/" TargetMode="External" /><Relationship Type="http://schemas.openxmlformats.org/officeDocument/2006/relationships/hyperlink" Id="rId50" Target="https://www.openstreetmap.org/about" TargetMode="External" /><Relationship Type="http://schemas.openxmlformats.org/officeDocument/2006/relationships/hyperlink" Id="rId25" Target="https://www.ukdataservice.ac.uk/deposit-data" TargetMode="External" /><Relationship Type="http://schemas.openxmlformats.org/officeDocument/2006/relationships/hyperlink" Id="rId32" Target="https://www.wikipedia.org/" TargetMode="External" /><Relationship Type="http://schemas.openxmlformats.org/officeDocument/2006/relationships/hyperlink" Id="rId20" Target="mailto:s.langton@mmu.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Reka Solymosi</dc:creator>
  <cp:keywords/>
  <dcterms:created xsi:type="dcterms:W3CDTF">2020-09-30T15:47:34Z</dcterms:created>
  <dcterms:modified xsi:type="dcterms:W3CDTF">2020-09-30T15:47:34Z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