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Stuttering Therapy Research Compendium</w:t>
      </w:r>
    </w:p>
    <w:p>
      <w:pPr>
        <w:jc w:val="center"/>
      </w:pPr>
      <w:r>
        <w:rPr>
          <w:i/>
          <w:sz w:val="24"/>
        </w:rPr>
        <w:t>Evidence base for the Language AI children's speech-practice application</w:t>
      </w:r>
    </w:p>
    <w:p>
      <w:pPr>
        <w:jc w:val="center"/>
      </w:pPr>
      <w:r>
        <w:rPr>
          <w:sz w:val="18"/>
        </w:rPr>
        <w:t>Prepared June 2026  ·  Covers: Targeted Practice (Phase 2), Fluency-Supportive Conversation (Phase 3), and Technique Tips</w:t>
      </w:r>
    </w:p>
    <w:p/>
    <w:p>
      <w:r>
        <w:rPr>
          <w:b/>
          <w:i w:val="0"/>
          <w:sz w:val="26"/>
        </w:rPr>
        <w:t>How this research was conducted</w:t>
      </w:r>
    </w:p>
    <w:p>
      <w:r>
        <w:rPr>
          <w:b w:val="0"/>
          <w:i/>
          <w:sz w:val="22"/>
        </w:rPr>
        <w:t>Three structured research passes were run against peer-reviewed sources, ASHA-published journals, and established treatment manuals (RESTART-DCM, Lidcombe, Camperdown, Van Riper). Claims in the Phase 3 pass were adversarially verified by a 3-vote process (a claim needed 2 of 3 independent refutations to be discarded); 22 of 25 verified claims were confirmed and 3 were refuted (and are listed so they are NOT encoded). All figures are clinical rules-of-thumb or study findings and should be validated with your supervising speech-language pathologists (SLPs) before clinical rollout.</w:t>
      </w:r>
    </w:p>
    <w:p>
      <w:r>
        <w:br w:type="page"/>
      </w:r>
    </w:p>
    <w:p>
      <w:pPr>
        <w:pStyle w:val="Heading1"/>
      </w:pPr>
      <w:r>
        <w:t>Part 1 — Targeted Practice (Phase 2): SLP Practice Principles</w:t>
      </w:r>
    </w:p>
    <w:p>
      <w:r>
        <w:rPr>
          <w:b w:val="0"/>
          <w:i w:val="0"/>
          <w:sz w:val="22"/>
        </w:rPr>
        <w:t>Goal: select personalized 'Repeat After Me' phrases for each child and adapt difficulty as they improve. These parameters drive the scoring, mastery progression, difficulty ordering and practice mix.</w:t>
      </w:r>
    </w:p>
    <w:p>
      <w:pPr>
        <w:pStyle w:val="Heading2"/>
      </w:pPr>
      <w:r>
        <w:t>1.1  Scoring metric — Percent Syllables Stuttered (%SS)</w:t>
      </w:r>
    </w:p>
    <w:p>
      <w:r>
        <w:rPr>
          <w:b w:val="0"/>
          <w:i w:val="0"/>
          <w:sz w:val="22"/>
        </w:rPr>
        <w:t>%SS is the most-cited stuttering frequency metric. Formula: (stuttered syllables ÷ total syllables) × 100. Guitar (2019) severity bands: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%SS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 in app</w:t>
            </w:r>
          </w:p>
        </w:tc>
      </w:tr>
      <w:tr>
        <w:tc>
          <w:tcPr>
            <w:tcW w:type="dxa" w:w="2880"/>
          </w:tcPr>
          <w:p>
            <w:r>
              <w:t>&lt; 2</w:t>
            </w:r>
          </w:p>
        </w:tc>
        <w:tc>
          <w:tcPr>
            <w:tcW w:type="dxa" w:w="2880"/>
          </w:tcPr>
          <w:p>
            <w:r>
              <w:t>Normal / mastered</w:t>
            </w:r>
          </w:p>
        </w:tc>
        <w:tc>
          <w:tcPr>
            <w:tcW w:type="dxa" w:w="2880"/>
          </w:tcPr>
          <w:p>
            <w:r>
              <w:t>Promote / mark mastered</w:t>
            </w:r>
          </w:p>
        </w:tc>
      </w:tr>
      <w:tr>
        <w:tc>
          <w:tcPr>
            <w:tcW w:type="dxa" w:w="2880"/>
          </w:tcPr>
          <w:p>
            <w:r>
              <w:t>2 – &lt;4</w:t>
            </w:r>
          </w:p>
        </w:tc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At level</w:t>
            </w:r>
          </w:p>
        </w:tc>
      </w:tr>
      <w:tr>
        <w:tc>
          <w:tcPr>
            <w:tcW w:type="dxa" w:w="2880"/>
          </w:tcPr>
          <w:p>
            <w:r>
              <w:t>4 – &lt;8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Needs work</w:t>
            </w:r>
          </w:p>
        </w:tc>
      </w:tr>
      <w:tr>
        <w:tc>
          <w:tcPr>
            <w:tcW w:type="dxa" w:w="2880"/>
          </w:tcPr>
          <w:p>
            <w:r>
              <w:t>≥ 8</w:t>
            </w:r>
          </w:p>
        </w:tc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Drop difficulty, reinforce</w:t>
            </w:r>
          </w:p>
        </w:tc>
      </w:tr>
    </w:tbl>
    <w:p/>
    <w:p>
      <w:r>
        <w:rPr>
          <w:b w:val="0"/>
          <w:i w:val="0"/>
          <w:sz w:val="22"/>
        </w:rPr>
        <w:t>Clinical cutoff distinguishing developmental stuttering from normal disfluency: the 3% SLD cutoff (Yairi &amp; Ambrose, 1999/2005), aligning with the Mild-band floor (≥2%). A conversational sample of ≥300 syllables (500–600 preferred) is recommended for a stable measure.</w:t>
      </w:r>
    </w:p>
    <w:p>
      <w:pPr>
        <w:pStyle w:val="Heading2"/>
      </w:pPr>
      <w:r>
        <w:t>1.2  Which disfluencies count (refines profile weighting)</w:t>
      </w:r>
    </w:p>
    <w:p>
      <w:r>
        <w:rPr>
          <w:b w:val="0"/>
          <w:i w:val="0"/>
          <w:sz w:val="22"/>
        </w:rPr>
        <w:t>The %SS standard counts only 'stuttering-like' disfluencies toward severity:</w:t>
      </w:r>
    </w:p>
    <w:p>
      <w:pPr>
        <w:pStyle w:val="ListBullet"/>
      </w:pPr>
      <w:r>
        <w:rPr>
          <w:b/>
        </w:rPr>
        <w:t xml:space="preserve">COUNT (stuttering-like): </w:t>
      </w:r>
      <w:r>
        <w:t>part-word repetitions, single-syllable whole-word repetitions, prolongations, and blocks.</w:t>
      </w:r>
    </w:p>
    <w:p>
      <w:pPr>
        <w:pStyle w:val="ListBullet"/>
      </w:pPr>
      <w:r>
        <w:rPr>
          <w:b/>
        </w:rPr>
        <w:t xml:space="preserve">DO NOT COUNT (typical disfluency): </w:t>
      </w:r>
      <w:r>
        <w:t>multisyllabic-word repetitions, phrase repetitions, interjections, and revisions.</w:t>
      </w:r>
    </w:p>
    <w:p>
      <w:r>
        <w:rPr>
          <w:b w:val="0"/>
          <w:i w:val="0"/>
          <w:sz w:val="22"/>
        </w:rPr>
        <w:t>Implication: in the disfluency profile and attempt scoring, weight blocks / prolongations / part-word repetitions heavily and treat interjections / revisions as near-zero (they are normal disfluency).</w:t>
      </w:r>
    </w:p>
    <w:p>
      <w:pPr>
        <w:pStyle w:val="Heading2"/>
      </w:pPr>
      <w:r>
        <w:t>1.3  Difficulty ordering — Index of Phonetic Complexity (IPC)</w:t>
      </w:r>
    </w:p>
    <w:p>
      <w:r>
        <w:rPr>
          <w:b w:val="0"/>
          <w:i w:val="0"/>
          <w:sz w:val="22"/>
        </w:rPr>
        <w:t>The IPC is an 8-factor word-complexity index. The factors most predictive of stuttering, in order of importance: consonant manner &gt; consonant place &gt; word length &gt; contiguous consonant clusters.</w:t>
      </w:r>
    </w:p>
    <w:p>
      <w:pPr>
        <w:pStyle w:val="ListBullet"/>
      </w:pPr>
      <w:r>
        <w:t>Content words are harder than function words, and this effect grows with age (stronger for 11–18 than 6–11).</w:t>
      </w:r>
    </w:p>
    <w:p>
      <w:pPr>
        <w:pStyle w:val="ListBullet"/>
      </w:pPr>
      <w:r>
        <w:t>Counterintuitive: /str/ is 'easy' per IPC (homorganic — all coronals), while /pl/ and /kw/ are harder. More consonants in a cluster does NOT necessarily mean harder.</w:t>
      </w:r>
    </w:p>
    <w:p>
      <w:r>
        <w:rPr>
          <w:b w:val="0"/>
          <w:i w:val="0"/>
          <w:sz w:val="22"/>
        </w:rPr>
        <w:t>Recommendation: keep your SLP-assigned difficulty tiers as authoritative; use IPC as a refinement / tiebreaker within a tier, and bias toward content-word phrases as the child ages.</w:t>
      </w:r>
    </w:p>
    <w:p>
      <w:pPr>
        <w:pStyle w:val="Heading2"/>
      </w:pPr>
      <w:r>
        <w:t>1.4  Practice scheduling (validates the mixed-batch design)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Principle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 rule</w:t>
            </w:r>
          </w:p>
        </w:tc>
      </w:tr>
      <w:tr>
        <w:tc>
          <w:tcPr>
            <w:tcW w:type="dxa" w:w="2880"/>
          </w:tcPr>
          <w:p>
            <w:r>
              <w:t>Blocked vs random</w:t>
            </w:r>
          </w:p>
        </w:tc>
        <w:tc>
          <w:tcPr>
            <w:tcW w:type="dxa" w:w="2880"/>
          </w:tcPr>
          <w:p>
            <w:r>
              <w:t>Blocked = better in-session; random/mixed = better retention &amp; generalization</w:t>
            </w:r>
          </w:p>
        </w:tc>
        <w:tc>
          <w:tcPr>
            <w:tcW w:type="dxa" w:w="2880"/>
          </w:tcPr>
          <w:p>
            <w:r>
              <w:t>New sound: a few blocked reps, then mix sounds/types in the batch</w:t>
            </w:r>
          </w:p>
        </w:tc>
      </w:tr>
      <w:tr>
        <w:tc>
          <w:tcPr>
            <w:tcW w:type="dxa" w:w="2880"/>
          </w:tcPr>
          <w:p>
            <w:r>
              <w:t>Massed vs distributed</w:t>
            </w:r>
          </w:p>
        </w:tc>
        <w:tc>
          <w:tcPr>
            <w:tcW w:type="dxa" w:w="2880"/>
          </w:tcPr>
          <w:p>
            <w:r>
              <w:t>Distributed (spaced) practice = better retention</w:t>
            </w:r>
          </w:p>
        </w:tc>
        <w:tc>
          <w:tcPr>
            <w:tcW w:type="dxa" w:w="2880"/>
          </w:tcPr>
          <w:p>
            <w:r>
              <w:t>Spread practice across days, not one cram session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Fade feedback as accuracy rises</w:t>
            </w:r>
          </w:p>
        </w:tc>
        <w:tc>
          <w:tcPr>
            <w:tcW w:type="dxa" w:w="2880"/>
          </w:tcPr>
          <w:p>
            <w:r>
              <w:t>Heavy coaching early; reduce as a sound is mastered</w:t>
            </w:r>
          </w:p>
        </w:tc>
      </w:tr>
    </w:tbl>
    <w:p/>
    <w:p>
      <w:pPr>
        <w:pStyle w:val="Heading2"/>
      </w:pPr>
      <w:r>
        <w:t>1.5  Mastery / progression criteria</w:t>
      </w:r>
    </w:p>
    <w:p>
      <w:pPr>
        <w:pStyle w:val="ListBullet"/>
      </w:pPr>
      <w:r>
        <w:t>Lidcombe advances a stage at near-zero stuttering sustained ~3 consecutive weeks (severity rating ≤1–2 on a 0–10 scale).</w:t>
      </w:r>
    </w:p>
    <w:p>
      <w:pPr>
        <w:pStyle w:val="ListBullet"/>
      </w:pPr>
      <w:r>
        <w:t>App analog: promote a sound's difficulty after consistent low %SS (&lt; ~2–3%) across N consecutive attempts/sessions — not a single good run. Demote if %SS climbs into moderate/severe.</w:t>
      </w:r>
    </w:p>
    <w:p>
      <w:pPr>
        <w:pStyle w:val="Heading2"/>
      </w:pPr>
      <w:r>
        <w:t>1.6  Caveats</w:t>
      </w:r>
    </w:p>
    <w:p>
      <w:pPr>
        <w:pStyle w:val="ListBullet"/>
      </w:pPr>
      <w:r>
        <w:t>Lidcombe/Camperdown criteria are clinician-rated whole-day severity; per-attempt %SS is an adaptation — calibrate with SLPs.</w:t>
      </w:r>
    </w:p>
    <w:p>
      <w:pPr>
        <w:pStyle w:val="ListBullet"/>
      </w:pPr>
      <w:r>
        <w:t>IPC is a research index; SLP-assigned tiers remain authoritative.</w:t>
      </w:r>
    </w:p>
    <w:p>
      <w:pPr>
        <w:pStyle w:val="ListBullet"/>
      </w:pPr>
      <w:r>
        <w:t>Validate the %SS bands and progression rule with therapists before rollout.</w:t>
      </w:r>
    </w:p>
    <w:p>
      <w:pPr>
        <w:pStyle w:val="Heading2"/>
      </w:pPr>
      <w:r>
        <w:t>1.7  Sources (Phase 2)</w:t>
      </w:r>
    </w:p>
    <w:p>
      <w:pPr>
        <w:pStyle w:val="ListBullet"/>
      </w:pPr>
      <w:r>
        <w:t xml:space="preserve">Phonetic difficulty and stuttering in English (IPC) — PMC — </w:t>
      </w:r>
      <w:hyperlink r:id="rId9">
        <w:r>
          <w:rPr>
            <w:color w:val="0563C1"/>
            <w:u w:val="single"/>
          </w:rPr>
          <w:t>https://www.ncbi.nlm.nih.gov/pmc/articles/PMC1885475/</w:t>
        </w:r>
      </w:hyperlink>
    </w:p>
    <w:p>
      <w:pPr>
        <w:pStyle w:val="ListBullet"/>
      </w:pPr>
      <w:r>
        <w:t xml:space="preserve">%SS severity bands (Guitar 2019) — ConductScience calculator — </w:t>
      </w:r>
      <w:hyperlink r:id="rId10">
        <w:r>
          <w:rPr>
            <w:color w:val="0563C1"/>
            <w:u w:val="single"/>
          </w:rPr>
          <w:t>https://conductscience.com/tools/stuttering-frequency-calculator</w:t>
        </w:r>
      </w:hyperlink>
    </w:p>
    <w:p>
      <w:pPr>
        <w:pStyle w:val="ListBullet"/>
      </w:pPr>
      <w:r>
        <w:t xml:space="preserve">SSI-4 Stuttering Severity Instrument overview — </w:t>
      </w:r>
      <w:hyperlink r:id="rId11">
        <w:r>
          <w:rPr>
            <w:color w:val="0563C1"/>
            <w:u w:val="single"/>
          </w:rPr>
          <w:t>https://www.theraplatform.com/blog/1277/stuttering-severity-instrument-4th-edition-ssi-4</w:t>
        </w:r>
      </w:hyperlink>
    </w:p>
    <w:p>
      <w:pPr>
        <w:pStyle w:val="ListBullet"/>
      </w:pPr>
      <w:r>
        <w:t xml:space="preserve">Lidcombe Program Treatment Guide (2025) — </w:t>
      </w:r>
      <w:hyperlink r:id="rId12">
        <w:r>
          <w:rPr>
            <w:color w:val="0563C1"/>
            <w:u w:val="single"/>
          </w:rPr>
          <w:t>https://lidcombeprogram.org/wp-content/uploads/2025/08/The-Lidcombe-Program-Treatment-Guide-V1.7c_2025-08-14.pdf</w:t>
        </w:r>
      </w:hyperlink>
    </w:p>
    <w:p>
      <w:pPr>
        <w:pStyle w:val="ListBullet"/>
      </w:pPr>
      <w:r>
        <w:t xml:space="preserve">Camperdown Program Treatment Guide (2018) — </w:t>
      </w:r>
      <w:hyperlink r:id="rId13">
        <w:r>
          <w:rPr>
            <w:color w:val="0563C1"/>
            <w:u w:val="single"/>
          </w:rPr>
          <w:t>https://www.uts.edu.au/sites/default/files/2018-10/Camperdown%20Program%20Treatment%20Guide%20June%202018.pdf</w:t>
        </w:r>
      </w:hyperlink>
    </w:p>
    <w:p>
      <w:pPr>
        <w:pStyle w:val="ListBullet"/>
      </w:pPr>
      <w:r>
        <w:t xml:space="preserve">20Q: Principles of Motor Learning for Speech Sound Disorders — </w:t>
      </w:r>
      <w:hyperlink r:id="rId14">
        <w:r>
          <w:rPr>
            <w:color w:val="0563C1"/>
            <w:u w:val="single"/>
          </w:rPr>
          <w:t>https://www.speechpathology.com/articles/20q-principles-motor-learning-and-20589</w:t>
        </w:r>
      </w:hyperlink>
    </w:p>
    <w:p>
      <w:r>
        <w:br w:type="page"/>
      </w:r>
    </w:p>
    <w:p>
      <w:pPr>
        <w:pStyle w:val="Heading1"/>
      </w:pPr>
      <w:r>
        <w:t>Part 2 — Fluency-Supportive Conversation (Phase 3)</w:t>
      </w:r>
    </w:p>
    <w:p>
      <w:r>
        <w:rPr>
          <w:b w:val="0"/>
          <w:i w:val="0"/>
          <w:sz w:val="22"/>
        </w:rPr>
        <w:t>Goal: design the conversational agent ('Ollie') to support children who stutter during natural conversation. This pass was fully adversarially verified (22/25 claims confirmed).</w:t>
      </w:r>
    </w:p>
    <w:p>
      <w:pPr>
        <w:pStyle w:val="Heading2"/>
      </w:pPr>
      <w:r>
        <w:t>2.1  Headline finding — do NOT steer toward target sounds</w:t>
      </w:r>
    </w:p>
    <w:p>
      <w:r>
        <w:rPr>
          <w:b w:val="0"/>
          <w:i w:val="0"/>
          <w:sz w:val="22"/>
        </w:rPr>
        <w:t>The strongest finding (verified 3-0): drawing a child's conscious attention to producing target sounds during spontaneous conversation is likely counterproductive. Fluency improves when attention is diverted AWAY from speech (increasing motor-speech automaticity), and stuttered words are inherently more phonologically complex. Conscious sound-targeting belongs in structured practice (Phase 2), NOT in spontaneous conversation. In conversation, Ollie should instead be a low-demand, confidence-building partner. (Eichorn et al., JSLHR 2022; Sasisekaran, J. Fluency Disord. 2014; Sisskin &amp; Goldstein, ARTS 2022.)</w:t>
      </w:r>
    </w:p>
    <w:p>
      <w:pPr>
        <w:pStyle w:val="Heading2"/>
      </w:pPr>
      <w:r>
        <w:t>2.2  Concrete conversation-policy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Evidence-based 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Agent speech rate</w:t>
            </w:r>
          </w:p>
        </w:tc>
        <w:tc>
          <w:tcPr>
            <w:tcW w:type="dxa" w:w="2880"/>
          </w:tcPr>
          <w:p>
            <w:r>
              <w:t>Slow / relaxed; model rate ≤ ~3.5 syllables/sec (do not exceed a young child's fluent rate). Goal is to model calm pace, NOT to slow the child.</w:t>
            </w:r>
          </w:p>
        </w:tc>
        <w:tc>
          <w:tcPr>
            <w:tcW w:type="dxa" w:w="2880"/>
          </w:tcPr>
          <w:p>
            <w:r>
              <w:t>RESTART-DCM; LaSalle 2015</w:t>
            </w:r>
          </w:p>
        </w:tc>
      </w:tr>
      <w:tr>
        <w:tc>
          <w:tcPr>
            <w:tcW w:type="dxa" w:w="2880"/>
          </w:tcPr>
          <w:p>
            <w:r>
              <w:t>Response latency</w:t>
            </w:r>
          </w:p>
        </w:tc>
        <w:tc>
          <w:tcPr>
            <w:tcW w:type="dxa" w:w="2880"/>
          </w:tcPr>
          <w:p>
            <w:r>
              <w:t>Wait ~1–2 s before replying; never interrupt/overlap the child's turn</w:t>
            </w:r>
          </w:p>
        </w:tc>
        <w:tc>
          <w:tcPr>
            <w:tcW w:type="dxa" w:w="2880"/>
          </w:tcPr>
          <w:p>
            <w:r>
              <w:t>RESTART-DCM</w:t>
            </w:r>
          </w:p>
        </w:tc>
      </w:tr>
      <w:tr>
        <w:tc>
          <w:tcPr>
            <w:tcW w:type="dxa" w:w="2880"/>
          </w:tcPr>
          <w:p>
            <w:r>
              <w:t>Question frequency</w:t>
            </w:r>
          </w:p>
        </w:tc>
        <w:tc>
          <w:tcPr>
            <w:tcW w:type="dxa" w:w="2880"/>
          </w:tcPr>
          <w:p>
            <w:r>
              <w:t>Fewer questions; mix in comments/statements; do not pepper with questions</w:t>
            </w:r>
          </w:p>
        </w:tc>
        <w:tc>
          <w:tcPr>
            <w:tcW w:type="dxa" w:w="2880"/>
          </w:tcPr>
          <w:p>
            <w:r>
              <w:t>RESTART-DCM</w:t>
            </w:r>
          </w:p>
        </w:tc>
      </w:tr>
      <w:tr>
        <w:tc>
          <w:tcPr>
            <w:tcW w:type="dxa" w:w="2880"/>
          </w:tcPr>
          <w:p>
            <w:r>
              <w:t>Question type</w:t>
            </w:r>
          </w:p>
        </w:tc>
        <w:tc>
          <w:tcPr>
            <w:tcW w:type="dxa" w:w="2880"/>
          </w:tcPr>
          <w:p>
            <w:r>
              <w:t>Do NOT force closed &gt; open (this claim was REFUTED)</w:t>
            </w:r>
          </w:p>
        </w:tc>
        <w:tc>
          <w:tcPr>
            <w:tcW w:type="dxa" w:w="2880"/>
          </w:tcPr>
          <w:p>
            <w:r>
              <w:t>Refuted finding</w:t>
            </w:r>
          </w:p>
        </w:tc>
      </w:tr>
      <w:tr>
        <w:tc>
          <w:tcPr>
            <w:tcW w:type="dxa" w:w="2880"/>
          </w:tcPr>
          <w:p>
            <w:r>
              <w:t>Utterance length/complexity</w:t>
            </w:r>
          </w:p>
        </w:tc>
        <w:tc>
          <w:tcPr>
            <w:tcW w:type="dxa" w:w="2880"/>
          </w:tcPr>
          <w:p>
            <w:r>
              <w:t>At or below the child's developmental level; short, simple</w:t>
            </w:r>
          </w:p>
        </w:tc>
        <w:tc>
          <w:tcPr>
            <w:tcW w:type="dxa" w:w="2880"/>
          </w:tcPr>
          <w:p>
            <w:r>
              <w:t>RESTART-DCM</w:t>
            </w:r>
          </w:p>
        </w:tc>
      </w:tr>
      <w:tr>
        <w:tc>
          <w:tcPr>
            <w:tcW w:type="dxa" w:w="2880"/>
          </w:tcPr>
          <w:p>
            <w:r>
              <w:t>Utterances per turn</w:t>
            </w:r>
          </w:p>
        </w:tc>
        <w:tc>
          <w:tcPr>
            <w:tcW w:type="dxa" w:w="2880"/>
          </w:tcPr>
          <w:p>
            <w:r>
              <w:t>Do not out-talk the child; keep replies brief</w:t>
            </w:r>
          </w:p>
        </w:tc>
        <w:tc>
          <w:tcPr>
            <w:tcW w:type="dxa" w:w="2880"/>
          </w:tcPr>
          <w:p>
            <w:r>
              <w:t>RESTART-DCM</w:t>
            </w:r>
          </w:p>
        </w:tc>
      </w:tr>
      <w:tr>
        <w:tc>
          <w:tcPr>
            <w:tcW w:type="dxa" w:w="2880"/>
          </w:tcPr>
          <w:p>
            <w:r>
              <w:t>Topic switching</w:t>
            </w:r>
          </w:p>
        </w:tc>
        <w:tc>
          <w:tcPr>
            <w:tcW w:type="dxa" w:w="2880"/>
          </w:tcPr>
          <w:p>
            <w:r>
              <w:t>Avoid frequent changes; stay on topic; use redundancy</w:t>
            </w:r>
          </w:p>
        </w:tc>
        <w:tc>
          <w:tcPr>
            <w:tcW w:type="dxa" w:w="2880"/>
          </w:tcPr>
          <w:p>
            <w:r>
              <w:t>RESTART-DCM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Non-evaluative, accepting; never comment on HOW the child speaks; build confidence, not fluency-performance</w:t>
            </w:r>
          </w:p>
        </w:tc>
        <w:tc>
          <w:tcPr>
            <w:tcW w:type="dxa" w:w="2880"/>
          </w:tcPr>
          <w:p>
            <w:r>
              <w:t>ARTS; Murphy 2007</w:t>
            </w:r>
          </w:p>
        </w:tc>
      </w:tr>
      <w:tr>
        <w:tc>
          <w:tcPr>
            <w:tcW w:type="dxa" w:w="2880"/>
          </w:tcPr>
          <w:p>
            <w:r>
              <w:t>Turn-taking UX</w:t>
            </w:r>
          </w:p>
        </w:tc>
        <w:tc>
          <w:tcPr>
            <w:tcW w:type="dxa" w:w="2880"/>
          </w:tcPr>
          <w:p>
            <w:r>
              <w:t>Tolerate natural pauses; clear 'your turn' cues; don't cut in prematurely</w:t>
            </w:r>
          </w:p>
        </w:tc>
        <w:tc>
          <w:tcPr>
            <w:tcW w:type="dxa" w:w="2880"/>
          </w:tcPr>
          <w:p>
            <w:r>
              <w:t>Child-CA design study</w:t>
            </w:r>
          </w:p>
        </w:tc>
      </w:tr>
      <w:tr>
        <w:tc>
          <w:tcPr>
            <w:tcW w:type="dxa" w:w="2880"/>
          </w:tcPr>
          <w:p>
            <w:r>
              <w:t>Safety / ethics</w:t>
            </w:r>
          </w:p>
        </w:tc>
        <w:tc>
          <w:tcPr>
            <w:tcW w:type="dxa" w:w="2880"/>
          </w:tcPr>
          <w:p>
            <w:r>
              <w:t>Be transparent it is an AI; no evaluative pressure; escalate concerns to a clinician; no autonomous AI is validated for stuttering yet</w:t>
            </w:r>
          </w:p>
        </w:tc>
        <w:tc>
          <w:tcPr>
            <w:tcW w:type="dxa" w:w="2880"/>
          </w:tcPr>
          <w:p>
            <w:r>
              <w:t>Child-CA risk study</w:t>
            </w:r>
          </w:p>
        </w:tc>
      </w:tr>
    </w:tbl>
    <w:p/>
    <w:p>
      <w:pPr>
        <w:pStyle w:val="Heading2"/>
      </w:pPr>
      <w:r>
        <w:t>2.3  Verified findings (with evidence and vote)</w:t>
      </w:r>
    </w:p>
    <w:p>
      <w:pPr>
        <w:pStyle w:val="ListBullet"/>
      </w:pPr>
      <w:r>
        <w:rPr>
          <w:b/>
        </w:rPr>
        <w:t xml:space="preserve">Speech rate is a motor demand  [3-0 / 2-1]  </w:t>
      </w:r>
      <w:r>
        <w:t>Partner should match (not exceed) the child's fluent articulation rate (rarely &gt; ~3.5 syll/sec in young children). Slowing the partner's rate is associated with reduced stuttering; children with normal phonology align ~20% to a slowed model. Lowering the CHILD's rate is explicitly NOT the goal. (RESTART-DCM; LaSalle 2015; Demirsoy Demirci et al. 2025.)</w:t>
      </w:r>
    </w:p>
    <w:p>
      <w:pPr>
        <w:pStyle w:val="ListBullet"/>
      </w:pPr>
      <w:r>
        <w:rPr>
          <w:b/>
        </w:rPr>
        <w:t xml:space="preserve">Long response latency, no overlap  [3-0]  </w:t>
      </w:r>
      <w:r>
        <w:t>RESTART-DCM prescribes ~1–2 s response latency and no overlapping turn-taking. Caveat: Godsey &amp; Ratner (2024) measured real parental latencies at ~0.43–0.62 s and found no latency–fluency link, so the 1–2 s figure is a clinical rule-of-thumb, not an established efficacy threshold.</w:t>
      </w:r>
    </w:p>
    <w:p>
      <w:pPr>
        <w:pStyle w:val="ListBullet"/>
      </w:pPr>
      <w:r>
        <w:rPr>
          <w:b/>
        </w:rPr>
        <w:t xml:space="preserve">Reduce linguistic/communicative demands  [3-0]  </w:t>
      </w:r>
      <w:r>
        <w:t>Fewer questions; complexity at/below the child's level; not more utterances per turn than the child; avoid frequent topic changes; increase redundancy. Model alternatives ('use statements') rather than suppress. Note: preferring closed/forced-choice questions was REFUTED.</w:t>
      </w:r>
    </w:p>
    <w:p>
      <w:pPr>
        <w:pStyle w:val="ListBullet"/>
      </w:pPr>
      <w:r>
        <w:rPr>
          <w:b/>
        </w:rPr>
        <w:t xml:space="preserve">Carryover is built gradually  [3-0]  </w:t>
      </w:r>
      <w:r>
        <w:t>RESTART-DCM transfer hierarchy: structured practice → 15-min 1:1 'Special Times' (≥5 days/week) → one fixed daily situation → gradually expand. Supports a staged, low-pressure carryover policy rather than demanding fluency everywhere at once.</w:t>
      </w:r>
    </w:p>
    <w:p>
      <w:pPr>
        <w:pStyle w:val="ListBullet"/>
      </w:pPr>
      <w:r>
        <w:rPr>
          <w:b/>
        </w:rPr>
        <w:t xml:space="preserve">Indirect (DCM) ≈ direct by 18 months  [3-0]  </w:t>
      </w:r>
      <w:r>
        <w:t>RESTART RCT (PLOS ONE 2015; n=199): at 18 months 76.5% (Lidcombe) vs 71.4% (RESTART-DCM) non-stuttering, p=.45 (n.s.). Direct treatment reduced stuttering faster in the first 3 months (p=.005) but outcomes were comparable by 18 months.</w:t>
      </w:r>
    </w:p>
    <w:p>
      <w:pPr>
        <w:pStyle w:val="ListBullet"/>
      </w:pPr>
      <w:r>
        <w:rPr>
          <w:b/>
        </w:rPr>
        <w:t xml:space="preserve">Do not draw attention to target sounds  [3-0 / 2-1]  </w:t>
      </w:r>
      <w:r>
        <w:t>Dual-task conditions diverting attention from speech REDUCED disfluencies; stuttered words are higher in phonological complexity. Argues against conscious sound-targeting in spontaneous speech. Caveat: a lab mechanism, not validated therapy; attention-diversion effects are not consistently replicated.</w:t>
      </w:r>
    </w:p>
    <w:p>
      <w:pPr>
        <w:pStyle w:val="ListBullet"/>
      </w:pPr>
      <w:r>
        <w:rPr>
          <w:b/>
        </w:rPr>
        <w:t xml:space="preserve">Keep it low-pressure &amp; non-evaluative  [3-0]  </w:t>
      </w:r>
      <w:r>
        <w:t>Pressuring concealment or fluency performance increases avoidance, shame and fear of speaking. ARTS and desensitization approaches reduce these negative reactions by targeting anxiety/avoidance rather than fluency or specific sounds. (Sisskin &amp; Goldstein 2022; Murphy, Yaruss &amp; Quesal 2007.)</w:t>
      </w:r>
    </w:p>
    <w:p>
      <w:pPr>
        <w:pStyle w:val="ListBullet"/>
      </w:pPr>
      <w:r>
        <w:rPr>
          <w:b/>
        </w:rPr>
        <w:t xml:space="preserve">Reducing partner anxiety helps the child  [3-0 / 2-1 (medium confidence)]  </w:t>
      </w:r>
      <w:r>
        <w:t>An 8-week parent-only desensitization program improved children's communication attitudes/behaviors and reduced parental anxiety (Caglayan et al. 2025; n=20, uncontrolled pre/post — preliminary).</w:t>
      </w:r>
    </w:p>
    <w:p>
      <w:pPr>
        <w:pStyle w:val="ListBullet"/>
      </w:pPr>
      <w:r>
        <w:rPr>
          <w:b/>
        </w:rPr>
        <w:t xml:space="preserve">Technology delivery is viable  [3-0]  </w:t>
      </w:r>
      <w:r>
        <w:t>Webcam Lidcombe is non-inferior to in-clinic (Bridgman 2016). MIDA-SP telepractice reduced SSI-4 25.9→17.3 (p=.003) (Tomaiuoli 2021). A voice agent (Google Home Mini) replicated a human partner's dialogic-reading benefits (Xu 2022). Caveat: no study validates an autonomous AI for stuttering specifically.</w:t>
      </w:r>
    </w:p>
    <w:p>
      <w:pPr>
        <w:pStyle w:val="Heading2"/>
      </w:pPr>
      <w:r>
        <w:t>2.4  Refuted claims — do NOT encode these</w:t>
      </w:r>
    </w:p>
    <w:p>
      <w:pPr>
        <w:pStyle w:val="ListBullet"/>
      </w:pPr>
      <w:r>
        <w:t>Preferring closed/forced-choice questions over open questions when the child stutters (vote 0-3).</w:t>
      </w:r>
    </w:p>
    <w:p>
      <w:pPr>
        <w:pStyle w:val="ListBullet"/>
      </w:pPr>
      <w:r>
        <w:t>Assuming anxiety-reduction reliably coincides with fluency gains (vote 1-2).</w:t>
      </w:r>
    </w:p>
    <w:p>
      <w:pPr>
        <w:pStyle w:val="ListBullet"/>
      </w:pPr>
      <w:r>
        <w:t>Assuming the agent reliably increases relevant speech and reduces off-task speech (vote 0-3).</w:t>
      </w:r>
    </w:p>
    <w:p>
      <w:pPr>
        <w:pStyle w:val="Heading2"/>
      </w:pPr>
      <w:r>
        <w:t>2.5  Caveats &amp; open questions</w:t>
      </w:r>
    </w:p>
    <w:p>
      <w:pPr>
        <w:pStyle w:val="ListBullet"/>
      </w:pPr>
      <w:r>
        <w:t>Most quantified evidence is for preschoolers (~3–6); school-age (7–15) evidence is thinner (case-study/lab-level).</w:t>
      </w:r>
    </w:p>
    <w:p>
      <w:pPr>
        <w:pStyle w:val="ListBullet"/>
      </w:pPr>
      <w:r>
        <w:t>The 3.5 syll/sec and 1–2 s latency figures come from one clinical manual (RESTART-DCM); the latency's efficacy is contested.</w:t>
      </w:r>
    </w:p>
    <w:p>
      <w:pPr>
        <w:pStyle w:val="ListBullet"/>
      </w:pPr>
      <w:r>
        <w:t>No study evaluated an autonomous conversational AI for stuttering — feasibility is inferred by analogy.</w:t>
      </w:r>
    </w:p>
    <w:p>
      <w:pPr>
        <w:pStyle w:val="ListBullet"/>
      </w:pPr>
      <w:r>
        <w:t>Open: optimal parameters for the 7–15 segment; whether non-conscious topic priming is safe/effective; safety guardrails for child-facing AI.</w:t>
      </w:r>
    </w:p>
    <w:p>
      <w:pPr>
        <w:pStyle w:val="Heading2"/>
      </w:pPr>
      <w:r>
        <w:t>2.6  Sources (Phase 3)</w:t>
      </w:r>
    </w:p>
    <w:p>
      <w:pPr>
        <w:pStyle w:val="ListBullet"/>
      </w:pPr>
      <w:r>
        <w:t xml:space="preserve">RESTART-DCM Method (2025) — clinical manual — </w:t>
      </w:r>
      <w:hyperlink r:id="rId15">
        <w:r>
          <w:rPr>
            <w:color w:val="0563C1"/>
            <w:u w:val="single"/>
          </w:rPr>
          <w:t>https://restartdcm.nl/wp-content/uploads/2025/02/RestartDCM-Method-2025.pdf</w:t>
        </w:r>
      </w:hyperlink>
    </w:p>
    <w:p>
      <w:pPr>
        <w:pStyle w:val="ListBullet"/>
      </w:pPr>
      <w:r>
        <w:t xml:space="preserve">RESTART RCT — DCM vs Lidcombe (PLOS ONE 2015) — </w:t>
      </w:r>
      <w:hyperlink r:id="rId16">
        <w:r>
          <w:rPr>
            <w:color w:val="0563C1"/>
            <w:u w:val="single"/>
          </w:rPr>
          <w:t>https://www.researchgate.net/publication/283165480_Comparing_a_Demands_and_Capacities_Model_Approach_and_the_Lidcombe_Program_for_Pre-school_Stuttering_Children_The_Restart_Randomised_trail</w:t>
        </w:r>
      </w:hyperlink>
    </w:p>
    <w:p>
      <w:pPr>
        <w:pStyle w:val="ListBullet"/>
      </w:pPr>
      <w:r>
        <w:t xml:space="preserve">LaSalle (2015) — slow speech rate effects — </w:t>
      </w:r>
      <w:hyperlink r:id="rId17">
        <w:r>
          <w:rPr>
            <w:color w:val="0563C1"/>
            <w:u w:val="single"/>
          </w:rPr>
          <w:t>https://franklinsusanibar.com/wp-content/uploads/2019/10/2015-LaSalle-Slow-speech-rate-effects-on-stuttering-preschoolers-with.pdf</w:t>
        </w:r>
      </w:hyperlink>
    </w:p>
    <w:p>
      <w:pPr>
        <w:pStyle w:val="ListBullet"/>
      </w:pPr>
      <w:r>
        <w:t xml:space="preserve">Demirsoy Demirci et al. (2025) — parental rate &amp; severity — </w:t>
      </w:r>
      <w:hyperlink r:id="rId18">
        <w:r>
          <w:rPr>
            <w:color w:val="0563C1"/>
            <w:u w:val="single"/>
          </w:rPr>
          <w:t>https://pubmed.ncbi.nlm.nih.gov/40684538/</w:t>
        </w:r>
      </w:hyperlink>
    </w:p>
    <w:p>
      <w:pPr>
        <w:pStyle w:val="ListBullet"/>
      </w:pPr>
      <w:r>
        <w:t xml:space="preserve">Eichorn et al. (JSLHR 2022) — attention diversion &amp; fluency — </w:t>
      </w:r>
      <w:hyperlink r:id="rId19">
        <w:r>
          <w:rPr>
            <w:color w:val="0563C1"/>
            <w:u w:val="single"/>
          </w:rPr>
          <w:t>https://doi.org/10.1044/2022_JSLHR-21-00426</w:t>
        </w:r>
      </w:hyperlink>
    </w:p>
    <w:p>
      <w:pPr>
        <w:pStyle w:val="ListBullet"/>
      </w:pPr>
      <w:r>
        <w:t xml:space="preserve">Sasisekaran et al. (2014) — phonological complexity in CWS — </w:t>
      </w:r>
      <w:hyperlink r:id="rId20">
        <w:r>
          <w:rPr>
            <w:color w:val="0563C1"/>
            <w:u w:val="single"/>
          </w:rPr>
          <w:t>https://www.sciencedirect.com/science/article/abs/pii/S0094730X14000795</w:t>
        </w:r>
      </w:hyperlink>
    </w:p>
    <w:p>
      <w:pPr>
        <w:pStyle w:val="ListBullet"/>
      </w:pPr>
      <w:r>
        <w:t xml:space="preserve">Sisskin &amp; Goldstein (2022) — Avoidance Reduction Therapy (ARTS) — </w:t>
      </w:r>
      <w:hyperlink r:id="rId21">
        <w:r>
          <w:rPr>
            <w:color w:val="0563C1"/>
            <w:u w:val="single"/>
          </w:rPr>
          <w:t>https://pubmed.ncbi.nlm.nih.gov/35697036/</w:t>
        </w:r>
      </w:hyperlink>
    </w:p>
    <w:p>
      <w:pPr>
        <w:pStyle w:val="ListBullet"/>
      </w:pPr>
      <w:r>
        <w:t xml:space="preserve">Murphy, Yaruss &amp; Quesal (2007) — desensitization &amp; cognitive restructuring — </w:t>
      </w:r>
      <w:hyperlink r:id="rId22">
        <w:r>
          <w:rPr>
            <w:color w:val="0563C1"/>
            <w:u w:val="single"/>
          </w:rPr>
          <w:t>https://pubmed.ncbi.nlm.nih.gov/17499125/</w:t>
        </w:r>
      </w:hyperlink>
    </w:p>
    <w:p>
      <w:pPr>
        <w:pStyle w:val="ListBullet"/>
      </w:pPr>
      <w:r>
        <w:t xml:space="preserve">Caglayan, Balo &amp; Mavis (2025) — parent desensitization — </w:t>
      </w:r>
      <w:hyperlink r:id="rId23">
        <w:r>
          <w:rPr>
            <w:color w:val="0563C1"/>
            <w:u w:val="single"/>
          </w:rPr>
          <w:t>https://www.sciencedirect.com/science/article/abs/pii/S0094730X25000439</w:t>
        </w:r>
      </w:hyperlink>
    </w:p>
    <w:p>
      <w:pPr>
        <w:pStyle w:val="ListBullet"/>
      </w:pPr>
      <w:r>
        <w:t xml:space="preserve">Bridgman et al. (2016) — webcam Lidcombe non-inferiority — </w:t>
      </w:r>
      <w:hyperlink r:id="rId24">
        <w:r>
          <w:rPr>
            <w:color w:val="0563C1"/>
            <w:u w:val="single"/>
          </w:rPr>
          <w:t>https://pubs.asha.org/doi/10.1044/2016_JSLHR-S-15-0011</w:t>
        </w:r>
      </w:hyperlink>
    </w:p>
    <w:p>
      <w:pPr>
        <w:pStyle w:val="ListBullet"/>
      </w:pPr>
      <w:r>
        <w:t xml:space="preserve">Tomaiuoli et al. (2021) — MIDA-SP telepractice — </w:t>
      </w:r>
      <w:hyperlink r:id="rId25">
        <w:r>
          <w:rPr>
            <w:color w:val="0563C1"/>
            <w:u w:val="single"/>
          </w:rPr>
          <w:t>https://pmc.ncbi.nlm.nih.gov/articles/PMC8287732/</w:t>
        </w:r>
      </w:hyperlink>
    </w:p>
    <w:p>
      <w:pPr>
        <w:pStyle w:val="ListBullet"/>
      </w:pPr>
      <w:r>
        <w:t xml:space="preserve">Xu et al. (2022, Child Development) — voice agent dialogic reading — </w:t>
      </w:r>
      <w:hyperlink r:id="rId26">
        <w:r>
          <w:rPr>
            <w:color w:val="0563C1"/>
            <w:u w:val="single"/>
          </w:rPr>
          <w:t>https://onlinelibrary.wiley.com/doi/10.1111/cdev.13708</w:t>
        </w:r>
      </w:hyperlink>
    </w:p>
    <w:p>
      <w:pPr>
        <w:pStyle w:val="ListBullet"/>
      </w:pPr>
      <w:r>
        <w:t xml:space="preserve">ASHA Evidence Map — Telepractice for stuttering (systematic review) — </w:t>
      </w:r>
      <w:hyperlink r:id="rId27">
        <w:r>
          <w:rPr>
            <w:color w:val="0563C1"/>
            <w:u w:val="single"/>
          </w:rPr>
          <w:t>https://apps.asha.org/EvidenceMaps/Articles/ArticleSummary/e8aab86b-8b21-4173-ad80-ac57f10d08cf</w:t>
        </w:r>
      </w:hyperlink>
    </w:p>
    <w:p>
      <w:r>
        <w:br w:type="page"/>
      </w:r>
    </w:p>
    <w:p>
      <w:pPr>
        <w:pStyle w:val="Heading1"/>
      </w:pPr>
      <w:r>
        <w:t>Part 3 — Speech Technique Tips by Disfluency Type</w:t>
      </w:r>
    </w:p>
    <w:p>
      <w:r>
        <w:rPr>
          <w:b w:val="0"/>
          <w:i w:val="0"/>
          <w:sz w:val="22"/>
        </w:rPr>
        <w:t>A ready-to-embed library of techniques tagged to the disfluency type each addresses, with kid-friendly cues. Intended to surface as in-app coaching (e.g. after a practice attempt or for a child's dominant stutter type).</w:t>
      </w:r>
    </w:p>
    <w:p>
      <w:pPr>
        <w:pStyle w:val="Heading2"/>
      </w:pPr>
      <w:r>
        <w:t>3.1  Quick mapping — what to suggest for each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Disfluency type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Best-fit techniques</w:t>
            </w:r>
          </w:p>
        </w:tc>
      </w:tr>
      <w:tr>
        <w:tc>
          <w:tcPr>
            <w:tcW w:type="dxa" w:w="4320"/>
          </w:tcPr>
          <w:p>
            <w:r>
              <w:t>Block (sound stops, tension)</w:t>
            </w:r>
          </w:p>
        </w:tc>
        <w:tc>
          <w:tcPr>
            <w:tcW w:type="dxa" w:w="4320"/>
          </w:tcPr>
          <w:p>
            <w:r>
              <w:t>Pull-out, Preparatory set, Cancellation, Easy onset, Light contact, Diaphragmatic breathing, Pause-and-reset</w:t>
            </w:r>
          </w:p>
        </w:tc>
      </w:tr>
      <w:tr>
        <w:tc>
          <w:tcPr>
            <w:tcW w:type="dxa" w:w="4320"/>
          </w:tcPr>
          <w:p>
            <w:r>
              <w:t>Prolongation (sound stretched)</w:t>
            </w:r>
          </w:p>
        </w:tc>
        <w:tc>
          <w:tcPr>
            <w:tcW w:type="dxa" w:w="4320"/>
          </w:tcPr>
          <w:p>
            <w:r>
              <w:t>Light articulatory contact, Easy onset, Reduced rate, Release-tension</w:t>
            </w:r>
          </w:p>
        </w:tc>
      </w:tr>
      <w:tr>
        <w:tc>
          <w:tcPr>
            <w:tcW w:type="dxa" w:w="4320"/>
          </w:tcPr>
          <w:p>
            <w:r>
              <w:t>Sound/part-word repetition (b-b-ball)</w:t>
            </w:r>
          </w:p>
        </w:tc>
        <w:tc>
          <w:tcPr>
            <w:tcW w:type="dxa" w:w="4320"/>
          </w:tcPr>
          <w:p>
            <w:r>
              <w:t>Slow/stretchy speech, Easy onset, Continuous phonation, Light contact, Pausing</w:t>
            </w:r>
          </w:p>
        </w:tc>
      </w:tr>
      <w:tr>
        <w:tc>
          <w:tcPr>
            <w:tcW w:type="dxa" w:w="4320"/>
          </w:tcPr>
          <w:p>
            <w:r>
              <w:t>Word/phrase repetition, interjections, revisions (often typical)</w:t>
            </w:r>
          </w:p>
        </w:tc>
        <w:tc>
          <w:tcPr>
            <w:tcW w:type="dxa" w:w="4320"/>
          </w:tcPr>
          <w:p>
            <w:r>
              <w:t>Slow down, Pause &amp; phrase, Reduce time-pressure (usually NOT drilled)</w:t>
            </w:r>
          </w:p>
        </w:tc>
      </w:tr>
      <w:tr>
        <w:tc>
          <w:tcPr>
            <w:tcW w:type="dxa" w:w="4320"/>
          </w:tcPr>
          <w:p>
            <w:r>
              <w:t>Physical tension / secondary behaviors</w:t>
            </w:r>
          </w:p>
        </w:tc>
        <w:tc>
          <w:tcPr>
            <w:tcW w:type="dxa" w:w="4320"/>
          </w:tcPr>
          <w:p>
            <w:r>
              <w:t>Diaphragmatic breathing, Relaxation, Light contact, Cancellation, Desensitization</w:t>
            </w:r>
          </w:p>
        </w:tc>
      </w:tr>
    </w:tbl>
    <w:p/>
    <w:p>
      <w:pPr>
        <w:pStyle w:val="Heading2"/>
      </w:pPr>
      <w:r>
        <w:t>3.2  Technique library</w:t>
      </w:r>
    </w:p>
    <w:p>
      <w:r>
        <w:rPr>
          <w:b/>
          <w:i w:val="0"/>
          <w:sz w:val="22"/>
        </w:rPr>
        <w:t>Fluency-shaping (smooth-speech) tools</w:t>
      </w:r>
    </w:p>
    <w:p>
      <w:pPr>
        <w:pStyle w:val="ListBullet"/>
      </w:pPr>
      <w:r>
        <w:rPr>
          <w:b/>
        </w:rPr>
        <w:t xml:space="preserve">Easy / gentle onset (cue: 'airplane take-off' / 'ease into it') — </w:t>
      </w:r>
      <w:r>
        <w:t>Start words (especially vowel-initial) by turning the voice on gradually. Best for: blocks, prolongations, repetitions. Well-supported.</w:t>
      </w:r>
    </w:p>
    <w:p>
      <w:pPr>
        <w:pStyle w:val="ListBullet"/>
      </w:pPr>
      <w:r>
        <w:rPr>
          <w:b/>
        </w:rPr>
        <w:t xml:space="preserve">Light articulatory contact (cue: 'light/feather touch', 'butterfly lips') — </w:t>
      </w:r>
      <w:r>
        <w:t>Touch lips/tongue/teeth softly on p, b, t, d, k, g. Best for: blocks, prolongations. Well-supported.</w:t>
      </w:r>
    </w:p>
    <w:p>
      <w:pPr>
        <w:pStyle w:val="ListBullet"/>
      </w:pPr>
      <w:r>
        <w:rPr>
          <w:b/>
        </w:rPr>
        <w:t xml:space="preserve">Continuous phonation (cue: 'keep the motor running') — </w:t>
      </w:r>
      <w:r>
        <w:t>Keep the voice going smoothly across a phrase. Best for: repetitions, blocks. Well-supported.</w:t>
      </w:r>
    </w:p>
    <w:p>
      <w:pPr>
        <w:pStyle w:val="ListBullet"/>
      </w:pPr>
      <w:r>
        <w:rPr>
          <w:b/>
        </w:rPr>
        <w:t xml:space="preserve">Prolonged / stretchy speech (cue: 'stretchy snake speech') — </w:t>
      </w:r>
      <w:r>
        <w:t>Lengthen syllables to smooth the flow. Best for: repetitions, rate control. Core of many programs.</w:t>
      </w:r>
    </w:p>
    <w:p>
      <w:pPr>
        <w:pStyle w:val="ListBullet"/>
      </w:pPr>
      <w:r>
        <w:rPr>
          <w:b/>
        </w:rPr>
        <w:t xml:space="preserve">Reduced speech rate / slow speech (cue: 'turtle speech') — </w:t>
      </w:r>
      <w:r>
        <w:t>Slow down; literature targets ~40–60 syllables/minute for slowed practice. Best for: all types. Strong support.</w:t>
      </w:r>
    </w:p>
    <w:p>
      <w:pPr>
        <w:pStyle w:val="ListBullet"/>
      </w:pPr>
      <w:r>
        <w:rPr>
          <w:b/>
        </w:rPr>
        <w:t xml:space="preserve">Pausing &amp; phrasing (cue: 'take a little break', 'chunk it') — </w:t>
      </w:r>
      <w:r>
        <w:t>Insert natural pauses between phrases (effective rate control). Best for: word/phrase repetitions, interjections, revisions.</w:t>
      </w:r>
    </w:p>
    <w:p>
      <w:r>
        <w:rPr>
          <w:b/>
          <w:i w:val="0"/>
          <w:sz w:val="22"/>
        </w:rPr>
        <w:t>Stuttering-modification tools (Van Riper) — when a stutter is happening</w:t>
      </w:r>
    </w:p>
    <w:p>
      <w:pPr>
        <w:pStyle w:val="ListBullet"/>
      </w:pPr>
      <w:r>
        <w:rPr>
          <w:b/>
        </w:rPr>
        <w:t xml:space="preserve">Preparatory set — </w:t>
      </w:r>
      <w:r>
        <w:t>When the child anticipates a hard word, approach it slowly/calmly with easy onset + light contact. Best for: blocks.</w:t>
      </w:r>
    </w:p>
    <w:p>
      <w:pPr>
        <w:pStyle w:val="ListBullet"/>
      </w:pPr>
      <w:r>
        <w:rPr>
          <w:b/>
        </w:rPr>
        <w:t xml:space="preserve">Pull-out — </w:t>
      </w:r>
      <w:r>
        <w:t>During a block/prolongation, release tension and gently slide/stretch out of the sound to finish the word. Best for: blocks, prolongations.</w:t>
      </w:r>
    </w:p>
    <w:p>
      <w:pPr>
        <w:pStyle w:val="ListBullet"/>
      </w:pPr>
      <w:r>
        <w:rPr>
          <w:b/>
        </w:rPr>
        <w:t xml:space="preserve">Cancellation — </w:t>
      </w:r>
      <w:r>
        <w:t>After a stuttered word, pause, then say it again with an easier stutter (goal is easier, not perfect). Best for: blocks, tension.</w:t>
      </w:r>
    </w:p>
    <w:p>
      <w:r>
        <w:rPr>
          <w:b w:val="0"/>
          <w:i/>
          <w:sz w:val="22"/>
        </w:rPr>
        <w:t>These follow Van Riper's 4 stages: identification → desensitization → modification → generalization.</w:t>
      </w:r>
    </w:p>
    <w:p>
      <w:r>
        <w:rPr>
          <w:b/>
          <w:i w:val="0"/>
          <w:sz w:val="22"/>
        </w:rPr>
        <w:t>Breathing, body, pacing &amp; rhythm tools</w:t>
      </w:r>
    </w:p>
    <w:p>
      <w:pPr>
        <w:pStyle w:val="ListBullet"/>
      </w:pPr>
      <w:r>
        <w:rPr>
          <w:b/>
        </w:rPr>
        <w:t xml:space="preserve">Diaphragmatic / belly breathing — </w:t>
      </w:r>
      <w:r>
        <w:t>'balloon belly', 'smell the flower, blow the candle' — breathe low and slow to reduce tension. Best for: blocks, secondary tension. 'Probably efficacious' (regulated-breathing evidence).</w:t>
      </w:r>
    </w:p>
    <w:p>
      <w:pPr>
        <w:pStyle w:val="ListBullet"/>
      </w:pPr>
      <w:r>
        <w:rPr>
          <w:b/>
        </w:rPr>
        <w:t xml:space="preserve">Relaxation / tension release — </w:t>
      </w:r>
      <w:r>
        <w:t>'loosen up', 'floppy' — release jaw, lips, shoulders, throat. Best for: physical tension/secondary behaviors.</w:t>
      </w:r>
    </w:p>
    <w:p>
      <w:pPr>
        <w:pStyle w:val="ListBullet"/>
      </w:pPr>
      <w:r>
        <w:rPr>
          <w:b/>
        </w:rPr>
        <w:t xml:space="preserve">Syllable-timed / rhythmic speech — </w:t>
      </w:r>
      <w:r>
        <w:t>'tap it out' — one syllable per beat. Best for: repetitions.</w:t>
      </w:r>
    </w:p>
    <w:p>
      <w:pPr>
        <w:pStyle w:val="ListBullet"/>
      </w:pPr>
      <w:r>
        <w:rPr>
          <w:b/>
        </w:rPr>
        <w:t xml:space="preserve">Pacing board / finger-tap pacing — </w:t>
      </w:r>
      <w:r>
        <w:t>Touch a spot or tap per word to hold a steady rate. Best for: repetitions, rate control.</w:t>
      </w:r>
    </w:p>
    <w:p>
      <w:pPr>
        <w:pStyle w:val="Heading2"/>
      </w:pPr>
      <w:r>
        <w:t>3.3  Cautions — what NOT to do</w:t>
      </w:r>
    </w:p>
    <w:p>
      <w:pPr>
        <w:pStyle w:val="ListBullet"/>
      </w:pPr>
      <w:r>
        <w:t>Preschoolers (~2–6): therapy is usually environment-focused (reducing pressure), NOT drilling intricate techniques.</w:t>
      </w:r>
    </w:p>
    <w:p>
      <w:pPr>
        <w:pStyle w:val="ListBullet"/>
      </w:pPr>
      <w:r>
        <w:t>Van Riper block-modification has a critique in the literature ('might do more harm than good' for some) — use gently, never forced.</w:t>
      </w:r>
    </w:p>
    <w:p>
      <w:pPr>
        <w:pStyle w:val="ListBullet"/>
      </w:pPr>
      <w:r>
        <w:t>ASHA notes pure fluency-reduction can be seen as ableist; modern practice balances fluency tools with communication confidence and acceptance.</w:t>
      </w:r>
    </w:p>
    <w:p>
      <w:pPr>
        <w:pStyle w:val="ListBullet"/>
      </w:pPr>
      <w:r>
        <w:t>Avoid as corrections: 'slow down', 'stop', 'take a breath', 'think before you talk', 'just relax' — they add pressure and shame.</w:t>
      </w:r>
    </w:p>
    <w:p>
      <w:pPr>
        <w:pStyle w:val="ListBullet"/>
      </w:pPr>
      <w:r>
        <w:t>Never tell a child their speech is wrong. Keep tips positive, low-pressure and non-evaluative.</w:t>
      </w:r>
    </w:p>
    <w:p>
      <w:pPr>
        <w:pStyle w:val="Heading2"/>
      </w:pPr>
      <w:r>
        <w:t>3.4  Sources (Technique Tips)</w:t>
      </w:r>
    </w:p>
    <w:p>
      <w:pPr>
        <w:pStyle w:val="ListBullet"/>
      </w:pPr>
      <w:r>
        <w:t xml:space="preserve">ASHA — Fluency Disorders Practice Portal — </w:t>
      </w:r>
      <w:hyperlink r:id="rId28">
        <w:r>
          <w:rPr>
            <w:color w:val="0563C1"/>
            <w:u w:val="single"/>
          </w:rPr>
          <w:t>https://www.asha.org/practice-portal/clinical-topics/fluency-disorders/</w:t>
        </w:r>
      </w:hyperlink>
    </w:p>
    <w:p>
      <w:pPr>
        <w:pStyle w:val="ListBullet"/>
      </w:pPr>
      <w:r>
        <w:t xml:space="preserve">Stuttering Modification Therapy — The Van Riper Approach (MNSU) — </w:t>
      </w:r>
      <w:hyperlink r:id="rId29">
        <w:r>
          <w:rPr>
            <w:color w:val="0563C1"/>
            <w:u w:val="single"/>
          </w:rPr>
          <w:t>https://ahn.mnsu.edu/globalassets/college-of-allied-health-and-nursing/speech-hearing-and-rehabilitation-services/stuttering/serious-information/the-bookstore/vanriper.pdf</w:t>
        </w:r>
      </w:hyperlink>
    </w:p>
    <w:p>
      <w:pPr>
        <w:pStyle w:val="ListBullet"/>
      </w:pPr>
      <w:r>
        <w:t xml:space="preserve">Stuttering Modification — Van Riper's 4-Phase Guide — </w:t>
      </w:r>
      <w:hyperlink r:id="rId30">
        <w:r>
          <w:rPr>
            <w:color w:val="0563C1"/>
            <w:u w:val="single"/>
          </w:rPr>
          <w:t>https://www.stutteringtreatment.org/blog/stuttering-modification-techniques-strategies</w:t>
        </w:r>
      </w:hyperlink>
    </w:p>
    <w:p>
      <w:pPr>
        <w:pStyle w:val="ListBullet"/>
      </w:pPr>
      <w:r>
        <w:t xml:space="preserve">Slow, Easy, Confident: Speech Tools for Kids Who Stutter — </w:t>
      </w:r>
      <w:hyperlink r:id="rId31">
        <w:r>
          <w:rPr>
            <w:color w:val="0563C1"/>
            <w:u w:val="single"/>
          </w:rPr>
          <w:t>https://ctdpediatrictherapy.com/slow-easy-confident-speech-tools-for-kids-who-stutter/</w:t>
        </w:r>
      </w:hyperlink>
    </w:p>
    <w:p>
      <w:pPr>
        <w:pStyle w:val="ListBullet"/>
      </w:pPr>
      <w:r>
        <w:t xml:space="preserve">Diaphragmatic Breathing for Kids Who Stutter — </w:t>
      </w:r>
      <w:hyperlink r:id="rId32">
        <w:r>
          <w:rPr>
            <w:color w:val="0563C1"/>
            <w:u w:val="single"/>
          </w:rPr>
          <w:t>https://www.parkwoodclinic.com/post/diaphragmatic-breathing-a-helpful-tool-for-kids-who-stutter</w:t>
        </w:r>
      </w:hyperlink>
    </w:p>
    <w:p>
      <w:pPr>
        <w:pStyle w:val="ListBullet"/>
      </w:pPr>
      <w:r>
        <w:t xml:space="preserve">Regulated Breathing as a Treatment for Stuttering — Empirical Review — </w:t>
      </w:r>
      <w:hyperlink r:id="rId33">
        <w:r>
          <w:rPr>
            <w:color w:val="0563C1"/>
            <w:u w:val="single"/>
          </w:rPr>
          <w:t>https://awspntest.apa.org/fulltext/2014-51875-002.pdf</w:t>
        </w:r>
      </w:hyperlink>
    </w:p>
    <w:p>
      <w:pPr>
        <w:pStyle w:val="ListBullet"/>
      </w:pPr>
      <w:r>
        <w:t xml:space="preserve">Fluency-Shaping Techniques (Wikibooks) — </w:t>
      </w:r>
      <w:hyperlink r:id="rId34">
        <w:r>
          <w:rPr>
            <w:color w:val="0563C1"/>
            <w:u w:val="single"/>
          </w:rPr>
          <w:t>https://en.wikibooks.org/wiki/Speech-Language_Pathology/Stuttering/Fluency-Shaping_Therapy/Fluency-Shaping_Techniques</w:t>
        </w:r>
      </w:hyperlink>
    </w:p>
    <w:p>
      <w:r>
        <w:br w:type="page"/>
      </w:r>
    </w:p>
    <w:p>
      <w:pPr>
        <w:pStyle w:val="Heading2"/>
      </w:pPr>
      <w:r>
        <w:t>Disclaimer</w:t>
      </w:r>
    </w:p>
    <w:p>
      <w:r>
        <w:rPr>
          <w:b w:val="0"/>
          <w:i/>
          <w:sz w:val="22"/>
        </w:rPr>
        <w:t>This compendium summarizes published research and clinical guidance for product design purposes. It is not clinical advice. All thresholds and techniques must be reviewed and approved by qualified speech-language pathologists before use with children. Several findings derive from preschool populations or small studies; no autonomous conversational AI has been clinically validated for stuttering.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pmc/articles/PMC1885475/" TargetMode="External"/><Relationship Id="rId10" Type="http://schemas.openxmlformats.org/officeDocument/2006/relationships/hyperlink" Target="https://conductscience.com/tools/stuttering-frequency-calculator" TargetMode="External"/><Relationship Id="rId11" Type="http://schemas.openxmlformats.org/officeDocument/2006/relationships/hyperlink" Target="https://www.theraplatform.com/blog/1277/stuttering-severity-instrument-4th-edition-ssi-4" TargetMode="External"/><Relationship Id="rId12" Type="http://schemas.openxmlformats.org/officeDocument/2006/relationships/hyperlink" Target="https://lidcombeprogram.org/wp-content/uploads/2025/08/The-Lidcombe-Program-Treatment-Guide-V1.7c_2025-08-14.pdf" TargetMode="External"/><Relationship Id="rId13" Type="http://schemas.openxmlformats.org/officeDocument/2006/relationships/hyperlink" Target="https://www.uts.edu.au/sites/default/files/2018-10/Camperdown%20Program%20Treatment%20Guide%20June%202018.pdf" TargetMode="External"/><Relationship Id="rId14" Type="http://schemas.openxmlformats.org/officeDocument/2006/relationships/hyperlink" Target="https://www.speechpathology.com/articles/20q-principles-motor-learning-and-20589" TargetMode="External"/><Relationship Id="rId15" Type="http://schemas.openxmlformats.org/officeDocument/2006/relationships/hyperlink" Target="https://restartdcm.nl/wp-content/uploads/2025/02/RestartDCM-Method-2025.pdf" TargetMode="External"/><Relationship Id="rId16" Type="http://schemas.openxmlformats.org/officeDocument/2006/relationships/hyperlink" Target="https://www.researchgate.net/publication/283165480_Comparing_a_Demands_and_Capacities_Model_Approach_and_the_Lidcombe_Program_for_Pre-school_Stuttering_Children_The_Restart_Randomised_trail" TargetMode="External"/><Relationship Id="rId17" Type="http://schemas.openxmlformats.org/officeDocument/2006/relationships/hyperlink" Target="https://franklinsusanibar.com/wp-content/uploads/2019/10/2015-LaSalle-Slow-speech-rate-effects-on-stuttering-preschoolers-with.pdf" TargetMode="External"/><Relationship Id="rId18" Type="http://schemas.openxmlformats.org/officeDocument/2006/relationships/hyperlink" Target="https://pubmed.ncbi.nlm.nih.gov/40684538/" TargetMode="External"/><Relationship Id="rId19" Type="http://schemas.openxmlformats.org/officeDocument/2006/relationships/hyperlink" Target="https://doi.org/10.1044/2022_JSLHR-21-00426" TargetMode="External"/><Relationship Id="rId20" Type="http://schemas.openxmlformats.org/officeDocument/2006/relationships/hyperlink" Target="https://www.sciencedirect.com/science/article/abs/pii/S0094730X14000795" TargetMode="External"/><Relationship Id="rId21" Type="http://schemas.openxmlformats.org/officeDocument/2006/relationships/hyperlink" Target="https://pubmed.ncbi.nlm.nih.gov/35697036/" TargetMode="External"/><Relationship Id="rId22" Type="http://schemas.openxmlformats.org/officeDocument/2006/relationships/hyperlink" Target="https://pubmed.ncbi.nlm.nih.gov/17499125/" TargetMode="External"/><Relationship Id="rId23" Type="http://schemas.openxmlformats.org/officeDocument/2006/relationships/hyperlink" Target="https://www.sciencedirect.com/science/article/abs/pii/S0094730X25000439" TargetMode="External"/><Relationship Id="rId24" Type="http://schemas.openxmlformats.org/officeDocument/2006/relationships/hyperlink" Target="https://pubs.asha.org/doi/10.1044/2016_JSLHR-S-15-0011" TargetMode="External"/><Relationship Id="rId25" Type="http://schemas.openxmlformats.org/officeDocument/2006/relationships/hyperlink" Target="https://pmc.ncbi.nlm.nih.gov/articles/PMC8287732/" TargetMode="External"/><Relationship Id="rId26" Type="http://schemas.openxmlformats.org/officeDocument/2006/relationships/hyperlink" Target="https://onlinelibrary.wiley.com/doi/10.1111/cdev.13708" TargetMode="External"/><Relationship Id="rId27" Type="http://schemas.openxmlformats.org/officeDocument/2006/relationships/hyperlink" Target="https://apps.asha.org/EvidenceMaps/Articles/ArticleSummary/e8aab86b-8b21-4173-ad80-ac57f10d08cf" TargetMode="External"/><Relationship Id="rId28" Type="http://schemas.openxmlformats.org/officeDocument/2006/relationships/hyperlink" Target="https://www.asha.org/practice-portal/clinical-topics/fluency-disorders/" TargetMode="External"/><Relationship Id="rId29" Type="http://schemas.openxmlformats.org/officeDocument/2006/relationships/hyperlink" Target="https://ahn.mnsu.edu/globalassets/college-of-allied-health-and-nursing/speech-hearing-and-rehabilitation-services/stuttering/serious-information/the-bookstore/vanriper.pdf" TargetMode="External"/><Relationship Id="rId30" Type="http://schemas.openxmlformats.org/officeDocument/2006/relationships/hyperlink" Target="https://www.stutteringtreatment.org/blog/stuttering-modification-techniques-strategies" TargetMode="External"/><Relationship Id="rId31" Type="http://schemas.openxmlformats.org/officeDocument/2006/relationships/hyperlink" Target="https://ctdpediatrictherapy.com/slow-easy-confident-speech-tools-for-kids-who-stutter/" TargetMode="External"/><Relationship Id="rId32" Type="http://schemas.openxmlformats.org/officeDocument/2006/relationships/hyperlink" Target="https://www.parkwoodclinic.com/post/diaphragmatic-breathing-a-helpful-tool-for-kids-who-stutter" TargetMode="External"/><Relationship Id="rId33" Type="http://schemas.openxmlformats.org/officeDocument/2006/relationships/hyperlink" Target="https://awspntest.apa.org/fulltext/2014-51875-002.pdf" TargetMode="External"/><Relationship Id="rId34" Type="http://schemas.openxmlformats.org/officeDocument/2006/relationships/hyperlink" Target="https://en.wikibooks.org/wiki/Speech-Language_Pathology/Stuttering/Fluency-Shaping_Therapy/Fluency-Shaping_Techniq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