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pBdr>
          <w:bottom w:val="double" w:color="auto" w:sz="4" w:space="0"/>
        </w:pBdr>
        <w:jc w:val="center"/>
        <w:rPr>
          <w:rFonts w:hint="eastAsia" w:asciiTheme="majorEastAsia" w:hAnsiTheme="majorEastAsia" w:eastAsiaTheme="majorEastAsia" w:cstheme="majorEastAsia"/>
          <w:b/>
          <w:bCs/>
          <w:sz w:val="44"/>
          <w:szCs w:val="52"/>
          <w:lang w:val="en-US" w:eastAsia="zh-CN"/>
        </w:rPr>
      </w:pPr>
      <w:r>
        <w:rPr>
          <w:rFonts w:hint="eastAsia" w:asciiTheme="majorEastAsia" w:hAnsiTheme="majorEastAsia" w:eastAsiaTheme="majorEastAsia" w:cstheme="majorEastAsia"/>
          <w:b/>
          <w:bCs/>
          <w:sz w:val="44"/>
          <w:szCs w:val="52"/>
          <w:lang w:val="en-US" w:eastAsia="zh-CN"/>
        </w:rPr>
        <w:t>Xxxx股份有限公司文件</w:t>
      </w:r>
    </w:p>
    <w:p>
      <w:pPr>
        <w:numPr>
          <w:ilvl w:val="0"/>
          <w:numId w:val="0"/>
        </w:numPr>
        <w:jc w:val="center"/>
        <w:rPr>
          <w:rFonts w:hint="eastAsia" w:asciiTheme="majorEastAsia" w:hAnsiTheme="majorEastAsia" w:eastAsiaTheme="majorEastAsia" w:cstheme="majorEastAsia"/>
          <w:b/>
          <w:bCs/>
          <w:sz w:val="32"/>
          <w:szCs w:val="40"/>
          <w:lang w:val="en-US" w:eastAsia="zh-CN"/>
        </w:rPr>
      </w:pPr>
    </w:p>
    <w:p>
      <w:pPr>
        <w:numPr>
          <w:ilvl w:val="0"/>
          <w:numId w:val="0"/>
        </w:numPr>
        <w:jc w:val="center"/>
        <w:rPr>
          <w:rFonts w:hint="eastAsia" w:asciiTheme="majorEastAsia" w:hAnsiTheme="majorEastAsia" w:eastAsiaTheme="majorEastAsia" w:cstheme="majorEastAsia"/>
          <w:b/>
          <w:bCs/>
          <w:sz w:val="36"/>
          <w:szCs w:val="44"/>
          <w:lang w:val="en-US" w:eastAsia="zh-CN"/>
        </w:rPr>
      </w:pPr>
      <w:r>
        <w:rPr>
          <w:rFonts w:hint="eastAsia" w:asciiTheme="majorEastAsia" w:hAnsiTheme="majorEastAsia" w:eastAsiaTheme="majorEastAsia" w:cstheme="majorEastAsia"/>
          <w:b/>
          <w:bCs/>
          <w:sz w:val="36"/>
          <w:szCs w:val="44"/>
          <w:lang w:val="en-US" w:eastAsia="zh-CN"/>
        </w:rPr>
        <w:t>Xxx股份有限公司</w:t>
      </w:r>
    </w:p>
    <w:p>
      <w:pPr>
        <w:numPr>
          <w:ilvl w:val="0"/>
          <w:numId w:val="0"/>
        </w:numPr>
        <w:jc w:val="center"/>
        <w:rPr>
          <w:rFonts w:hint="eastAsia" w:asciiTheme="majorEastAsia" w:hAnsiTheme="majorEastAsia" w:eastAsiaTheme="majorEastAsia" w:cstheme="majorEastAsia"/>
          <w:b/>
          <w:bCs/>
          <w:sz w:val="36"/>
          <w:szCs w:val="44"/>
          <w:lang w:val="en-US" w:eastAsia="zh-CN"/>
        </w:rPr>
      </w:pPr>
      <w:r>
        <w:rPr>
          <w:rFonts w:hint="eastAsia" w:asciiTheme="majorEastAsia" w:hAnsiTheme="majorEastAsia" w:eastAsiaTheme="majorEastAsia" w:cstheme="majorEastAsia"/>
          <w:b/>
          <w:bCs/>
          <w:sz w:val="36"/>
          <w:szCs w:val="44"/>
          <w:lang w:val="en-US" w:eastAsia="zh-CN"/>
        </w:rPr>
        <w:t>研究开发机构组织管理制度</w:t>
      </w:r>
    </w:p>
    <w:p>
      <w:pPr>
        <w:numPr>
          <w:ilvl w:val="0"/>
          <w:numId w:val="0"/>
        </w:numPr>
        <w:jc w:val="center"/>
        <w:rPr>
          <w:rFonts w:hint="eastAsia" w:asciiTheme="majorEastAsia" w:hAnsiTheme="majorEastAsia" w:eastAsiaTheme="majorEastAsia" w:cstheme="majorEastAsia"/>
          <w:b/>
          <w:bCs/>
          <w:sz w:val="32"/>
          <w:szCs w:val="40"/>
          <w:lang w:val="en-US" w:eastAsia="zh-CN"/>
        </w:rPr>
      </w:pPr>
    </w:p>
    <w:p>
      <w:pPr>
        <w:numPr>
          <w:ilvl w:val="0"/>
          <w:numId w:val="1"/>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 xml:space="preserve"> 总章</w:t>
      </w:r>
    </w:p>
    <w:p>
      <w:pPr>
        <w:numPr>
          <w:ilvl w:val="0"/>
          <w:numId w:val="2"/>
        </w:numPr>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为加速xxxx</w:t>
      </w:r>
      <w:bookmarkStart w:id="0" w:name="_GoBack"/>
      <w:bookmarkEnd w:id="0"/>
      <w:r>
        <w:rPr>
          <w:rFonts w:hint="eastAsia" w:asciiTheme="majorEastAsia" w:hAnsiTheme="majorEastAsia" w:eastAsiaTheme="majorEastAsia" w:cstheme="majorEastAsia"/>
          <w:b w:val="0"/>
          <w:bCs w:val="0"/>
          <w:sz w:val="28"/>
          <w:szCs w:val="36"/>
          <w:lang w:val="en-US" w:eastAsia="zh-CN"/>
        </w:rPr>
        <w:t>股份有限公司新产品的开发，加强公司研发项目的管理，规范项目立项程序管理，提高项目管理效率，促进公司经济效益的提高，结合公司实际情况，特制定本制度。</w:t>
      </w:r>
    </w:p>
    <w:p>
      <w:pPr>
        <w:numPr>
          <w:ilvl w:val="0"/>
          <w:numId w:val="2"/>
        </w:numPr>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研发项目立项管理的基本原则就是科学管理、明确权责、管理公开、精简高效。</w:t>
      </w:r>
    </w:p>
    <w:p>
      <w:pPr>
        <w:numPr>
          <w:ilvl w:val="0"/>
          <w:numId w:val="2"/>
        </w:numPr>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为保证研发项目立项管理的规范性和有效性，同时建立项目管理公开制度、报告制度、回避制度、监督检查和审计评价制度。</w:t>
      </w:r>
    </w:p>
    <w:p>
      <w:pPr>
        <w:numPr>
          <w:ilvl w:val="0"/>
          <w:numId w:val="3"/>
        </w:numPr>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公开制度：在执行有关技术保密规定的原则下，由公司研发部门对项目立项，项目实施、阶段性成果和验收坚定结果等通过一程序公开发布。</w:t>
      </w:r>
    </w:p>
    <w:p>
      <w:pPr>
        <w:numPr>
          <w:ilvl w:val="0"/>
          <w:numId w:val="3"/>
        </w:numPr>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报告制度：项目承担部门（组）、项目负责人应定期报告项目执行情况，并根据要求按期如实填报有关日程表。</w:t>
      </w:r>
    </w:p>
    <w:p>
      <w:pPr>
        <w:numPr>
          <w:ilvl w:val="0"/>
          <w:numId w:val="3"/>
        </w:numPr>
        <w:jc w:val="both"/>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val="0"/>
          <w:bCs w:val="0"/>
          <w:sz w:val="28"/>
          <w:szCs w:val="36"/>
          <w:lang w:val="en-US" w:eastAsia="zh-CN"/>
        </w:rPr>
        <w:t>监督检查与审计评价制度：项目承担部门（组）在和项目责任人在项目实施过程中，应严格履行项目任务书，在项目任务书中规定的范围内，享有充分的自主权。同时，项目承担部门（组）和项目负责人有义务主动接受其他部门的监督检查、绩效考核等跟踪管理。</w:t>
      </w:r>
    </w:p>
    <w:p>
      <w:pPr>
        <w:numPr>
          <w:ilvl w:val="0"/>
          <w:numId w:val="1"/>
        </w:numPr>
        <w:ind w:left="0" w:leftChars="0" w:firstLine="0" w:firstLineChars="0"/>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 xml:space="preserve">  项目调研</w:t>
      </w:r>
    </w:p>
    <w:p>
      <w:pPr>
        <w:numPr>
          <w:ilvl w:val="0"/>
          <w:numId w:val="2"/>
        </w:numPr>
        <w:ind w:left="0" w:leftChars="0" w:firstLine="0" w:firstLine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项目调研工作由研发部完成，相关部门配合。</w:t>
      </w:r>
    </w:p>
    <w:p>
      <w:pPr>
        <w:numPr>
          <w:ilvl w:val="0"/>
          <w:numId w:val="2"/>
        </w:numPr>
        <w:ind w:left="0" w:leftChars="0" w:firstLine="0" w:firstLine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项目调研的主要任务：</w:t>
      </w:r>
    </w:p>
    <w:p>
      <w:pPr>
        <w:numPr>
          <w:ilvl w:val="0"/>
          <w:numId w:val="4"/>
        </w:numPr>
        <w:ind w:left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论证该领域技术（产品）的发展方向和动向：</w:t>
      </w:r>
    </w:p>
    <w:p>
      <w:pPr>
        <w:numPr>
          <w:ilvl w:val="0"/>
          <w:numId w:val="4"/>
        </w:numPr>
        <w:ind w:left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论证该领域技术（产品）的市场动态及发展该领域技术（产品）的技术优势；</w:t>
      </w:r>
    </w:p>
    <w:p>
      <w:pPr>
        <w:numPr>
          <w:ilvl w:val="0"/>
          <w:numId w:val="4"/>
        </w:numPr>
        <w:ind w:left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论证该领域技术（产品）的资源条件的可行性（含物资、设备、能源等）。</w:t>
      </w:r>
    </w:p>
    <w:p>
      <w:pPr>
        <w:numPr>
          <w:ilvl w:val="0"/>
          <w:numId w:val="2"/>
        </w:numPr>
        <w:ind w:left="0" w:leftChars="0" w:firstLine="0" w:firstLine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项目调研结束提供项目立项的相关报告。该报告应包括：</w:t>
      </w:r>
    </w:p>
    <w:p>
      <w:pPr>
        <w:numPr>
          <w:ilvl w:val="0"/>
          <w:numId w:val="5"/>
        </w:numPr>
        <w:ind w:left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立项目的，包括现有技术分析及要解决的难题；</w:t>
      </w:r>
    </w:p>
    <w:p>
      <w:pPr>
        <w:numPr>
          <w:ilvl w:val="0"/>
          <w:numId w:val="5"/>
        </w:numPr>
        <w:ind w:left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主要研究内容、技术关键；</w:t>
      </w:r>
    </w:p>
    <w:p>
      <w:pPr>
        <w:numPr>
          <w:ilvl w:val="0"/>
          <w:numId w:val="5"/>
        </w:numPr>
        <w:ind w:left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已有条件分析（包括原有基础、技术力量的投入、科研手段和研究成果的生产或应用去向）;</w:t>
      </w:r>
    </w:p>
    <w:p>
      <w:pPr>
        <w:numPr>
          <w:ilvl w:val="0"/>
          <w:numId w:val="5"/>
        </w:numPr>
        <w:ind w:left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实施方案（包括进度安排）；</w:t>
      </w:r>
    </w:p>
    <w:p>
      <w:pPr>
        <w:numPr>
          <w:ilvl w:val="0"/>
          <w:numId w:val="5"/>
        </w:numPr>
        <w:ind w:left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项目预算（包括经费来源及用途）；</w:t>
      </w:r>
    </w:p>
    <w:p>
      <w:pPr>
        <w:numPr>
          <w:ilvl w:val="0"/>
          <w:numId w:val="1"/>
        </w:numPr>
        <w:ind w:left="0" w:leftChars="0" w:firstLine="0" w:firstLineChars="0"/>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项目审查</w:t>
      </w:r>
    </w:p>
    <w:p>
      <w:pPr>
        <w:numPr>
          <w:ilvl w:val="0"/>
          <w:numId w:val="2"/>
        </w:numPr>
        <w:ind w:left="0" w:leftChars="0" w:firstLine="0" w:firstLine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研发部提交《立项申请书》，由公司科技研发项目管理小组完成审批。</w:t>
      </w:r>
    </w:p>
    <w:p>
      <w:pPr>
        <w:numPr>
          <w:ilvl w:val="0"/>
          <w:numId w:val="2"/>
        </w:numPr>
        <w:ind w:left="0" w:leftChars="0" w:firstLine="0" w:firstLine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技术研发项目管理小组由以下人员组成：总经理、技术总监、研发部、采购部、销售部等部门经理，技术骨干。必要时可外聘专家担任顾问。实际技术研发项目管理的所有文件必须经总经理签字方可生效。</w:t>
      </w:r>
    </w:p>
    <w:p>
      <w:pPr>
        <w:numPr>
          <w:ilvl w:val="0"/>
          <w:numId w:val="2"/>
        </w:numPr>
        <w:ind w:left="0" w:leftChars="0" w:firstLine="0" w:firstLine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审查结束，出具书面综合审查报告。</w:t>
      </w:r>
    </w:p>
    <w:p>
      <w:pPr>
        <w:numPr>
          <w:ilvl w:val="0"/>
          <w:numId w:val="1"/>
        </w:numPr>
        <w:ind w:left="0" w:leftChars="0" w:firstLine="0" w:firstLineChars="0"/>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项目立项</w:t>
      </w:r>
    </w:p>
    <w:p>
      <w:pPr>
        <w:numPr>
          <w:ilvl w:val="0"/>
          <w:numId w:val="2"/>
        </w:numPr>
        <w:ind w:left="0" w:leftChars="0" w:firstLine="0" w:firstLine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根据科技研发项目管理小组综合审查报告，符合立项条件的，即可立项。</w:t>
      </w:r>
    </w:p>
    <w:p>
      <w:pPr>
        <w:numPr>
          <w:ilvl w:val="0"/>
          <w:numId w:val="1"/>
        </w:numPr>
        <w:ind w:left="0" w:leftChars="0" w:firstLine="0" w:firstLineChars="0"/>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 xml:space="preserve"> 监督管理</w:t>
      </w:r>
    </w:p>
    <w:p>
      <w:pPr>
        <w:numPr>
          <w:ilvl w:val="0"/>
          <w:numId w:val="2"/>
        </w:numPr>
        <w:ind w:left="0" w:leftChars="0" w:firstLine="0" w:firstLine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科技研发项目管理小组在项目实施管理中的职责是：</w:t>
      </w:r>
    </w:p>
    <w:p>
      <w:pPr>
        <w:numPr>
          <w:ilvl w:val="0"/>
          <w:numId w:val="6"/>
        </w:numPr>
        <w:ind w:left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全程监督、检查项目的执行情况；</w:t>
      </w:r>
    </w:p>
    <w:p>
      <w:pPr>
        <w:numPr>
          <w:ilvl w:val="0"/>
          <w:numId w:val="6"/>
        </w:numPr>
        <w:ind w:left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审查项目执行报告、项目完成后的总结报告和项目经费决算；</w:t>
      </w:r>
    </w:p>
    <w:p>
      <w:pPr>
        <w:numPr>
          <w:ilvl w:val="0"/>
          <w:numId w:val="6"/>
        </w:numPr>
        <w:ind w:left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对项目进行中期检查、验收以及绩效考评；</w:t>
      </w:r>
    </w:p>
    <w:p>
      <w:pPr>
        <w:numPr>
          <w:ilvl w:val="0"/>
          <w:numId w:val="6"/>
        </w:numPr>
        <w:ind w:left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负责对计划执行情况进行分析总结，提出改进意见。</w:t>
      </w:r>
    </w:p>
    <w:p>
      <w:pPr>
        <w:numPr>
          <w:ilvl w:val="0"/>
          <w:numId w:val="2"/>
        </w:numPr>
        <w:ind w:left="0" w:leftChars="0" w:firstLine="0" w:firstLine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项目承担部门（组）在项目实施中的责任是：</w:t>
      </w:r>
    </w:p>
    <w:p>
      <w:pPr>
        <w:numPr>
          <w:ilvl w:val="0"/>
          <w:numId w:val="7"/>
        </w:numPr>
        <w:ind w:left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严格执行任务书，完成项目目标任务；</w:t>
      </w:r>
    </w:p>
    <w:p>
      <w:pPr>
        <w:numPr>
          <w:ilvl w:val="0"/>
          <w:numId w:val="7"/>
        </w:numPr>
        <w:ind w:left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保证项目经费专款专用；</w:t>
      </w:r>
    </w:p>
    <w:p>
      <w:pPr>
        <w:numPr>
          <w:ilvl w:val="0"/>
          <w:numId w:val="7"/>
        </w:numPr>
        <w:ind w:left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按项目管理部门的要求如实填报项目年度完成情况和经费年度决算以及相关的统计调查表；</w:t>
      </w:r>
    </w:p>
    <w:p>
      <w:pPr>
        <w:numPr>
          <w:ilvl w:val="0"/>
          <w:numId w:val="7"/>
        </w:numPr>
        <w:ind w:left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接收技术研发项目管理小组对项目执行情况的监督检查；</w:t>
      </w:r>
    </w:p>
    <w:p>
      <w:pPr>
        <w:numPr>
          <w:ilvl w:val="0"/>
          <w:numId w:val="7"/>
        </w:numPr>
        <w:ind w:left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接受并配合市、区科技局对项目进行的中期评估、验收以及绩效评估，准确提供相关数据和资料；</w:t>
      </w:r>
    </w:p>
    <w:p>
      <w:pPr>
        <w:numPr>
          <w:ilvl w:val="0"/>
          <w:numId w:val="7"/>
        </w:numPr>
        <w:ind w:left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及时报告项目执行中出现的重大事项；</w:t>
      </w:r>
    </w:p>
    <w:p>
      <w:pPr>
        <w:numPr>
          <w:ilvl w:val="0"/>
          <w:numId w:val="7"/>
        </w:numPr>
        <w:ind w:left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报告项目执行中知识产权管理情况和提出知识产权保护的建议。</w:t>
      </w:r>
    </w:p>
    <w:p>
      <w:pPr>
        <w:numPr>
          <w:ilvl w:val="0"/>
          <w:numId w:val="2"/>
        </w:numPr>
        <w:ind w:left="0" w:leftChars="0" w:firstLine="0" w:firstLine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项目实施中必须建立执行情况报告制度，如遇目标调整、内容更改项目负责人及场地变更、关键技术方案的变更、不可抗拒的因素对项目执行产生重大影响的情况，项目承担部门（组）必须及时向科技研发项目管理小组报告。</w:t>
      </w:r>
    </w:p>
    <w:p>
      <w:pPr>
        <w:numPr>
          <w:ilvl w:val="0"/>
          <w:numId w:val="2"/>
        </w:numPr>
        <w:ind w:left="0" w:leftChars="0" w:firstLine="0" w:firstLine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项目执行期内，若确需变更任务书内容的，项目承担部门（组）应提出书面报告并说明原因，经科技研发项目管理小组审查批复后方可变更。</w:t>
      </w:r>
    </w:p>
    <w:p>
      <w:pPr>
        <w:numPr>
          <w:ilvl w:val="0"/>
          <w:numId w:val="2"/>
        </w:numPr>
        <w:ind w:left="0" w:leftChars="0" w:firstLine="0" w:firstLine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在项目管理中如有以下情况者，科技研发项目管理小组对项目承担部门（组）或项目责任人将采取警告、中止项目实施、撤销项目并追回已拨的科技研发资金等措施。情节严重的，二年不受理该项目负责人新的项目申请。</w:t>
      </w:r>
    </w:p>
    <w:p>
      <w:pPr>
        <w:numPr>
          <w:ilvl w:val="0"/>
          <w:numId w:val="8"/>
        </w:numPr>
        <w:ind w:left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无正当理由，不按期汇报项目执行情况的；</w:t>
      </w:r>
    </w:p>
    <w:p>
      <w:pPr>
        <w:numPr>
          <w:ilvl w:val="0"/>
          <w:numId w:val="8"/>
        </w:numPr>
        <w:ind w:left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因项目承担部门（组）自身过错，使项目不能按规定实施的；</w:t>
      </w:r>
    </w:p>
    <w:p>
      <w:pPr>
        <w:numPr>
          <w:ilvl w:val="0"/>
          <w:numId w:val="8"/>
        </w:numPr>
        <w:ind w:left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擅自停止项目实施或变更项目合同书内容的；</w:t>
      </w:r>
    </w:p>
    <w:p>
      <w:pPr>
        <w:numPr>
          <w:ilvl w:val="0"/>
          <w:numId w:val="8"/>
        </w:numPr>
        <w:ind w:left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项目完成后不按期申请验收或鉴定的；</w:t>
      </w:r>
    </w:p>
    <w:p>
      <w:pPr>
        <w:numPr>
          <w:ilvl w:val="0"/>
          <w:numId w:val="8"/>
        </w:numPr>
        <w:ind w:left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截留、挪用、侵占项目经费的。</w:t>
      </w:r>
    </w:p>
    <w:p>
      <w:pPr>
        <w:numPr>
          <w:ilvl w:val="0"/>
          <w:numId w:val="1"/>
        </w:numPr>
        <w:ind w:left="0" w:leftChars="0" w:firstLine="0" w:firstLineChars="0"/>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 xml:space="preserve">  项目验收</w:t>
      </w:r>
    </w:p>
    <w:p>
      <w:pPr>
        <w:numPr>
          <w:ilvl w:val="0"/>
          <w:numId w:val="2"/>
        </w:numPr>
        <w:ind w:left="0" w:leftChars="0" w:firstLine="0" w:firstLine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项目完成后，由科技研发项目管理小组组织对项目进行验收。</w:t>
      </w:r>
    </w:p>
    <w:p>
      <w:pPr>
        <w:numPr>
          <w:ilvl w:val="0"/>
          <w:numId w:val="2"/>
        </w:numPr>
        <w:ind w:left="0" w:leftChars="0" w:firstLine="0" w:firstLine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项目验收以任务书约定的内容和确定的考核目标为基本依据，对项目产生的科技成果水平、应用效果和对经济社会的影响、实施的技术路线、攻克关键技术的方案和效果、知识产权的形成和管理、项目实施的组织管理经验和教训、科技人才的培养和队伍的成长、经费使用的合理性以及所产生的效果等做出客观、实事求是的评价。</w:t>
      </w:r>
    </w:p>
    <w:p>
      <w:pPr>
        <w:numPr>
          <w:ilvl w:val="0"/>
          <w:numId w:val="2"/>
        </w:numPr>
        <w:ind w:left="0" w:leftChars="0" w:firstLine="0" w:firstLine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对所有项目验收均采取现场验收和书面验收二种方式。</w:t>
      </w:r>
    </w:p>
    <w:p>
      <w:pPr>
        <w:numPr>
          <w:ilvl w:val="0"/>
          <w:numId w:val="2"/>
        </w:numPr>
        <w:ind w:left="0" w:leftChars="0" w:firstLine="0" w:firstLine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   项目验收按照下列程序进行：</w:t>
      </w:r>
    </w:p>
    <w:p>
      <w:pPr>
        <w:numPr>
          <w:ilvl w:val="0"/>
          <w:numId w:val="9"/>
        </w:numPr>
        <w:ind w:left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项目验收工作应在合同到期半月之前完成，半月内如不能进行验收的，项目实施部门（组）须向科技研发管理小组提出延迟验收申请报告；</w:t>
      </w:r>
    </w:p>
    <w:p>
      <w:pPr>
        <w:numPr>
          <w:ilvl w:val="0"/>
          <w:numId w:val="9"/>
        </w:numPr>
        <w:ind w:left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项目组在完成技术研发总结的基础上，向科技研发项目管理小组提出验收申请并提交有关验收资料及数据；</w:t>
      </w:r>
    </w:p>
    <w:p>
      <w:pPr>
        <w:numPr>
          <w:ilvl w:val="0"/>
          <w:numId w:val="9"/>
        </w:numPr>
        <w:ind w:left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科技研发项目管理小组审查全部验收资料及有关证明；</w:t>
      </w:r>
    </w:p>
    <w:p>
      <w:pPr>
        <w:numPr>
          <w:ilvl w:val="0"/>
          <w:numId w:val="9"/>
        </w:numPr>
        <w:ind w:leftChars="0"/>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科技研发项目管理小组一个月内批复项目的验收结果。</w:t>
      </w:r>
    </w:p>
    <w:p>
      <w:pPr>
        <w:numPr>
          <w:numId w:val="0"/>
        </w:numPr>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第二十条   项目承担者申请验收时应提供以下验收文件、资料，以及一定形式的成果（样品等）：</w:t>
      </w:r>
    </w:p>
    <w:p>
      <w:pPr>
        <w:numPr>
          <w:ilvl w:val="0"/>
          <w:numId w:val="10"/>
        </w:numPr>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项目任务书或计划书；</w:t>
      </w:r>
    </w:p>
    <w:p>
      <w:pPr>
        <w:numPr>
          <w:ilvl w:val="0"/>
          <w:numId w:val="10"/>
        </w:numPr>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科技研发项目管理小组对项目的批件或有关批复文件；</w:t>
      </w:r>
    </w:p>
    <w:p>
      <w:pPr>
        <w:numPr>
          <w:ilvl w:val="0"/>
          <w:numId w:val="10"/>
        </w:numPr>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说明书；</w:t>
      </w:r>
    </w:p>
    <w:p>
      <w:pPr>
        <w:numPr>
          <w:ilvl w:val="0"/>
          <w:numId w:val="10"/>
        </w:numPr>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项目经费的决算表；</w:t>
      </w:r>
    </w:p>
    <w:p>
      <w:pPr>
        <w:numPr>
          <w:ilvl w:val="0"/>
          <w:numId w:val="10"/>
        </w:numPr>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其他有关项目完成情况的证明材料。</w:t>
      </w:r>
    </w:p>
    <w:p>
      <w:pPr>
        <w:numPr>
          <w:numId w:val="0"/>
        </w:numPr>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第二十一条   被验收项目存在下列情况之一者，不能通过验收：</w:t>
      </w:r>
    </w:p>
    <w:p>
      <w:pPr>
        <w:numPr>
          <w:ilvl w:val="0"/>
          <w:numId w:val="11"/>
        </w:numPr>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完成任务书任务不到80%；</w:t>
      </w:r>
    </w:p>
    <w:p>
      <w:pPr>
        <w:numPr>
          <w:ilvl w:val="0"/>
          <w:numId w:val="11"/>
        </w:numPr>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预订成果未能实现或成果已无科学或实用价值；</w:t>
      </w:r>
    </w:p>
    <w:p>
      <w:pPr>
        <w:numPr>
          <w:ilvl w:val="0"/>
          <w:numId w:val="11"/>
        </w:numPr>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提供的验收文件、资料、数据不真实；</w:t>
      </w:r>
    </w:p>
    <w:p>
      <w:pPr>
        <w:numPr>
          <w:ilvl w:val="0"/>
          <w:numId w:val="11"/>
        </w:numPr>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擅自修改合同或计划任务书考核目标、内容、技术路线；</w:t>
      </w:r>
    </w:p>
    <w:p>
      <w:pPr>
        <w:numPr>
          <w:ilvl w:val="0"/>
          <w:numId w:val="11"/>
        </w:numPr>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超过合同或计划书规定期限二个月以上未能完成任务，事先未作说明的。</w:t>
      </w:r>
    </w:p>
    <w:p>
      <w:pPr>
        <w:numPr>
          <w:numId w:val="0"/>
        </w:numPr>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第二十二条   未能通过验收的项目，其承担部门可能在接到通知后15日内提出复查申请。</w:t>
      </w:r>
    </w:p>
    <w:p>
      <w:pPr>
        <w:numPr>
          <w:numId w:val="0"/>
        </w:numPr>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第二十三条   项目产生科技成果后，应按规定进行科技成果登记。</w:t>
      </w:r>
    </w:p>
    <w:p>
      <w:pPr>
        <w:numPr>
          <w:ilvl w:val="0"/>
          <w:numId w:val="1"/>
        </w:numPr>
        <w:ind w:left="0" w:leftChars="0" w:firstLine="0" w:firstLineChars="0"/>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 xml:space="preserve">  附则</w:t>
      </w:r>
    </w:p>
    <w:p>
      <w:pPr>
        <w:numPr>
          <w:ilvl w:val="0"/>
          <w:numId w:val="0"/>
        </w:numPr>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第二十四条   研发中心应按照国家或公司的有关规定，对公司立项的每个项目建立档案，妥善保存。其中重要附件、项目验收报告等文档须长期保存。</w:t>
      </w:r>
    </w:p>
    <w:p>
      <w:pPr>
        <w:numPr>
          <w:ilvl w:val="0"/>
          <w:numId w:val="0"/>
        </w:numPr>
        <w:jc w:val="both"/>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第二十五条  本管理制度自发布之日起执行。</w:t>
      </w:r>
    </w:p>
    <w:p>
      <w:pPr>
        <w:numPr>
          <w:ilvl w:val="0"/>
          <w:numId w:val="0"/>
        </w:numPr>
        <w:jc w:val="both"/>
        <w:rPr>
          <w:rFonts w:hint="eastAsia" w:asciiTheme="majorEastAsia" w:hAnsiTheme="majorEastAsia" w:eastAsiaTheme="majorEastAsia" w:cstheme="majorEastAsia"/>
          <w:b w:val="0"/>
          <w:bCs w:val="0"/>
          <w:sz w:val="28"/>
          <w:szCs w:val="36"/>
          <w:lang w:val="en-US" w:eastAsia="zh-CN"/>
        </w:rPr>
      </w:pPr>
    </w:p>
    <w:p>
      <w:pPr>
        <w:numPr>
          <w:ilvl w:val="0"/>
          <w:numId w:val="0"/>
        </w:numPr>
        <w:jc w:val="right"/>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Xxxxx股份有限公司</w:t>
      </w:r>
    </w:p>
    <w:p>
      <w:pPr>
        <w:numPr>
          <w:ilvl w:val="0"/>
          <w:numId w:val="0"/>
        </w:numPr>
        <w:jc w:val="right"/>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20**年**月**日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565AA1E"/>
    <w:multiLevelType w:val="singleLevel"/>
    <w:tmpl w:val="8565AA1E"/>
    <w:lvl w:ilvl="0" w:tentative="0">
      <w:start w:val="1"/>
      <w:numFmt w:val="decimal"/>
      <w:suff w:val="nothing"/>
      <w:lvlText w:val="%1、"/>
      <w:lvlJc w:val="left"/>
    </w:lvl>
  </w:abstractNum>
  <w:abstractNum w:abstractNumId="1">
    <w:nsid w:val="8B4F8A83"/>
    <w:multiLevelType w:val="singleLevel"/>
    <w:tmpl w:val="8B4F8A83"/>
    <w:lvl w:ilvl="0" w:tentative="0">
      <w:start w:val="1"/>
      <w:numFmt w:val="chineseCounting"/>
      <w:suff w:val="space"/>
      <w:lvlText w:val="第%1条"/>
      <w:lvlJc w:val="left"/>
      <w:rPr>
        <w:rFonts w:hint="eastAsia"/>
      </w:rPr>
    </w:lvl>
  </w:abstractNum>
  <w:abstractNum w:abstractNumId="2">
    <w:nsid w:val="D73E5D7C"/>
    <w:multiLevelType w:val="singleLevel"/>
    <w:tmpl w:val="D73E5D7C"/>
    <w:lvl w:ilvl="0" w:tentative="0">
      <w:start w:val="1"/>
      <w:numFmt w:val="decimal"/>
      <w:suff w:val="nothing"/>
      <w:lvlText w:val="%1、"/>
      <w:lvlJc w:val="left"/>
    </w:lvl>
  </w:abstractNum>
  <w:abstractNum w:abstractNumId="3">
    <w:nsid w:val="ED5BF18E"/>
    <w:multiLevelType w:val="singleLevel"/>
    <w:tmpl w:val="ED5BF18E"/>
    <w:lvl w:ilvl="0" w:tentative="0">
      <w:start w:val="1"/>
      <w:numFmt w:val="decimal"/>
      <w:suff w:val="nothing"/>
      <w:lvlText w:val="%1、"/>
      <w:lvlJc w:val="left"/>
    </w:lvl>
  </w:abstractNum>
  <w:abstractNum w:abstractNumId="4">
    <w:nsid w:val="FD0E9127"/>
    <w:multiLevelType w:val="singleLevel"/>
    <w:tmpl w:val="FD0E9127"/>
    <w:lvl w:ilvl="0" w:tentative="0">
      <w:start w:val="1"/>
      <w:numFmt w:val="decimal"/>
      <w:suff w:val="nothing"/>
      <w:lvlText w:val="%1、"/>
      <w:lvlJc w:val="left"/>
    </w:lvl>
  </w:abstractNum>
  <w:abstractNum w:abstractNumId="5">
    <w:nsid w:val="0338BA2C"/>
    <w:multiLevelType w:val="singleLevel"/>
    <w:tmpl w:val="0338BA2C"/>
    <w:lvl w:ilvl="0" w:tentative="0">
      <w:start w:val="1"/>
      <w:numFmt w:val="decimal"/>
      <w:suff w:val="nothing"/>
      <w:lvlText w:val="%1、"/>
      <w:lvlJc w:val="left"/>
    </w:lvl>
  </w:abstractNum>
  <w:abstractNum w:abstractNumId="6">
    <w:nsid w:val="08725E9B"/>
    <w:multiLevelType w:val="singleLevel"/>
    <w:tmpl w:val="08725E9B"/>
    <w:lvl w:ilvl="0" w:tentative="0">
      <w:start w:val="1"/>
      <w:numFmt w:val="decimal"/>
      <w:suff w:val="nothing"/>
      <w:lvlText w:val="%1、"/>
      <w:lvlJc w:val="left"/>
    </w:lvl>
  </w:abstractNum>
  <w:abstractNum w:abstractNumId="7">
    <w:nsid w:val="1924EBE3"/>
    <w:multiLevelType w:val="singleLevel"/>
    <w:tmpl w:val="1924EBE3"/>
    <w:lvl w:ilvl="0" w:tentative="0">
      <w:start w:val="1"/>
      <w:numFmt w:val="decimal"/>
      <w:suff w:val="nothing"/>
      <w:lvlText w:val="%1、"/>
      <w:lvlJc w:val="left"/>
    </w:lvl>
  </w:abstractNum>
  <w:abstractNum w:abstractNumId="8">
    <w:nsid w:val="41A14B07"/>
    <w:multiLevelType w:val="singleLevel"/>
    <w:tmpl w:val="41A14B07"/>
    <w:lvl w:ilvl="0" w:tentative="0">
      <w:start w:val="1"/>
      <w:numFmt w:val="chineseCounting"/>
      <w:suff w:val="space"/>
      <w:lvlText w:val="第%1章"/>
      <w:lvlJc w:val="left"/>
      <w:rPr>
        <w:rFonts w:hint="eastAsia"/>
      </w:rPr>
    </w:lvl>
  </w:abstractNum>
  <w:abstractNum w:abstractNumId="9">
    <w:nsid w:val="5944B3E0"/>
    <w:multiLevelType w:val="singleLevel"/>
    <w:tmpl w:val="5944B3E0"/>
    <w:lvl w:ilvl="0" w:tentative="0">
      <w:start w:val="1"/>
      <w:numFmt w:val="decimal"/>
      <w:suff w:val="nothing"/>
      <w:lvlText w:val="%1、"/>
      <w:lvlJc w:val="left"/>
    </w:lvl>
  </w:abstractNum>
  <w:abstractNum w:abstractNumId="10">
    <w:nsid w:val="764E0C68"/>
    <w:multiLevelType w:val="singleLevel"/>
    <w:tmpl w:val="764E0C68"/>
    <w:lvl w:ilvl="0" w:tentative="0">
      <w:start w:val="1"/>
      <w:numFmt w:val="decimal"/>
      <w:suff w:val="nothing"/>
      <w:lvlText w:val="%1、"/>
      <w:lvlJc w:val="left"/>
    </w:lvl>
  </w:abstractNum>
  <w:num w:numId="1">
    <w:abstractNumId w:val="8"/>
  </w:num>
  <w:num w:numId="2">
    <w:abstractNumId w:val="1"/>
  </w:num>
  <w:num w:numId="3">
    <w:abstractNumId w:val="9"/>
  </w:num>
  <w:num w:numId="4">
    <w:abstractNumId w:val="6"/>
  </w:num>
  <w:num w:numId="5">
    <w:abstractNumId w:val="3"/>
  </w:num>
  <w:num w:numId="6">
    <w:abstractNumId w:val="4"/>
  </w:num>
  <w:num w:numId="7">
    <w:abstractNumId w:val="10"/>
  </w:num>
  <w:num w:numId="8">
    <w:abstractNumId w:val="2"/>
  </w:num>
  <w:num w:numId="9">
    <w:abstractNumId w:val="5"/>
  </w:num>
  <w:num w:numId="10">
    <w:abstractNumId w:val="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264FFC"/>
    <w:rsid w:val="0F20412B"/>
    <w:rsid w:val="1A494B80"/>
    <w:rsid w:val="2BBC1D1B"/>
    <w:rsid w:val="461F3616"/>
    <w:rsid w:val="51264FFC"/>
    <w:rsid w:val="5FA0351A"/>
    <w:rsid w:val="6D53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wps\addons\pool\win-i386\knewfileruby_1.0.0.11\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196</TotalTime>
  <ScaleCrop>false</ScaleCrop>
  <LinksUpToDate>false</LinksUpToDate>
  <CharactersWithSpaces>0</CharactersWithSpaces>
  <Application>WPS Office_10.1.0.7469_F1E327BC-269C-435d-A152-05C5408002CA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2018-09-21T08:51:00Z</dcterms:created>
  <dc:creator>自己的大魔王</dc:creator>
  <cp:lastModifiedBy>自己的大魔王</cp:lastModifiedBy>
  <dcterms:modified xsi:type="dcterms:W3CDTF">2018-09-25T07:46:12Z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