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44"/>
          <w:szCs w:val="52"/>
          <w:lang w:eastAsia="zh-CN"/>
        </w:rPr>
        <w:t>研发费用辅助账及立项报告说明</w:t>
      </w:r>
    </w:p>
    <w:p>
      <w:pPr>
        <w:numPr>
          <w:ilvl w:val="0"/>
          <w:numId w:val="1"/>
        </w:numPr>
        <w:ind w:left="28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研发费用核算情况</w:t>
      </w:r>
    </w:p>
    <w:p>
      <w:pPr>
        <w:numPr>
          <w:numId w:val="0"/>
        </w:numPr>
        <w:ind w:left="280"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我公司近三年严格按照国家财务会计制度要求，按照《企业会计准</w:t>
      </w:r>
    </w:p>
    <w:p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则》的要求设置研发支出科目及明细科目，直接在主体帐套内进行研发费用核算，近三年我公司共开展了研发项目**项，共归集研发费用****万元。公司聘请了专业的会计师事务所对我公司研发费进行了专项审计，经事务所审计确认后的研发费用情况如下：</w:t>
      </w:r>
    </w:p>
    <w:tbl>
      <w:tblPr>
        <w:tblStyle w:val="4"/>
        <w:tblW w:w="8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05"/>
        <w:gridCol w:w="2538"/>
        <w:gridCol w:w="2538"/>
        <w:gridCol w:w="25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783" w:hRule="atLeast"/>
        </w:trPr>
        <w:tc>
          <w:tcPr>
            <w:tcW w:w="100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年度</w:t>
            </w:r>
          </w:p>
        </w:tc>
        <w:tc>
          <w:tcPr>
            <w:tcW w:w="2538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研究开发费用</w:t>
            </w:r>
          </w:p>
        </w:tc>
        <w:tc>
          <w:tcPr>
            <w:tcW w:w="2538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销售收入</w:t>
            </w:r>
          </w:p>
        </w:tc>
        <w:tc>
          <w:tcPr>
            <w:tcW w:w="253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研发费用占比（%）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783" w:hRule="atLeast"/>
        </w:trPr>
        <w:tc>
          <w:tcPr>
            <w:tcW w:w="100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538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538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53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783" w:hRule="atLeast"/>
        </w:trPr>
        <w:tc>
          <w:tcPr>
            <w:tcW w:w="100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538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538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53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795" w:hRule="atLeast"/>
        </w:trPr>
        <w:tc>
          <w:tcPr>
            <w:tcW w:w="100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538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538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253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1"/>
        </w:numPr>
        <w:ind w:left="28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立项报告</w:t>
      </w:r>
    </w:p>
    <w:p>
      <w:pPr>
        <w:numPr>
          <w:numId w:val="0"/>
        </w:numPr>
        <w:ind w:left="280"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为加强研发工作的科学化、制度化建设，提高公司的创新能力，加</w:t>
      </w:r>
    </w:p>
    <w:p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强新产品新技术的开发和改良的管理，加快技术积累和产品升级，规范公司研究开发项目审批程序，加强研发项目的实施管理和评估，我公司制定并有效实施了《研究开发机构组织管理制度》、《软件开发流程管理制度》等，项目严格执行立项管理制度，在立项之初对每一个研发项目撰写项目立项申请，近三年通过审批的立项报告共**份，具体明细附后</w:t>
      </w:r>
    </w:p>
    <w:p>
      <w:pPr>
        <w:numPr>
          <w:numId w:val="0"/>
        </w:numPr>
        <w:jc w:val="righ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Xxxx股份有限公司</w:t>
      </w:r>
    </w:p>
    <w:p>
      <w:pPr>
        <w:numPr>
          <w:numId w:val="0"/>
        </w:numPr>
        <w:jc w:val="righ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20**年**月**日</w:t>
      </w:r>
    </w:p>
    <w:p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近三年科研项目立项报告明细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77"/>
        <w:gridCol w:w="5415"/>
        <w:gridCol w:w="1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77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编号</w:t>
            </w:r>
          </w:p>
        </w:tc>
        <w:tc>
          <w:tcPr>
            <w:tcW w:w="541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17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投资预算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77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541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17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77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541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17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77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541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17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77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541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17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77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5415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  <w:tc>
          <w:tcPr>
            <w:tcW w:w="17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</w:p>
        </w:tc>
      </w:tr>
    </w:tbl>
    <w:p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71EC7"/>
    <w:multiLevelType w:val="singleLevel"/>
    <w:tmpl w:val="3F071EC7"/>
    <w:lvl w:ilvl="0" w:tentative="0">
      <w:start w:val="1"/>
      <w:numFmt w:val="decimal"/>
      <w:suff w:val="nothing"/>
      <w:lvlText w:val="%1、"/>
      <w:lvlJc w:val="left"/>
      <w:pPr>
        <w:ind w:left="28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AF3C76"/>
    <w:rsid w:val="1FDD1FD7"/>
    <w:rsid w:val="6AAF3C76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2018-09-26T07:53:00Z</dcterms:created>
  <dc:creator>自己的大魔王</dc:creator>
  <cp:lastModifiedBy>自己的大魔王</cp:lastModifiedBy>
  <dcterms:modified xsi:type="dcterms:W3CDTF">2018-09-26T08:13:42Z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