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pBdr>
          <w:bottom w:val="double" w:color="auto" w:sz="4" w:space="0"/>
        </w:pBdr>
        <w:jc w:val="center"/>
        <w:rPr>
          <w:rFonts w:hint="eastAsia" w:asciiTheme="majorEastAsia" w:hAnsiTheme="majorEastAsia" w:eastAsiaTheme="majorEastAsia" w:cstheme="majorEastAsia"/>
          <w:b/>
          <w:bCs/>
          <w:sz w:val="44"/>
          <w:szCs w:val="52"/>
          <w:lang w:val="en-US" w:eastAsia="zh-CN"/>
        </w:rPr>
      </w:pPr>
      <w:r>
        <w:rPr>
          <w:rFonts w:hint="eastAsia" w:asciiTheme="majorEastAsia" w:hAnsiTheme="majorEastAsia" w:eastAsiaTheme="majorEastAsia" w:cstheme="majorEastAsia"/>
          <w:b/>
          <w:bCs/>
          <w:sz w:val="44"/>
          <w:szCs w:val="52"/>
          <w:lang w:val="en-US" w:eastAsia="zh-CN"/>
        </w:rPr>
        <w:t>Xxxx股份有限公司文件</w:t>
      </w:r>
    </w:p>
    <w:p>
      <w:pPr>
        <w:numPr>
          <w:ilvl w:val="0"/>
          <w:numId w:val="0"/>
        </w:numPr>
        <w:jc w:val="center"/>
        <w:rPr>
          <w:rFonts w:hint="eastAsia" w:asciiTheme="majorEastAsia" w:hAnsiTheme="majorEastAsia" w:eastAsiaTheme="majorEastAsia" w:cstheme="majorEastAsia"/>
          <w:b/>
          <w:bCs/>
          <w:sz w:val="32"/>
          <w:szCs w:val="40"/>
          <w:lang w:val="en-US" w:eastAsia="zh-CN"/>
        </w:rPr>
      </w:pPr>
    </w:p>
    <w:p>
      <w:pPr>
        <w:numPr>
          <w:ilvl w:val="0"/>
          <w:numId w:val="0"/>
        </w:numPr>
        <w:jc w:val="center"/>
        <w:rPr>
          <w:rFonts w:hint="eastAsia" w:asciiTheme="majorEastAsia" w:hAnsiTheme="majorEastAsia" w:eastAsiaTheme="majorEastAsia" w:cstheme="majorEastAsia"/>
          <w:b/>
          <w:bCs/>
          <w:sz w:val="36"/>
          <w:szCs w:val="44"/>
          <w:lang w:val="en-US" w:eastAsia="zh-CN"/>
        </w:rPr>
      </w:pPr>
      <w:r>
        <w:rPr>
          <w:rFonts w:hint="eastAsia" w:asciiTheme="majorEastAsia" w:hAnsiTheme="majorEastAsia" w:eastAsiaTheme="majorEastAsia" w:cstheme="majorEastAsia"/>
          <w:b/>
          <w:bCs/>
          <w:sz w:val="36"/>
          <w:szCs w:val="44"/>
          <w:lang w:val="en-US" w:eastAsia="zh-CN"/>
        </w:rPr>
        <w:t>Xxx股份有限公司</w:t>
      </w:r>
    </w:p>
    <w:p>
      <w:pPr>
        <w:numPr>
          <w:ilvl w:val="0"/>
          <w:numId w:val="0"/>
        </w:numPr>
        <w:jc w:val="center"/>
        <w:rPr>
          <w:rFonts w:hint="eastAsia" w:asciiTheme="majorEastAsia" w:hAnsiTheme="majorEastAsia" w:eastAsiaTheme="majorEastAsia" w:cstheme="majorEastAsia"/>
          <w:b/>
          <w:bCs/>
          <w:sz w:val="36"/>
          <w:szCs w:val="44"/>
          <w:lang w:val="en-US" w:eastAsia="zh-CN"/>
        </w:rPr>
      </w:pPr>
      <w:r>
        <w:rPr>
          <w:rFonts w:hint="eastAsia" w:asciiTheme="majorEastAsia" w:hAnsiTheme="majorEastAsia" w:eastAsiaTheme="majorEastAsia" w:cstheme="majorEastAsia"/>
          <w:b/>
          <w:bCs/>
          <w:sz w:val="36"/>
          <w:szCs w:val="44"/>
          <w:lang w:val="en-US" w:eastAsia="zh-CN"/>
        </w:rPr>
        <w:t>员工个人进修管理制度</w:t>
      </w: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第一章  总则</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第一条  本办法适用于公司全体员工。</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第二条  培训目的</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通过申请个人进修，使公司人员学习专业技术技能和管理知识，提升个人能力和素养。</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第三条  个人进修定义提升</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个人进修是指为了提升员工的专业技能或某一领域的管理能力，由员个人提出申请经公司同意后参加的由外部培训机构或院校组织的课程，一般学习周期较长(超过一周)或所需费用较大，课程完成后会获得相应证书</w:t>
      </w:r>
    </w:p>
    <w:p>
      <w:pPr>
        <w:numPr>
          <w:ilvl w:val="0"/>
          <w:numId w:val="1"/>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个人进修的内容 </w:t>
      </w:r>
    </w:p>
    <w:p>
      <w:pPr>
        <w:numPr>
          <w:ilvl w:val="0"/>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个人进修学习分别为以下四个类别，具体内容如下:</w:t>
      </w:r>
    </w:p>
    <w:tbl>
      <w:tblPr>
        <w:tblStyle w:val="4"/>
        <w:tblpPr w:leftFromText="180" w:rightFromText="180" w:vertAnchor="text" w:horzAnchor="page" w:tblpX="1782" w:tblpY="615"/>
        <w:tblOverlap w:val="never"/>
        <w:tblW w:w="83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1"/>
        <w:gridCol w:w="58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11" w:type="dxa"/>
            <w:vAlign w:val="center"/>
          </w:tcPr>
          <w:p>
            <w:pPr>
              <w:numPr>
                <w:ilvl w:val="0"/>
                <w:numId w:val="0"/>
              </w:numPr>
              <w:jc w:val="center"/>
              <w:rPr>
                <w:rFonts w:hint="eastAsia" w:asciiTheme="majorEastAsia" w:hAnsiTheme="majorEastAsia" w:eastAsiaTheme="majorEastAsia" w:cstheme="majorEastAsia"/>
                <w:b/>
                <w:bCs/>
                <w:sz w:val="28"/>
                <w:szCs w:val="36"/>
                <w:vertAlign w:val="baseline"/>
                <w:lang w:val="en-US" w:eastAsia="zh-CN"/>
              </w:rPr>
            </w:pPr>
            <w:r>
              <w:rPr>
                <w:rFonts w:hint="eastAsia" w:asciiTheme="majorEastAsia" w:hAnsiTheme="majorEastAsia" w:eastAsiaTheme="majorEastAsia" w:cstheme="majorEastAsia"/>
                <w:b/>
                <w:bCs/>
                <w:sz w:val="28"/>
                <w:szCs w:val="36"/>
                <w:vertAlign w:val="baseline"/>
                <w:lang w:val="en-US" w:eastAsia="zh-CN"/>
              </w:rPr>
              <w:t>类别</w:t>
            </w:r>
          </w:p>
        </w:tc>
        <w:tc>
          <w:tcPr>
            <w:tcW w:w="5830" w:type="dxa"/>
            <w:vAlign w:val="center"/>
          </w:tcPr>
          <w:p>
            <w:pPr>
              <w:numPr>
                <w:ilvl w:val="0"/>
                <w:numId w:val="0"/>
              </w:numPr>
              <w:jc w:val="center"/>
              <w:rPr>
                <w:rFonts w:hint="eastAsia" w:asciiTheme="majorEastAsia" w:hAnsiTheme="majorEastAsia" w:eastAsiaTheme="majorEastAsia" w:cstheme="majorEastAsia"/>
                <w:b/>
                <w:bCs/>
                <w:sz w:val="28"/>
                <w:szCs w:val="36"/>
                <w:vertAlign w:val="baseline"/>
                <w:lang w:val="en-US" w:eastAsia="zh-CN"/>
              </w:rPr>
            </w:pPr>
            <w:r>
              <w:rPr>
                <w:rFonts w:hint="eastAsia" w:asciiTheme="majorEastAsia" w:hAnsiTheme="majorEastAsia" w:eastAsiaTheme="majorEastAsia" w:cstheme="majorEastAsia"/>
                <w:b/>
                <w:bCs/>
                <w:sz w:val="28"/>
                <w:szCs w:val="36"/>
                <w:vertAlign w:val="baseline"/>
                <w:lang w:val="en-US" w:eastAsia="zh-CN"/>
              </w:rPr>
              <w:t>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11" w:type="dxa"/>
            <w:vAlign w:val="center"/>
          </w:tcPr>
          <w:p>
            <w:pPr>
              <w:numPr>
                <w:ilvl w:val="0"/>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学历、学位研修学习</w:t>
            </w:r>
          </w:p>
        </w:tc>
        <w:tc>
          <w:tcPr>
            <w:tcW w:w="5830" w:type="dxa"/>
            <w:vAlign w:val="center"/>
          </w:tcPr>
          <w:p>
            <w:pPr>
              <w:numPr>
                <w:ilvl w:val="0"/>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主要指继续教育类课程，如：MBA、EMBA、在职研究生、专升本各类学习班、职业学校、夜大、电大、函大等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11" w:type="dxa"/>
            <w:vAlign w:val="center"/>
          </w:tcPr>
          <w:p>
            <w:pPr>
              <w:numPr>
                <w:ilvl w:val="0"/>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在职资格、专业技术考试及培训</w:t>
            </w:r>
          </w:p>
        </w:tc>
        <w:tc>
          <w:tcPr>
            <w:tcW w:w="5830" w:type="dxa"/>
            <w:vAlign w:val="center"/>
          </w:tcPr>
          <w:p>
            <w:pPr>
              <w:numPr>
                <w:ilvl w:val="0"/>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主要指各类专业考试及相关培训，如CPA、ACCA、注册会计师、注册招标/建筑/建造/造价/结构/设备设计师及工程师、it高级资格考试、司法考试、人力资源管理师考试及培训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11" w:type="dxa"/>
            <w:vAlign w:val="center"/>
          </w:tcPr>
          <w:p>
            <w:pPr>
              <w:numPr>
                <w:ilvl w:val="0"/>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专业知识或技能培训</w:t>
            </w:r>
          </w:p>
        </w:tc>
        <w:tc>
          <w:tcPr>
            <w:tcW w:w="5830" w:type="dxa"/>
            <w:vAlign w:val="center"/>
          </w:tcPr>
          <w:p>
            <w:pPr>
              <w:numPr>
                <w:ilvl w:val="0"/>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主要是指与本岗位职责密切相关的专业培训，如：IT、人力、财务、法务、投发、设计、成控、招采、工程、管理培训等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11" w:type="dxa"/>
            <w:vAlign w:val="center"/>
          </w:tcPr>
          <w:p>
            <w:pPr>
              <w:numPr>
                <w:ilvl w:val="0"/>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外出交流考察</w:t>
            </w:r>
          </w:p>
        </w:tc>
        <w:tc>
          <w:tcPr>
            <w:tcW w:w="5830" w:type="dxa"/>
            <w:vAlign w:val="center"/>
          </w:tcPr>
          <w:p>
            <w:pPr>
              <w:numPr>
                <w:ilvl w:val="0"/>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主要指国内外的企业考察、项目考察等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341" w:type="dxa"/>
            <w:gridSpan w:val="2"/>
            <w:vAlign w:val="center"/>
          </w:tcPr>
          <w:p>
            <w:pPr>
              <w:numPr>
                <w:ilvl w:val="0"/>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bCs/>
                <w:sz w:val="28"/>
                <w:szCs w:val="36"/>
                <w:vertAlign w:val="baseline"/>
                <w:lang w:val="en-US" w:eastAsia="zh-CN"/>
              </w:rPr>
              <w:t>备注</w:t>
            </w:r>
            <w:r>
              <w:rPr>
                <w:rFonts w:hint="eastAsia" w:asciiTheme="majorEastAsia" w:hAnsiTheme="majorEastAsia" w:eastAsiaTheme="majorEastAsia" w:cstheme="majorEastAsia"/>
                <w:b w:val="0"/>
                <w:bCs w:val="0"/>
                <w:sz w:val="28"/>
                <w:szCs w:val="36"/>
                <w:vertAlign w:val="baseline"/>
                <w:lang w:val="en-US" w:eastAsia="zh-CN"/>
              </w:rPr>
              <w:t>：由公司统一组织的外出培训、考察活动不属于以上个人进修范围。</w:t>
            </w:r>
          </w:p>
        </w:tc>
      </w:tr>
    </w:tbl>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第二章 申请资助的条件及程序</w:t>
      </w:r>
    </w:p>
    <w:p>
      <w:pPr>
        <w:numPr>
          <w:numId w:val="0"/>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第一条  申请资助条件</w:t>
      </w:r>
    </w:p>
    <w:p>
      <w:pPr>
        <w:numPr>
          <w:numId w:val="0"/>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公司鼓励员工积极参与与外部进修学习，提升自身视野、工作技能和个人综合素质。如需申请公司的个人进修资助，须符合下列条件：</w:t>
      </w:r>
    </w:p>
    <w:p>
      <w:pPr>
        <w:numPr>
          <w:ilvl w:val="0"/>
          <w:numId w:val="2"/>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公司正式员工</w:t>
      </w:r>
    </w:p>
    <w:p>
      <w:pPr>
        <w:numPr>
          <w:ilvl w:val="0"/>
          <w:numId w:val="2"/>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在公司服务两年以上</w:t>
      </w:r>
    </w:p>
    <w:p>
      <w:pPr>
        <w:numPr>
          <w:ilvl w:val="0"/>
          <w:numId w:val="2"/>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上一年度绩效成绩为B级或以上</w:t>
      </w:r>
    </w:p>
    <w:p>
      <w:pPr>
        <w:numPr>
          <w:ilvl w:val="0"/>
          <w:numId w:val="2"/>
        </w:numPr>
        <w:ind w:firstLine="560"/>
        <w:jc w:val="lef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申请EMBA进修的人员需任职总监级及以上职务三年以上；申请MBA进修的人员需任职部门经理级职务三年以上。</w:t>
      </w:r>
    </w:p>
    <w:p>
      <w:pPr>
        <w:numPr>
          <w:ilvl w:val="0"/>
          <w:numId w:val="2"/>
        </w:numPr>
        <w:ind w:firstLine="560"/>
        <w:jc w:val="lef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所申请进修的学习项目需与本人现岗位工作有直接联系，学习内容需要高度匹配岗位职责及能力要求。</w:t>
      </w:r>
    </w:p>
    <w:p>
      <w:pPr>
        <w:numPr>
          <w:ilvl w:val="0"/>
          <w:numId w:val="3"/>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申请资助次数</w:t>
      </w:r>
    </w:p>
    <w:p>
      <w:pPr>
        <w:numPr>
          <w:numId w:val="0"/>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根据员工上年度个人绩效成绩，审核确定本年度员工申请个人进修可获公司资助的次数，具体规定如下：</w:t>
      </w:r>
    </w:p>
    <w:p>
      <w:pPr>
        <w:numPr>
          <w:ilvl w:val="0"/>
          <w:numId w:val="4"/>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上年度绩效为C级，本年度不能获得个人进修资助；</w:t>
      </w:r>
    </w:p>
    <w:p>
      <w:pPr>
        <w:numPr>
          <w:ilvl w:val="0"/>
          <w:numId w:val="4"/>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上年度绩效为B级，本年度申请个人进修资助次数不得超过1次；</w:t>
      </w:r>
    </w:p>
    <w:p>
      <w:pPr>
        <w:numPr>
          <w:ilvl w:val="0"/>
          <w:numId w:val="4"/>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上年度绩效为A级，本年度申请个人进修资助次数不得超过2次；</w:t>
      </w:r>
    </w:p>
    <w:p>
      <w:pPr>
        <w:numPr>
          <w:ilvl w:val="0"/>
          <w:numId w:val="3"/>
        </w:numPr>
        <w:ind w:left="0" w:leftChars="0" w:firstLine="0" w:firstLine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进修申请程序</w:t>
      </w:r>
    </w:p>
    <w:p>
      <w:pPr>
        <w:numPr>
          <w:numId w:val="0"/>
        </w:numPr>
        <w:ind w:leftChars="0"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通过OA系统进行申请，详细流程如下：</w:t>
      </w:r>
    </w:p>
    <w:p>
      <w:pPr>
        <w:numPr>
          <w:ilvl w:val="0"/>
          <w:numId w:val="5"/>
        </w:numPr>
        <w:ind w:leftChars="0"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通过“OA系统-培训申请流程”提出申请。</w:t>
      </w:r>
    </w:p>
    <w:p>
      <w:pPr>
        <w:numPr>
          <w:ilvl w:val="0"/>
          <w:numId w:val="5"/>
        </w:numPr>
        <w:ind w:leftChars="0"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根据进修学习项目费用总额的不同，具体审批流程如下：</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102"/>
        <w:gridCol w:w="6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102" w:type="dxa"/>
            <w:vAlign w:val="center"/>
          </w:tcPr>
          <w:p>
            <w:pPr>
              <w:numPr>
                <w:numId w:val="0"/>
              </w:numPr>
              <w:jc w:val="center"/>
              <w:rPr>
                <w:rFonts w:hint="eastAsia" w:asciiTheme="majorEastAsia" w:hAnsiTheme="majorEastAsia" w:eastAsiaTheme="majorEastAsia" w:cstheme="majorEastAsia"/>
                <w:b/>
                <w:bCs/>
                <w:sz w:val="28"/>
                <w:szCs w:val="36"/>
                <w:vertAlign w:val="baseline"/>
                <w:lang w:val="en-US" w:eastAsia="zh-CN"/>
              </w:rPr>
            </w:pPr>
            <w:r>
              <w:rPr>
                <w:rFonts w:hint="eastAsia" w:asciiTheme="majorEastAsia" w:hAnsiTheme="majorEastAsia" w:eastAsiaTheme="majorEastAsia" w:cstheme="majorEastAsia"/>
                <w:b/>
                <w:bCs/>
                <w:sz w:val="28"/>
                <w:szCs w:val="36"/>
                <w:vertAlign w:val="baseline"/>
                <w:lang w:val="en-US" w:eastAsia="zh-CN"/>
              </w:rPr>
              <w:t>进修费用额度</w:t>
            </w:r>
          </w:p>
        </w:tc>
        <w:tc>
          <w:tcPr>
            <w:tcW w:w="6420" w:type="dxa"/>
            <w:vAlign w:val="center"/>
          </w:tcPr>
          <w:p>
            <w:pPr>
              <w:numPr>
                <w:numId w:val="0"/>
              </w:numPr>
              <w:jc w:val="center"/>
              <w:rPr>
                <w:rFonts w:hint="eastAsia" w:asciiTheme="majorEastAsia" w:hAnsiTheme="majorEastAsia" w:eastAsiaTheme="majorEastAsia" w:cstheme="majorEastAsia"/>
                <w:b/>
                <w:bCs/>
                <w:sz w:val="28"/>
                <w:szCs w:val="36"/>
                <w:vertAlign w:val="baseline"/>
                <w:lang w:val="en-US" w:eastAsia="zh-CN"/>
              </w:rPr>
            </w:pPr>
            <w:r>
              <w:rPr>
                <w:rFonts w:hint="eastAsia" w:asciiTheme="majorEastAsia" w:hAnsiTheme="majorEastAsia" w:eastAsiaTheme="majorEastAsia" w:cstheme="majorEastAsia"/>
                <w:b/>
                <w:bCs/>
                <w:sz w:val="28"/>
                <w:szCs w:val="36"/>
                <w:vertAlign w:val="baseline"/>
                <w:lang w:val="en-US" w:eastAsia="zh-CN"/>
              </w:rPr>
              <w:t>审批流程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102" w:type="dxa"/>
            <w:vAlign w:val="center"/>
          </w:tcPr>
          <w:p>
            <w:pPr>
              <w:numPr>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30000元以上</w:t>
            </w:r>
          </w:p>
        </w:tc>
        <w:tc>
          <w:tcPr>
            <w:tcW w:w="6420" w:type="dxa"/>
            <w:vAlign w:val="center"/>
          </w:tcPr>
          <w:p>
            <w:pPr>
              <w:numPr>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申请人</w:t>
            </w:r>
            <w:r>
              <w:rPr>
                <w:rFonts w:hint="default" w:ascii="Arial" w:hAnsi="Arial" w:cs="Arial" w:eastAsiaTheme="majorEastAsia"/>
                <w:b w:val="0"/>
                <w:bCs w:val="0"/>
                <w:sz w:val="28"/>
                <w:szCs w:val="36"/>
                <w:vertAlign w:val="baseline"/>
                <w:lang w:val="en-US" w:eastAsia="zh-CN"/>
              </w:rPr>
              <w:t>→</w:t>
            </w:r>
            <w:r>
              <w:rPr>
                <w:rFonts w:hint="eastAsia" w:asciiTheme="majorEastAsia" w:hAnsiTheme="majorEastAsia" w:eastAsiaTheme="majorEastAsia" w:cstheme="majorEastAsia"/>
                <w:b w:val="0"/>
                <w:bCs w:val="0"/>
                <w:sz w:val="28"/>
                <w:szCs w:val="36"/>
                <w:vertAlign w:val="baseline"/>
                <w:lang w:val="en-US" w:eastAsia="zh-CN"/>
              </w:rPr>
              <w:t>直属上级</w:t>
            </w:r>
            <w:r>
              <w:rPr>
                <w:rFonts w:hint="default" w:ascii="Arial" w:hAnsi="Arial" w:cs="Arial" w:eastAsiaTheme="majorEastAsia"/>
                <w:b w:val="0"/>
                <w:bCs w:val="0"/>
                <w:sz w:val="28"/>
                <w:szCs w:val="36"/>
                <w:vertAlign w:val="baseline"/>
                <w:lang w:val="en-US" w:eastAsia="zh-CN"/>
              </w:rPr>
              <w:t>→</w:t>
            </w:r>
            <w:r>
              <w:rPr>
                <w:rFonts w:hint="eastAsia" w:ascii="Arial" w:hAnsi="Arial" w:cs="Arial" w:eastAsiaTheme="majorEastAsia"/>
                <w:b w:val="0"/>
                <w:bCs w:val="0"/>
                <w:sz w:val="28"/>
                <w:szCs w:val="36"/>
                <w:vertAlign w:val="baseline"/>
                <w:lang w:val="en-US" w:eastAsia="zh-CN"/>
              </w:rPr>
              <w:t>人力资源经理</w:t>
            </w:r>
            <w:r>
              <w:rPr>
                <w:rFonts w:hint="default" w:ascii="Arial" w:hAnsi="Arial" w:cs="Arial" w:eastAsiaTheme="majorEastAsia"/>
                <w:b w:val="0"/>
                <w:bCs w:val="0"/>
                <w:sz w:val="28"/>
                <w:szCs w:val="36"/>
                <w:vertAlign w:val="baseline"/>
                <w:lang w:val="en-US" w:eastAsia="zh-CN"/>
              </w:rPr>
              <w:t>→</w:t>
            </w:r>
            <w:r>
              <w:rPr>
                <w:rFonts w:hint="eastAsia" w:ascii="Arial" w:hAnsi="Arial" w:cs="Arial" w:eastAsiaTheme="majorEastAsia"/>
                <w:b w:val="0"/>
                <w:bCs w:val="0"/>
                <w:sz w:val="28"/>
                <w:szCs w:val="36"/>
                <w:vertAlign w:val="baseline"/>
                <w:lang w:val="en-US" w:eastAsia="zh-CN"/>
              </w:rPr>
              <w:t>总经理</w:t>
            </w:r>
            <w:r>
              <w:rPr>
                <w:rFonts w:hint="default" w:ascii="Arial" w:hAnsi="Arial" w:cs="Arial" w:eastAsiaTheme="majorEastAsia"/>
                <w:b w:val="0"/>
                <w:bCs w:val="0"/>
                <w:sz w:val="28"/>
                <w:szCs w:val="36"/>
                <w:vertAlign w:val="baseline"/>
                <w:lang w:val="en-US" w:eastAsia="zh-CN"/>
              </w:rPr>
              <w:t>→</w:t>
            </w:r>
            <w:r>
              <w:rPr>
                <w:rFonts w:hint="eastAsia" w:ascii="Arial" w:hAnsi="Arial" w:cs="Arial" w:eastAsiaTheme="majorEastAsia"/>
                <w:b w:val="0"/>
                <w:bCs w:val="0"/>
                <w:sz w:val="28"/>
                <w:szCs w:val="36"/>
                <w:vertAlign w:val="baseline"/>
                <w:lang w:val="en-US" w:eastAsia="zh-CN"/>
              </w:rPr>
              <w:t>集团总裁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102" w:type="dxa"/>
            <w:vAlign w:val="center"/>
          </w:tcPr>
          <w:p>
            <w:pPr>
              <w:numPr>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10000-30000元</w:t>
            </w:r>
          </w:p>
        </w:tc>
        <w:tc>
          <w:tcPr>
            <w:tcW w:w="6420" w:type="dxa"/>
            <w:vAlign w:val="center"/>
          </w:tcPr>
          <w:p>
            <w:pPr>
              <w:numPr>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申请人</w:t>
            </w:r>
            <w:r>
              <w:rPr>
                <w:rFonts w:hint="default" w:ascii="Arial" w:hAnsi="Arial" w:cs="Arial" w:eastAsiaTheme="majorEastAsia"/>
                <w:b w:val="0"/>
                <w:bCs w:val="0"/>
                <w:sz w:val="28"/>
                <w:szCs w:val="36"/>
                <w:vertAlign w:val="baseline"/>
                <w:lang w:val="en-US" w:eastAsia="zh-CN"/>
              </w:rPr>
              <w:t>→</w:t>
            </w:r>
            <w:r>
              <w:rPr>
                <w:rFonts w:hint="eastAsia" w:asciiTheme="majorEastAsia" w:hAnsiTheme="majorEastAsia" w:eastAsiaTheme="majorEastAsia" w:cstheme="majorEastAsia"/>
                <w:b w:val="0"/>
                <w:bCs w:val="0"/>
                <w:sz w:val="28"/>
                <w:szCs w:val="36"/>
                <w:vertAlign w:val="baseline"/>
                <w:lang w:val="en-US" w:eastAsia="zh-CN"/>
              </w:rPr>
              <w:t>直属上级</w:t>
            </w:r>
            <w:r>
              <w:rPr>
                <w:rFonts w:hint="default" w:ascii="Arial" w:hAnsi="Arial" w:cs="Arial" w:eastAsiaTheme="majorEastAsia"/>
                <w:b w:val="0"/>
                <w:bCs w:val="0"/>
                <w:sz w:val="28"/>
                <w:szCs w:val="36"/>
                <w:vertAlign w:val="baseline"/>
                <w:lang w:val="en-US" w:eastAsia="zh-CN"/>
              </w:rPr>
              <w:t>→</w:t>
            </w:r>
            <w:r>
              <w:rPr>
                <w:rFonts w:hint="eastAsia" w:ascii="Arial" w:hAnsi="Arial" w:cs="Arial" w:eastAsiaTheme="majorEastAsia"/>
                <w:b w:val="0"/>
                <w:bCs w:val="0"/>
                <w:sz w:val="28"/>
                <w:szCs w:val="36"/>
                <w:vertAlign w:val="baseline"/>
                <w:lang w:val="en-US" w:eastAsia="zh-CN"/>
              </w:rPr>
              <w:t>人力资源经理</w:t>
            </w:r>
            <w:r>
              <w:rPr>
                <w:rFonts w:hint="default" w:ascii="Arial" w:hAnsi="Arial" w:cs="Arial" w:eastAsiaTheme="majorEastAsia"/>
                <w:b w:val="0"/>
                <w:bCs w:val="0"/>
                <w:sz w:val="28"/>
                <w:szCs w:val="36"/>
                <w:vertAlign w:val="baseline"/>
                <w:lang w:val="en-US" w:eastAsia="zh-CN"/>
              </w:rPr>
              <w:t>→</w:t>
            </w:r>
            <w:r>
              <w:rPr>
                <w:rFonts w:hint="eastAsia" w:ascii="Arial" w:hAnsi="Arial" w:cs="Arial" w:eastAsiaTheme="majorEastAsia"/>
                <w:b w:val="0"/>
                <w:bCs w:val="0"/>
                <w:sz w:val="28"/>
                <w:szCs w:val="36"/>
                <w:vertAlign w:val="baseline"/>
                <w:lang w:val="en-US" w:eastAsia="zh-CN"/>
              </w:rPr>
              <w:t>总经理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102" w:type="dxa"/>
            <w:vAlign w:val="center"/>
          </w:tcPr>
          <w:p>
            <w:pPr>
              <w:numPr>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10000元及以下</w:t>
            </w:r>
          </w:p>
        </w:tc>
        <w:tc>
          <w:tcPr>
            <w:tcW w:w="6420" w:type="dxa"/>
            <w:vAlign w:val="center"/>
          </w:tcPr>
          <w:p>
            <w:pPr>
              <w:numPr>
                <w:ilvl w:val="0"/>
                <w:numId w:val="0"/>
              </w:numPr>
              <w:ind w:left="0" w:leftChars="0" w:firstLine="0" w:firstLineChars="0"/>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申请人</w:t>
            </w:r>
            <w:r>
              <w:rPr>
                <w:rFonts w:hint="default" w:ascii="Arial" w:hAnsi="Arial" w:cs="Arial" w:eastAsiaTheme="majorEastAsia"/>
                <w:b w:val="0"/>
                <w:bCs w:val="0"/>
                <w:sz w:val="28"/>
                <w:szCs w:val="36"/>
                <w:vertAlign w:val="baseline"/>
                <w:lang w:val="en-US" w:eastAsia="zh-CN"/>
              </w:rPr>
              <w:t>→</w:t>
            </w:r>
            <w:r>
              <w:rPr>
                <w:rFonts w:hint="eastAsia" w:asciiTheme="majorEastAsia" w:hAnsiTheme="majorEastAsia" w:eastAsiaTheme="majorEastAsia" w:cstheme="majorEastAsia"/>
                <w:b w:val="0"/>
                <w:bCs w:val="0"/>
                <w:sz w:val="28"/>
                <w:szCs w:val="36"/>
                <w:vertAlign w:val="baseline"/>
                <w:lang w:val="en-US" w:eastAsia="zh-CN"/>
              </w:rPr>
              <w:t>直属上级</w:t>
            </w:r>
            <w:r>
              <w:rPr>
                <w:rFonts w:hint="default" w:ascii="Arial" w:hAnsi="Arial" w:cs="Arial" w:eastAsiaTheme="majorEastAsia"/>
                <w:b w:val="0"/>
                <w:bCs w:val="0"/>
                <w:sz w:val="28"/>
                <w:szCs w:val="36"/>
                <w:vertAlign w:val="baseline"/>
                <w:lang w:val="en-US" w:eastAsia="zh-CN"/>
              </w:rPr>
              <w:t>→</w:t>
            </w:r>
            <w:r>
              <w:rPr>
                <w:rFonts w:hint="eastAsia" w:ascii="Arial" w:hAnsi="Arial" w:cs="Arial" w:eastAsiaTheme="majorEastAsia"/>
                <w:b w:val="0"/>
                <w:bCs w:val="0"/>
                <w:sz w:val="28"/>
                <w:szCs w:val="36"/>
                <w:vertAlign w:val="baseline"/>
                <w:lang w:val="en-US" w:eastAsia="zh-CN"/>
              </w:rPr>
              <w:t>人力资源经理</w:t>
            </w:r>
            <w:r>
              <w:rPr>
                <w:rFonts w:hint="default" w:ascii="Arial" w:hAnsi="Arial" w:cs="Arial" w:eastAsiaTheme="majorEastAsia"/>
                <w:b w:val="0"/>
                <w:bCs w:val="0"/>
                <w:sz w:val="28"/>
                <w:szCs w:val="36"/>
                <w:vertAlign w:val="baseline"/>
                <w:lang w:val="en-US" w:eastAsia="zh-CN"/>
              </w:rPr>
              <w:t>→</w:t>
            </w:r>
            <w:r>
              <w:rPr>
                <w:rFonts w:hint="eastAsia" w:ascii="Arial" w:hAnsi="Arial" w:cs="Arial" w:eastAsiaTheme="majorEastAsia"/>
                <w:b w:val="0"/>
                <w:bCs w:val="0"/>
                <w:sz w:val="28"/>
                <w:szCs w:val="36"/>
                <w:vertAlign w:val="baseline"/>
                <w:lang w:val="en-US" w:eastAsia="zh-CN"/>
              </w:rPr>
              <w:t>总经理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gridSpan w:val="2"/>
            <w:vAlign w:val="center"/>
          </w:tcPr>
          <w:p>
            <w:pPr>
              <w:numPr>
                <w:numId w:val="0"/>
              </w:num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bCs/>
                <w:sz w:val="28"/>
                <w:szCs w:val="36"/>
                <w:vertAlign w:val="baseline"/>
                <w:lang w:val="en-US" w:eastAsia="zh-CN"/>
              </w:rPr>
              <w:t>备注</w:t>
            </w:r>
            <w:r>
              <w:rPr>
                <w:rFonts w:hint="eastAsia" w:asciiTheme="majorEastAsia" w:hAnsiTheme="majorEastAsia" w:eastAsiaTheme="majorEastAsia" w:cstheme="majorEastAsia"/>
                <w:b w:val="0"/>
                <w:bCs w:val="0"/>
                <w:sz w:val="28"/>
                <w:szCs w:val="36"/>
                <w:vertAlign w:val="baseline"/>
                <w:lang w:val="en-US" w:eastAsia="zh-CN"/>
              </w:rPr>
              <w:t>：流程结束后由人事行政部归档；上述金额均以人民币结算。</w:t>
            </w:r>
          </w:p>
        </w:tc>
      </w:tr>
    </w:tbl>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第三章 个人进修考核及管理</w:t>
      </w:r>
    </w:p>
    <w:p>
      <w:pPr>
        <w:numPr>
          <w:numId w:val="0"/>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第一条  个人进修管理</w:t>
      </w:r>
    </w:p>
    <w:p>
      <w:pPr>
        <w:numPr>
          <w:numId w:val="0"/>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审批通过后，申请人应按时参与进修学习，认真完成进修项目并通过相应的考核或提交相应的总结资料。公司将对员工的个人进修学习进行统一管理，相应要求如下：</w:t>
      </w:r>
    </w:p>
    <w:p>
      <w:pPr>
        <w:numPr>
          <w:ilvl w:val="0"/>
          <w:numId w:val="6"/>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进修人员应合理安排进修学习时间，保证工作不受影响；需提前将学习安排报给人事行政部备案；在进修学习期间，应做到认真、投入、用心和学有所成。</w:t>
      </w:r>
    </w:p>
    <w:p>
      <w:pPr>
        <w:numPr>
          <w:ilvl w:val="0"/>
          <w:numId w:val="6"/>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参加外出考察、学习、专项培训后，需将相关的课件、素材等学习资料报人事行政部存档，并形成高质量的学习总结或进行内部分享。</w:t>
      </w:r>
    </w:p>
    <w:p>
      <w:pPr>
        <w:numPr>
          <w:ilvl w:val="0"/>
          <w:numId w:val="6"/>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参加学历学位研修学习结束后，需及时持资质证书、毕业证、考试成绩、其他证明材料或学习总结到人事行政部登记备案。</w:t>
      </w:r>
    </w:p>
    <w:p>
      <w:pPr>
        <w:numPr>
          <w:ilvl w:val="0"/>
          <w:numId w:val="6"/>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参加任职资格、专业考证类等取证培训后，需及时持职称证书、资格证书、专业资质证书等到人事行政部备案登记。</w:t>
      </w:r>
    </w:p>
    <w:p>
      <w:pPr>
        <w:numPr>
          <w:ilvl w:val="0"/>
          <w:numId w:val="6"/>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进修人员未能获得毕业证书、资质证书（专业考证类培训）、考试成绩不合格（跨年度的继续教育）或未能及时提交高质量的学习总结，将不能报销培训费用。</w:t>
      </w:r>
    </w:p>
    <w:p>
      <w:pPr>
        <w:numPr>
          <w:ilvl w:val="0"/>
          <w:numId w:val="6"/>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员工参加各类学习班、职业学校、夜大、电大、函大、成人高校获得的学历资格，均由人力资源部根据国家有关规定认定并更新个人人事档案，未经认可的不予承认。</w:t>
      </w:r>
    </w:p>
    <w:p>
      <w:pPr>
        <w:numPr>
          <w:ilvl w:val="0"/>
          <w:numId w:val="7"/>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个人进修时间</w:t>
      </w:r>
    </w:p>
    <w:p>
      <w:pPr>
        <w:numPr>
          <w:ilvl w:val="0"/>
          <w:numId w:val="8"/>
        </w:numPr>
        <w:ind w:left="560" w:leftChars="0" w:firstLine="0" w:firstLine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员工个人进修，原则上利用个人业余时间进行。</w:t>
      </w:r>
    </w:p>
    <w:p>
      <w:pPr>
        <w:numPr>
          <w:ilvl w:val="0"/>
          <w:numId w:val="8"/>
        </w:numPr>
        <w:ind w:left="560" w:leftChars="0" w:firstLine="0" w:firstLine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如需占用工作时间参加进修的，累计时间在一周以内，可向公司申请带薪脱产学习；如时间累计超过一周，超出部分员工需通过申请个人假期（如年假、事假等）完成进修。</w:t>
      </w: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第四章 费用报销与服务期限</w:t>
      </w:r>
    </w:p>
    <w:p>
      <w:pPr>
        <w:numPr>
          <w:ilvl w:val="0"/>
          <w:numId w:val="9"/>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费用报销范围</w:t>
      </w:r>
    </w:p>
    <w:p>
      <w:pPr>
        <w:numPr>
          <w:numId w:val="0"/>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公司可报销的个人进修费用范围如下：</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697"/>
        <w:gridCol w:w="68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697" w:type="dxa"/>
            <w:vAlign w:val="center"/>
          </w:tcPr>
          <w:p>
            <w:pPr>
              <w:numPr>
                <w:numId w:val="0"/>
              </w:numPr>
              <w:jc w:val="center"/>
              <w:rPr>
                <w:rFonts w:hint="eastAsia" w:asciiTheme="majorEastAsia" w:hAnsiTheme="majorEastAsia" w:eastAsiaTheme="majorEastAsia" w:cstheme="majorEastAsia"/>
                <w:b/>
                <w:bCs/>
                <w:sz w:val="28"/>
                <w:szCs w:val="36"/>
                <w:vertAlign w:val="baseline"/>
                <w:lang w:val="en-US" w:eastAsia="zh-CN"/>
              </w:rPr>
            </w:pPr>
            <w:r>
              <w:rPr>
                <w:rFonts w:hint="eastAsia" w:asciiTheme="majorEastAsia" w:hAnsiTheme="majorEastAsia" w:eastAsiaTheme="majorEastAsia" w:cstheme="majorEastAsia"/>
                <w:b/>
                <w:bCs/>
                <w:sz w:val="28"/>
                <w:szCs w:val="36"/>
                <w:vertAlign w:val="baseline"/>
                <w:lang w:val="en-US" w:eastAsia="zh-CN"/>
              </w:rPr>
              <w:t>类别</w:t>
            </w:r>
          </w:p>
        </w:tc>
        <w:tc>
          <w:tcPr>
            <w:tcW w:w="6825" w:type="dxa"/>
            <w:vAlign w:val="center"/>
          </w:tcPr>
          <w:p>
            <w:pPr>
              <w:numPr>
                <w:numId w:val="0"/>
              </w:numPr>
              <w:jc w:val="center"/>
              <w:rPr>
                <w:rFonts w:hint="eastAsia" w:asciiTheme="majorEastAsia" w:hAnsiTheme="majorEastAsia" w:eastAsiaTheme="majorEastAsia" w:cstheme="majorEastAsia"/>
                <w:b/>
                <w:bCs/>
                <w:sz w:val="28"/>
                <w:szCs w:val="36"/>
                <w:vertAlign w:val="baseline"/>
                <w:lang w:val="en-US" w:eastAsia="zh-CN"/>
              </w:rPr>
            </w:pPr>
            <w:r>
              <w:rPr>
                <w:rFonts w:hint="eastAsia" w:asciiTheme="majorEastAsia" w:hAnsiTheme="majorEastAsia" w:eastAsiaTheme="majorEastAsia" w:cstheme="majorEastAsia"/>
                <w:b/>
                <w:bCs/>
                <w:sz w:val="28"/>
                <w:szCs w:val="36"/>
                <w:vertAlign w:val="baseline"/>
                <w:lang w:val="en-US" w:eastAsia="zh-CN"/>
              </w:rPr>
              <w:t>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697" w:type="dxa"/>
            <w:vAlign w:val="center"/>
          </w:tcPr>
          <w:p>
            <w:pPr>
              <w:numPr>
                <w:numId w:val="0"/>
              </w:num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可报销范围</w:t>
            </w:r>
          </w:p>
        </w:tc>
        <w:tc>
          <w:tcPr>
            <w:tcW w:w="6825" w:type="dxa"/>
            <w:vAlign w:val="center"/>
          </w:tcPr>
          <w:p>
            <w:pPr>
              <w:numPr>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学费（培训费）、考试费、及公司认可的与进修直接相关的其他费用。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697" w:type="dxa"/>
            <w:vAlign w:val="center"/>
          </w:tcPr>
          <w:p>
            <w:pPr>
              <w:numPr>
                <w:numId w:val="0"/>
              </w:num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非报销范围</w:t>
            </w:r>
          </w:p>
        </w:tc>
        <w:tc>
          <w:tcPr>
            <w:tcW w:w="6825" w:type="dxa"/>
            <w:vAlign w:val="center"/>
          </w:tcPr>
          <w:p>
            <w:pPr>
              <w:numPr>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报名费、补考费、课本费、学习资料费、仪器购置费、餐费、交通费、住宿费、文具费以及进修项目中涉及国内外考察所需的专项费用等。</w:t>
            </w:r>
          </w:p>
        </w:tc>
      </w:tr>
    </w:tbl>
    <w:p>
      <w:pPr>
        <w:numPr>
          <w:ilvl w:val="0"/>
          <w:numId w:val="9"/>
        </w:numPr>
        <w:ind w:left="0" w:leftChars="0" w:firstLine="0" w:firstLine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费用报销标准</w:t>
      </w:r>
    </w:p>
    <w:p>
      <w:pPr>
        <w:numPr>
          <w:numId w:val="0"/>
        </w:numPr>
        <w:ind w:leftChars="0"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公司将按以下标准，对个人进修费用进行资助。</w:t>
      </w:r>
    </w:p>
    <w:p>
      <w:pPr>
        <w:numPr>
          <w:numId w:val="0"/>
        </w:numPr>
        <w:ind w:leftChars="0"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个人申请进修所需费用较低的，根据员工职务级别不同，分别设定公司可给予全额报销的费用额度，具体标准如下：</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61" w:type="dxa"/>
            <w:vAlign w:val="center"/>
          </w:tcPr>
          <w:p>
            <w:pPr>
              <w:numPr>
                <w:numId w:val="0"/>
              </w:numPr>
              <w:jc w:val="center"/>
              <w:rPr>
                <w:rFonts w:hint="eastAsia" w:asciiTheme="majorEastAsia" w:hAnsiTheme="majorEastAsia" w:eastAsiaTheme="majorEastAsia" w:cstheme="majorEastAsia"/>
                <w:b/>
                <w:bCs/>
                <w:sz w:val="28"/>
                <w:szCs w:val="36"/>
                <w:vertAlign w:val="baseline"/>
                <w:lang w:val="en-US" w:eastAsia="zh-CN"/>
              </w:rPr>
            </w:pPr>
            <w:r>
              <w:rPr>
                <w:rFonts w:hint="eastAsia" w:asciiTheme="majorEastAsia" w:hAnsiTheme="majorEastAsia" w:eastAsiaTheme="majorEastAsia" w:cstheme="majorEastAsia"/>
                <w:b/>
                <w:bCs/>
                <w:sz w:val="28"/>
                <w:szCs w:val="36"/>
                <w:vertAlign w:val="baseline"/>
                <w:lang w:val="en-US" w:eastAsia="zh-CN"/>
              </w:rPr>
              <w:t>员工职务级别</w:t>
            </w:r>
          </w:p>
        </w:tc>
        <w:tc>
          <w:tcPr>
            <w:tcW w:w="4261" w:type="dxa"/>
            <w:vAlign w:val="center"/>
          </w:tcPr>
          <w:p>
            <w:pPr>
              <w:numPr>
                <w:numId w:val="0"/>
              </w:numPr>
              <w:jc w:val="center"/>
              <w:rPr>
                <w:rFonts w:hint="eastAsia" w:asciiTheme="majorEastAsia" w:hAnsiTheme="majorEastAsia" w:eastAsiaTheme="majorEastAsia" w:cstheme="majorEastAsia"/>
                <w:b/>
                <w:bCs/>
                <w:sz w:val="28"/>
                <w:szCs w:val="36"/>
                <w:vertAlign w:val="baseline"/>
                <w:lang w:val="en-US" w:eastAsia="zh-CN"/>
              </w:rPr>
            </w:pPr>
            <w:r>
              <w:rPr>
                <w:rFonts w:hint="eastAsia" w:asciiTheme="majorEastAsia" w:hAnsiTheme="majorEastAsia" w:eastAsiaTheme="majorEastAsia" w:cstheme="majorEastAsia"/>
                <w:b/>
                <w:bCs/>
                <w:sz w:val="28"/>
                <w:szCs w:val="36"/>
                <w:vertAlign w:val="baseline"/>
                <w:lang w:val="en-US" w:eastAsia="zh-CN"/>
              </w:rPr>
              <w:t>单位报销额度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61" w:type="dxa"/>
            <w:vAlign w:val="center"/>
          </w:tcPr>
          <w:p>
            <w:pPr>
              <w:numPr>
                <w:numId w:val="0"/>
              </w:num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总监级及以上</w:t>
            </w:r>
          </w:p>
        </w:tc>
        <w:tc>
          <w:tcPr>
            <w:tcW w:w="4261" w:type="dxa"/>
            <w:vAlign w:val="center"/>
          </w:tcPr>
          <w:p>
            <w:pPr>
              <w:numPr>
                <w:numId w:val="0"/>
              </w:num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15000元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61" w:type="dxa"/>
            <w:vAlign w:val="center"/>
          </w:tcPr>
          <w:p>
            <w:pPr>
              <w:numPr>
                <w:numId w:val="0"/>
              </w:num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副经理级及以上</w:t>
            </w:r>
          </w:p>
        </w:tc>
        <w:tc>
          <w:tcPr>
            <w:tcW w:w="4261" w:type="dxa"/>
            <w:vAlign w:val="center"/>
          </w:tcPr>
          <w:p>
            <w:pPr>
              <w:numPr>
                <w:numId w:val="0"/>
              </w:num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10000元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61" w:type="dxa"/>
            <w:vAlign w:val="center"/>
          </w:tcPr>
          <w:p>
            <w:pPr>
              <w:numPr>
                <w:numId w:val="0"/>
              </w:num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主任级员工</w:t>
            </w:r>
          </w:p>
        </w:tc>
        <w:tc>
          <w:tcPr>
            <w:tcW w:w="4261" w:type="dxa"/>
            <w:vAlign w:val="center"/>
          </w:tcPr>
          <w:p>
            <w:pPr>
              <w:numPr>
                <w:numId w:val="0"/>
              </w:num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5000元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61" w:type="dxa"/>
            <w:vAlign w:val="center"/>
          </w:tcPr>
          <w:p>
            <w:pPr>
              <w:numPr>
                <w:numId w:val="0"/>
              </w:num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非管理层人员</w:t>
            </w:r>
          </w:p>
        </w:tc>
        <w:tc>
          <w:tcPr>
            <w:tcW w:w="4261" w:type="dxa"/>
            <w:vAlign w:val="center"/>
          </w:tcPr>
          <w:p>
            <w:pPr>
              <w:numPr>
                <w:numId w:val="0"/>
              </w:num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3000元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gridSpan w:val="2"/>
            <w:vAlign w:val="center"/>
          </w:tcPr>
          <w:p>
            <w:pPr>
              <w:numPr>
                <w:numId w:val="0"/>
              </w:numPr>
              <w:jc w:val="both"/>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bCs/>
                <w:sz w:val="28"/>
                <w:szCs w:val="36"/>
                <w:vertAlign w:val="baseline"/>
                <w:lang w:val="en-US" w:eastAsia="zh-CN"/>
              </w:rPr>
              <w:t>备注</w:t>
            </w:r>
            <w:r>
              <w:rPr>
                <w:rFonts w:hint="eastAsia" w:asciiTheme="majorEastAsia" w:hAnsiTheme="majorEastAsia" w:eastAsiaTheme="majorEastAsia" w:cstheme="majorEastAsia"/>
                <w:b w:val="0"/>
                <w:bCs w:val="0"/>
                <w:sz w:val="28"/>
                <w:szCs w:val="36"/>
                <w:vertAlign w:val="baseline"/>
                <w:lang w:val="en-US" w:eastAsia="zh-CN"/>
              </w:rPr>
              <w:t>：上述金额均以人民币结算。</w:t>
            </w:r>
          </w:p>
        </w:tc>
      </w:tr>
    </w:tbl>
    <w:p>
      <w:pPr>
        <w:numPr>
          <w:ilvl w:val="0"/>
          <w:numId w:val="9"/>
        </w:numPr>
        <w:ind w:left="0" w:leftChars="0" w:firstLine="0" w:firstLine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费用报销流程</w:t>
      </w:r>
    </w:p>
    <w:p>
      <w:pPr>
        <w:numPr>
          <w:ilvl w:val="0"/>
          <w:numId w:val="10"/>
        </w:numPr>
        <w:ind w:leftChars="0"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进修申请人按照以下的流程进行费用报销：</w:t>
      </w:r>
    </w:p>
    <w:p>
      <w:pPr>
        <w:numPr>
          <w:numId w:val="0"/>
        </w:numPr>
        <w:ind w:leftChars="200"/>
        <w:rPr>
          <w:rFonts w:hint="eastAsia" w:asciiTheme="majorEastAsia" w:hAnsiTheme="majorEastAsia" w:eastAsiaTheme="majorEastAsia" w:cstheme="majorEastAsia"/>
          <w:b w:val="0"/>
          <w:bCs w:val="0"/>
          <w:sz w:val="28"/>
          <w:szCs w:val="36"/>
          <w:lang w:val="en-US" w:eastAsia="zh-CN"/>
        </w:rPr>
      </w:pPr>
    </w:p>
    <w:p>
      <w:pPr>
        <w:numPr>
          <w:numId w:val="0"/>
        </w:numPr>
        <w:ind w:leftChars="200"/>
        <w:jc w:val="center"/>
        <w:rPr>
          <w:rFonts w:hint="eastAsia" w:asciiTheme="majorEastAsia" w:hAnsiTheme="majorEastAsia" w:eastAsiaTheme="majorEastAsia" w:cstheme="majorEastAsia"/>
          <w:b/>
          <w:bCs/>
          <w:sz w:val="28"/>
          <w:szCs w:val="36"/>
          <w:lang w:val="en-US" w:eastAsia="zh-CN"/>
        </w:rPr>
      </w:pPr>
      <w:r>
        <w:rPr>
          <w:rFonts w:hint="eastAsia" w:asciiTheme="majorEastAsia" w:hAnsiTheme="majorEastAsia" w:eastAsiaTheme="majorEastAsia" w:cstheme="majorEastAsia"/>
          <w:b/>
          <w:bCs/>
          <w:sz w:val="28"/>
          <w:szCs w:val="36"/>
          <w:lang w:val="en-US" w:eastAsia="zh-CN"/>
        </w:rPr>
        <w:t>通过OA流程申请并获通过</w:t>
      </w:r>
    </w:p>
    <w:p>
      <w:pPr>
        <w:numPr>
          <w:numId w:val="0"/>
        </w:numPr>
        <w:ind w:leftChars="200"/>
        <w:jc w:val="center"/>
        <w:rPr>
          <w:rFonts w:hint="eastAsia" w:asciiTheme="majorEastAsia" w:hAnsiTheme="majorEastAsia" w:eastAsiaTheme="majorEastAsia" w:cstheme="majorEastAsia"/>
          <w:b/>
          <w:bCs/>
          <w:sz w:val="28"/>
          <w:szCs w:val="36"/>
          <w:lang w:val="en-US" w:eastAsia="zh-CN"/>
        </w:rPr>
      </w:pPr>
      <w:r>
        <w:rPr>
          <w:rFonts w:hint="default" w:ascii="Arial" w:hAnsi="Arial" w:cs="Arial" w:eastAsiaTheme="majorEastAsia"/>
          <w:b/>
          <w:bCs/>
          <w:sz w:val="28"/>
          <w:szCs w:val="36"/>
          <w:lang w:val="en-US" w:eastAsia="zh-CN"/>
        </w:rPr>
        <w:t>↓</w:t>
      </w:r>
    </w:p>
    <w:p>
      <w:pPr>
        <w:numPr>
          <w:numId w:val="0"/>
        </w:numPr>
        <w:ind w:leftChars="200"/>
        <w:jc w:val="center"/>
        <w:rPr>
          <w:rFonts w:hint="eastAsia" w:asciiTheme="majorEastAsia" w:hAnsiTheme="majorEastAsia" w:eastAsiaTheme="majorEastAsia" w:cstheme="majorEastAsia"/>
          <w:b/>
          <w:bCs/>
          <w:sz w:val="28"/>
          <w:szCs w:val="36"/>
          <w:lang w:val="en-US" w:eastAsia="zh-CN"/>
        </w:rPr>
      </w:pPr>
      <w:r>
        <w:rPr>
          <w:rFonts w:hint="eastAsia" w:asciiTheme="majorEastAsia" w:hAnsiTheme="majorEastAsia" w:eastAsiaTheme="majorEastAsia" w:cstheme="majorEastAsia"/>
          <w:b/>
          <w:bCs/>
          <w:sz w:val="28"/>
          <w:szCs w:val="36"/>
          <w:lang w:val="en-US" w:eastAsia="zh-CN"/>
        </w:rPr>
        <w:t>自行报名，支付进修费用，按时参加进修学习</w:t>
      </w:r>
    </w:p>
    <w:p>
      <w:pPr>
        <w:numPr>
          <w:numId w:val="0"/>
        </w:numPr>
        <w:ind w:leftChars="200"/>
        <w:jc w:val="center"/>
        <w:rPr>
          <w:rFonts w:hint="eastAsia" w:asciiTheme="majorEastAsia" w:hAnsiTheme="majorEastAsia" w:eastAsiaTheme="majorEastAsia" w:cstheme="majorEastAsia"/>
          <w:b/>
          <w:bCs/>
          <w:sz w:val="28"/>
          <w:szCs w:val="36"/>
          <w:lang w:val="en-US" w:eastAsia="zh-CN"/>
        </w:rPr>
      </w:pPr>
      <w:r>
        <w:rPr>
          <w:rFonts w:hint="default" w:ascii="Arial" w:hAnsi="Arial" w:cs="Arial" w:eastAsiaTheme="majorEastAsia"/>
          <w:b/>
          <w:bCs/>
          <w:sz w:val="28"/>
          <w:szCs w:val="36"/>
          <w:lang w:val="en-US" w:eastAsia="zh-CN"/>
        </w:rPr>
        <w:t>↓</w:t>
      </w:r>
    </w:p>
    <w:p>
      <w:pPr>
        <w:numPr>
          <w:numId w:val="0"/>
        </w:numPr>
        <w:ind w:leftChars="200"/>
        <w:jc w:val="lef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bCs/>
          <w:sz w:val="28"/>
          <w:szCs w:val="36"/>
          <w:lang w:val="en-US" w:eastAsia="zh-CN"/>
        </w:rPr>
        <w:t>再进修学习结束后，申请人将有效凭证交至人事行政部进行备案及报销</w:t>
      </w:r>
    </w:p>
    <w:p>
      <w:pPr>
        <w:numPr>
          <w:ilvl w:val="0"/>
          <w:numId w:val="10"/>
        </w:numPr>
        <w:ind w:left="0" w:leftChars="0"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费用报销注意事项：</w:t>
      </w:r>
    </w:p>
    <w:p>
      <w:pPr>
        <w:numPr>
          <w:ilvl w:val="0"/>
          <w:numId w:val="11"/>
        </w:numPr>
        <w:ind w:left="700" w:leftChars="0" w:firstLine="0" w:firstLine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申请人在进修学习结束后一个月内需提供相应凭证至人事</w:t>
      </w:r>
    </w:p>
    <w:p>
      <w:pPr>
        <w:numPr>
          <w:numId w:val="0"/>
        </w:numPr>
        <w:ind w:left="838" w:leftChars="399" w:firstLine="0" w:firstLine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行政部进行备案及报销。依据进修项目类型的不同，需提供的凭证要求如下：</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025"/>
        <w:gridCol w:w="54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025" w:type="dxa"/>
            <w:vAlign w:val="center"/>
          </w:tcPr>
          <w:p>
            <w:pPr>
              <w:numPr>
                <w:numId w:val="0"/>
              </w:numPr>
              <w:jc w:val="center"/>
              <w:rPr>
                <w:rFonts w:hint="eastAsia" w:asciiTheme="majorEastAsia" w:hAnsiTheme="majorEastAsia" w:eastAsiaTheme="majorEastAsia" w:cstheme="majorEastAsia"/>
                <w:b/>
                <w:bCs/>
                <w:sz w:val="28"/>
                <w:szCs w:val="36"/>
                <w:vertAlign w:val="baseline"/>
                <w:lang w:val="en-US" w:eastAsia="zh-CN"/>
              </w:rPr>
            </w:pPr>
            <w:r>
              <w:rPr>
                <w:rFonts w:hint="eastAsia" w:asciiTheme="majorEastAsia" w:hAnsiTheme="majorEastAsia" w:eastAsiaTheme="majorEastAsia" w:cstheme="majorEastAsia"/>
                <w:b/>
                <w:bCs/>
                <w:sz w:val="28"/>
                <w:szCs w:val="36"/>
                <w:vertAlign w:val="baseline"/>
                <w:lang w:val="en-US" w:eastAsia="zh-CN"/>
              </w:rPr>
              <w:t>进修学习类型</w:t>
            </w:r>
          </w:p>
        </w:tc>
        <w:tc>
          <w:tcPr>
            <w:tcW w:w="5497" w:type="dxa"/>
            <w:vAlign w:val="center"/>
          </w:tcPr>
          <w:p>
            <w:pPr>
              <w:numPr>
                <w:numId w:val="0"/>
              </w:numPr>
              <w:jc w:val="center"/>
              <w:rPr>
                <w:rFonts w:hint="eastAsia" w:asciiTheme="majorEastAsia" w:hAnsiTheme="majorEastAsia" w:eastAsiaTheme="majorEastAsia" w:cstheme="majorEastAsia"/>
                <w:b/>
                <w:bCs/>
                <w:sz w:val="28"/>
                <w:szCs w:val="36"/>
                <w:vertAlign w:val="baseline"/>
                <w:lang w:val="en-US" w:eastAsia="zh-CN"/>
              </w:rPr>
            </w:pPr>
            <w:r>
              <w:rPr>
                <w:rFonts w:hint="eastAsia" w:asciiTheme="majorEastAsia" w:hAnsiTheme="majorEastAsia" w:eastAsiaTheme="majorEastAsia" w:cstheme="majorEastAsia"/>
                <w:b/>
                <w:bCs/>
                <w:sz w:val="28"/>
                <w:szCs w:val="36"/>
                <w:vertAlign w:val="baseline"/>
                <w:lang w:val="en-US" w:eastAsia="zh-CN"/>
              </w:rPr>
              <w:t>报销凭证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025" w:type="dxa"/>
            <w:vAlign w:val="center"/>
          </w:tcPr>
          <w:p>
            <w:pPr>
              <w:numPr>
                <w:ilvl w:val="0"/>
                <w:numId w:val="0"/>
              </w:numPr>
              <w:ind w:left="0" w:leftChars="0" w:firstLine="0" w:firstLineChars="0"/>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学历、学位研修学习</w:t>
            </w:r>
          </w:p>
        </w:tc>
        <w:tc>
          <w:tcPr>
            <w:tcW w:w="5497" w:type="dxa"/>
            <w:vAlign w:val="center"/>
          </w:tcPr>
          <w:p>
            <w:pPr>
              <w:numPr>
                <w:numId w:val="0"/>
              </w:num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学费发票、各学期考试成绩单、学历/学位证书、毕业证书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025" w:type="dxa"/>
            <w:vAlign w:val="center"/>
          </w:tcPr>
          <w:p>
            <w:pPr>
              <w:numPr>
                <w:ilvl w:val="0"/>
                <w:numId w:val="0"/>
              </w:numPr>
              <w:ind w:left="0" w:leftChars="0" w:firstLine="0" w:firstLineChars="0"/>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在职资格、专业技术考试及培训</w:t>
            </w:r>
          </w:p>
        </w:tc>
        <w:tc>
          <w:tcPr>
            <w:tcW w:w="5497" w:type="dxa"/>
            <w:vAlign w:val="center"/>
          </w:tcPr>
          <w:p>
            <w:pPr>
              <w:numPr>
                <w:numId w:val="0"/>
              </w:num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学费发票、资格考试成绩、专业资质证书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025" w:type="dxa"/>
            <w:vAlign w:val="center"/>
          </w:tcPr>
          <w:p>
            <w:pPr>
              <w:numPr>
                <w:ilvl w:val="0"/>
                <w:numId w:val="0"/>
              </w:numPr>
              <w:ind w:left="0" w:leftChars="0" w:firstLine="0" w:firstLineChars="0"/>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专业知识或技能培训</w:t>
            </w:r>
          </w:p>
        </w:tc>
        <w:tc>
          <w:tcPr>
            <w:tcW w:w="5497" w:type="dxa"/>
            <w:vAlign w:val="center"/>
          </w:tcPr>
          <w:p>
            <w:pPr>
              <w:numPr>
                <w:numId w:val="0"/>
              </w:num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学费发票、学习总结、学习资料、结业证书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3025" w:type="dxa"/>
            <w:vAlign w:val="center"/>
          </w:tcPr>
          <w:p>
            <w:pPr>
              <w:numPr>
                <w:ilvl w:val="0"/>
                <w:numId w:val="0"/>
              </w:numPr>
              <w:ind w:left="0" w:leftChars="0" w:firstLine="0" w:firstLineChars="0"/>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外出交流考察</w:t>
            </w:r>
          </w:p>
        </w:tc>
        <w:tc>
          <w:tcPr>
            <w:tcW w:w="5497" w:type="dxa"/>
            <w:vAlign w:val="center"/>
          </w:tcPr>
          <w:p>
            <w:pPr>
              <w:numPr>
                <w:numId w:val="0"/>
              </w:num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学费发票、考察总结</w:t>
            </w:r>
          </w:p>
        </w:tc>
      </w:tr>
    </w:tbl>
    <w:p>
      <w:pPr>
        <w:numPr>
          <w:ilvl w:val="0"/>
          <w:numId w:val="9"/>
        </w:numPr>
        <w:ind w:left="0" w:leftChars="0" w:firstLine="0" w:firstLine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服务期限约定</w:t>
      </w:r>
    </w:p>
    <w:p>
      <w:pPr>
        <w:numPr>
          <w:ilvl w:val="0"/>
          <w:numId w:val="12"/>
        </w:numPr>
        <w:ind w:left="560" w:leftChars="0" w:firstLine="0" w:firstLine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凡公司出资外出个人进修（包括自主申请获批准外出培训）的员工，须签订并遵守《培训承诺书》，承若在公司的一定服务期限（该要求对已达到法定退休年龄者例外）。服务期限按实际报销额为准进行核算。</w:t>
      </w:r>
    </w:p>
    <w:p>
      <w:pPr>
        <w:numPr>
          <w:ilvl w:val="0"/>
          <w:numId w:val="12"/>
        </w:numPr>
        <w:ind w:left="560" w:leftChars="0" w:firstLine="0" w:firstLine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员工受公司资助额度不超过20000元的，其服务年限为：自公司出资日起计，为公司服务不低于两年。</w:t>
      </w:r>
    </w:p>
    <w:p>
      <w:pPr>
        <w:numPr>
          <w:ilvl w:val="0"/>
          <w:numId w:val="12"/>
        </w:numPr>
        <w:ind w:left="560" w:leftChars="0" w:firstLine="0" w:firstLine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员工受公司资助额度为20000元一50000元的，其服务年限为：自公司出资日起计，为公司服务不低于4年。</w:t>
      </w:r>
    </w:p>
    <w:p>
      <w:pPr>
        <w:numPr>
          <w:ilvl w:val="0"/>
          <w:numId w:val="12"/>
        </w:numPr>
        <w:ind w:left="560" w:leftChars="0" w:firstLine="0" w:firstLine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员工受公司资助额度为50000元以上的，其服务年限为自公司出资日起计，为公司服务不低于6年。</w:t>
      </w:r>
    </w:p>
    <w:p>
      <w:pPr>
        <w:numPr>
          <w:ilvl w:val="0"/>
          <w:numId w:val="12"/>
        </w:numPr>
        <w:ind w:left="560" w:leftChars="0" w:firstLine="0" w:firstLine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获得公司多次培训资助的，分别累加计算费用。</w:t>
      </w:r>
    </w:p>
    <w:p>
      <w:pPr>
        <w:numPr>
          <w:numId w:val="0"/>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第五条  培训费用补偿</w:t>
      </w:r>
    </w:p>
    <w:p>
      <w:pPr>
        <w:numPr>
          <w:numId w:val="0"/>
        </w:numPr>
        <w:ind w:left="560" w:left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（1）员工在约定服务期内辞职均应补偿公司的培训出资费用；</w:t>
      </w:r>
    </w:p>
    <w:p>
      <w:pPr>
        <w:numPr>
          <w:numId w:val="0"/>
        </w:numPr>
        <w:ind w:left="1399" w:leftChars="266" w:hanging="840" w:hangingChars="3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（2）员工有下列情形之一的，公司可以解除劳动合同，员工应补偿公司的培训出资费用；</w:t>
      </w:r>
    </w:p>
    <w:p>
      <w:pPr>
        <w:numPr>
          <w:numId w:val="0"/>
        </w:numPr>
        <w:ind w:left="560" w:left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1、严重违反用人单位的规章制度的；</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2、严重失职，营私舞弊，给用人单位造成重大损害的；</w:t>
      </w:r>
    </w:p>
    <w:p>
      <w:pPr>
        <w:numPr>
          <w:numId w:val="0"/>
        </w:numPr>
        <w:ind w:left="560" w:left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3、劳动者同时与其他企业建立劳动关系，对完成本公司的工作任务造成严重影响，或经公司提出，拒不改正的；</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4、被依法追究刑事责任的。</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(3)有下列情形之一的，公司可以与员工协商解除劳动合同，员工不需补偿公司的培训出资费用</w:t>
      </w:r>
    </w:p>
    <w:p>
      <w:pPr>
        <w:numPr>
          <w:numId w:val="0"/>
        </w:numPr>
        <w:ind w:left="560" w:left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1、员工患病或非因工负伤，医疗期满后不能从事原工作也不能从事由公司另行安排的工作的</w:t>
      </w:r>
    </w:p>
    <w:p>
      <w:pPr>
        <w:numPr>
          <w:numId w:val="0"/>
        </w:numPr>
        <w:ind w:left="560" w:left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2、劳动合同订立所依据的客观情况发生重大变化，致使原劳动合同无法履行，经当事人协商不能就变更劳动合同达成一致协议的；</w:t>
      </w:r>
    </w:p>
    <w:p>
      <w:pPr>
        <w:numPr>
          <w:numId w:val="0"/>
        </w:numPr>
        <w:ind w:left="560" w:left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3、公司经营困难发生经济性裁员的。</w:t>
      </w:r>
    </w:p>
    <w:p>
      <w:pPr>
        <w:numPr>
          <w:numId w:val="0"/>
        </w:numPr>
        <w:ind w:left="560" w:left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(4)费用补偿计算方法为：受资助培训费用</w:t>
      </w:r>
      <w:r>
        <w:rPr>
          <w:rFonts w:hint="default" w:ascii="Arial" w:hAnsi="Arial" w:cs="Arial" w:eastAsiaTheme="majorEastAsia"/>
          <w:b w:val="0"/>
          <w:bCs w:val="0"/>
          <w:sz w:val="28"/>
          <w:szCs w:val="36"/>
          <w:lang w:val="en-US" w:eastAsia="zh-CN"/>
        </w:rPr>
        <w:t>×</w:t>
      </w:r>
      <w:r>
        <w:rPr>
          <w:rFonts w:hint="eastAsia" w:asciiTheme="majorEastAsia" w:hAnsiTheme="majorEastAsia" w:eastAsiaTheme="majorEastAsia" w:cstheme="majorEastAsia"/>
          <w:b w:val="0"/>
          <w:bCs w:val="0"/>
          <w:sz w:val="28"/>
          <w:szCs w:val="36"/>
          <w:lang w:val="en-US" w:eastAsia="zh-CN"/>
        </w:rPr>
        <w:t>未服务期限(月)/应服务期限(月)。服务期限自公司出资日起按月计算，满30日为个月，未满30日不计在内。</w:t>
      </w:r>
    </w:p>
    <w:p>
      <w:pPr>
        <w:numPr>
          <w:numId w:val="0"/>
        </w:numPr>
        <w:ind w:left="560" w:leftChars="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（5）上述补偿费用回收后仍列支在公司培训费用科目下，用于员工教育培训。</w:t>
      </w:r>
    </w:p>
    <w:p>
      <w:pPr>
        <w:numPr>
          <w:ilvl w:val="0"/>
          <w:numId w:val="0"/>
        </w:numPr>
        <w:jc w:val="cente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bCs/>
          <w:sz w:val="32"/>
          <w:szCs w:val="40"/>
          <w:lang w:val="en-US" w:eastAsia="zh-CN"/>
        </w:rPr>
        <w:t>附则</w:t>
      </w:r>
    </w:p>
    <w:p>
      <w:pPr>
        <w:numPr>
          <w:numId w:val="0"/>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第一条  本制度由行政中心负责后续修订。</w:t>
      </w:r>
    </w:p>
    <w:p>
      <w:pPr>
        <w:numPr>
          <w:numId w:val="0"/>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第二条  本管理制度由xxxx股份有限公司负责解释。</w:t>
      </w:r>
    </w:p>
    <w:p>
      <w:pPr>
        <w:numPr>
          <w:numId w:val="0"/>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第三条  本制度自20**年**月**日</w:t>
      </w:r>
      <w:bookmarkStart w:id="0" w:name="_GoBack"/>
      <w:bookmarkEnd w:id="0"/>
      <w:r>
        <w:rPr>
          <w:rFonts w:hint="eastAsia" w:asciiTheme="majorEastAsia" w:hAnsiTheme="majorEastAsia" w:eastAsiaTheme="majorEastAsia" w:cstheme="majorEastAsia"/>
          <w:b w:val="0"/>
          <w:bCs w:val="0"/>
          <w:sz w:val="28"/>
          <w:szCs w:val="36"/>
          <w:lang w:val="en-US" w:eastAsia="zh-CN"/>
        </w:rPr>
        <w:t>起实施。</w:t>
      </w:r>
    </w:p>
    <w:p>
      <w:pPr>
        <w:numPr>
          <w:numId w:val="0"/>
        </w:numPr>
        <w:rPr>
          <w:rFonts w:hint="eastAsia" w:asciiTheme="majorEastAsia" w:hAnsiTheme="majorEastAsia" w:eastAsiaTheme="majorEastAsia" w:cstheme="majorEastAsia"/>
          <w:b w:val="0"/>
          <w:bCs w:val="0"/>
          <w:sz w:val="28"/>
          <w:szCs w:val="36"/>
          <w:lang w:val="en-US" w:eastAsia="zh-CN"/>
        </w:rPr>
      </w:pPr>
    </w:p>
    <w:p>
      <w:pPr>
        <w:numPr>
          <w:numId w:val="0"/>
        </w:numPr>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xxxx股份有限公司</w:t>
      </w:r>
    </w:p>
    <w:p>
      <w:pPr>
        <w:numPr>
          <w:numId w:val="0"/>
        </w:numPr>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20**年**月**日</w:t>
      </w:r>
    </w:p>
    <w:p>
      <w:pPr>
        <w:numPr>
          <w:numId w:val="0"/>
        </w:numPr>
        <w:rPr>
          <w:rFonts w:hint="eastAsia" w:asciiTheme="majorEastAsia" w:hAnsiTheme="majorEastAsia" w:eastAsiaTheme="majorEastAsia" w:cstheme="majorEastAsia"/>
          <w:b w:val="0"/>
          <w:bCs w:val="0"/>
          <w:sz w:val="28"/>
          <w:szCs w:val="36"/>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F6CB8A"/>
    <w:multiLevelType w:val="singleLevel"/>
    <w:tmpl w:val="86F6CB8A"/>
    <w:lvl w:ilvl="0" w:tentative="0">
      <w:start w:val="2"/>
      <w:numFmt w:val="chineseCounting"/>
      <w:suff w:val="space"/>
      <w:lvlText w:val="第%1条"/>
      <w:lvlJc w:val="left"/>
      <w:rPr>
        <w:rFonts w:hint="eastAsia"/>
      </w:rPr>
    </w:lvl>
  </w:abstractNum>
  <w:abstractNum w:abstractNumId="1">
    <w:nsid w:val="8B3A1437"/>
    <w:multiLevelType w:val="singleLevel"/>
    <w:tmpl w:val="8B3A1437"/>
    <w:lvl w:ilvl="0" w:tentative="0">
      <w:start w:val="1"/>
      <w:numFmt w:val="decimal"/>
      <w:suff w:val="nothing"/>
      <w:lvlText w:val="（%1）"/>
      <w:lvlJc w:val="left"/>
    </w:lvl>
  </w:abstractNum>
  <w:abstractNum w:abstractNumId="2">
    <w:nsid w:val="8F0624E3"/>
    <w:multiLevelType w:val="singleLevel"/>
    <w:tmpl w:val="8F0624E3"/>
    <w:lvl w:ilvl="0" w:tentative="0">
      <w:start w:val="1"/>
      <w:numFmt w:val="chineseCounting"/>
      <w:suff w:val="space"/>
      <w:lvlText w:val="第%1条"/>
      <w:lvlJc w:val="left"/>
      <w:rPr>
        <w:rFonts w:hint="eastAsia"/>
      </w:rPr>
    </w:lvl>
  </w:abstractNum>
  <w:abstractNum w:abstractNumId="3">
    <w:nsid w:val="9A49005F"/>
    <w:multiLevelType w:val="singleLevel"/>
    <w:tmpl w:val="9A49005F"/>
    <w:lvl w:ilvl="0" w:tentative="0">
      <w:start w:val="1"/>
      <w:numFmt w:val="decimal"/>
      <w:suff w:val="nothing"/>
      <w:lvlText w:val="（%1）"/>
      <w:lvlJc w:val="left"/>
    </w:lvl>
  </w:abstractNum>
  <w:abstractNum w:abstractNumId="4">
    <w:nsid w:val="A56624B7"/>
    <w:multiLevelType w:val="singleLevel"/>
    <w:tmpl w:val="A56624B7"/>
    <w:lvl w:ilvl="0" w:tentative="0">
      <w:start w:val="1"/>
      <w:numFmt w:val="decimal"/>
      <w:suff w:val="nothing"/>
      <w:lvlText w:val="%1、"/>
      <w:lvlJc w:val="left"/>
      <w:pPr>
        <w:ind w:left="700" w:leftChars="0" w:firstLine="0" w:firstLineChars="0"/>
      </w:pPr>
    </w:lvl>
  </w:abstractNum>
  <w:abstractNum w:abstractNumId="5">
    <w:nsid w:val="CF31F407"/>
    <w:multiLevelType w:val="singleLevel"/>
    <w:tmpl w:val="CF31F407"/>
    <w:lvl w:ilvl="0" w:tentative="0">
      <w:start w:val="2"/>
      <w:numFmt w:val="chineseCounting"/>
      <w:suff w:val="space"/>
      <w:lvlText w:val="第%1条"/>
      <w:lvlJc w:val="left"/>
      <w:rPr>
        <w:rFonts w:hint="eastAsia"/>
      </w:rPr>
    </w:lvl>
  </w:abstractNum>
  <w:abstractNum w:abstractNumId="6">
    <w:nsid w:val="CFECEDCA"/>
    <w:multiLevelType w:val="singleLevel"/>
    <w:tmpl w:val="CFECEDCA"/>
    <w:lvl w:ilvl="0" w:tentative="0">
      <w:start w:val="1"/>
      <w:numFmt w:val="decimal"/>
      <w:suff w:val="nothing"/>
      <w:lvlText w:val="（%1）"/>
      <w:lvlJc w:val="left"/>
    </w:lvl>
  </w:abstractNum>
  <w:abstractNum w:abstractNumId="7">
    <w:nsid w:val="FF44E74E"/>
    <w:multiLevelType w:val="singleLevel"/>
    <w:tmpl w:val="FF44E74E"/>
    <w:lvl w:ilvl="0" w:tentative="0">
      <w:start w:val="1"/>
      <w:numFmt w:val="decimal"/>
      <w:suff w:val="nothing"/>
      <w:lvlText w:val="（%1）"/>
      <w:lvlJc w:val="left"/>
      <w:pPr>
        <w:ind w:left="560" w:leftChars="0" w:firstLine="0" w:firstLineChars="0"/>
      </w:pPr>
    </w:lvl>
  </w:abstractNum>
  <w:abstractNum w:abstractNumId="8">
    <w:nsid w:val="02BAB30E"/>
    <w:multiLevelType w:val="singleLevel"/>
    <w:tmpl w:val="02BAB30E"/>
    <w:lvl w:ilvl="0" w:tentative="0">
      <w:start w:val="4"/>
      <w:numFmt w:val="chineseCounting"/>
      <w:suff w:val="space"/>
      <w:lvlText w:val="第%1条"/>
      <w:lvlJc w:val="left"/>
      <w:rPr>
        <w:rFonts w:hint="eastAsia"/>
      </w:rPr>
    </w:lvl>
  </w:abstractNum>
  <w:abstractNum w:abstractNumId="9">
    <w:nsid w:val="0D5FB7E1"/>
    <w:multiLevelType w:val="singleLevel"/>
    <w:tmpl w:val="0D5FB7E1"/>
    <w:lvl w:ilvl="0" w:tentative="0">
      <w:start w:val="1"/>
      <w:numFmt w:val="decimal"/>
      <w:suff w:val="nothing"/>
      <w:lvlText w:val="（%1）"/>
      <w:lvlJc w:val="left"/>
    </w:lvl>
  </w:abstractNum>
  <w:abstractNum w:abstractNumId="10">
    <w:nsid w:val="45C91DC1"/>
    <w:multiLevelType w:val="singleLevel"/>
    <w:tmpl w:val="45C91DC1"/>
    <w:lvl w:ilvl="0" w:tentative="0">
      <w:start w:val="1"/>
      <w:numFmt w:val="decimal"/>
      <w:suff w:val="nothing"/>
      <w:lvlText w:val="（%1）"/>
      <w:lvlJc w:val="left"/>
    </w:lvl>
  </w:abstractNum>
  <w:abstractNum w:abstractNumId="11">
    <w:nsid w:val="69D32DE9"/>
    <w:multiLevelType w:val="singleLevel"/>
    <w:tmpl w:val="69D32DE9"/>
    <w:lvl w:ilvl="0" w:tentative="0">
      <w:start w:val="1"/>
      <w:numFmt w:val="decimal"/>
      <w:suff w:val="nothing"/>
      <w:lvlText w:val="（%1）"/>
      <w:lvlJc w:val="left"/>
      <w:pPr>
        <w:ind w:left="560" w:leftChars="0" w:firstLine="0" w:firstLineChars="0"/>
      </w:pPr>
    </w:lvl>
  </w:abstractNum>
  <w:num w:numId="1">
    <w:abstractNumId w:val="8"/>
  </w:num>
  <w:num w:numId="2">
    <w:abstractNumId w:val="3"/>
  </w:num>
  <w:num w:numId="3">
    <w:abstractNumId w:val="5"/>
  </w:num>
  <w:num w:numId="4">
    <w:abstractNumId w:val="10"/>
  </w:num>
  <w:num w:numId="5">
    <w:abstractNumId w:val="6"/>
  </w:num>
  <w:num w:numId="6">
    <w:abstractNumId w:val="9"/>
  </w:num>
  <w:num w:numId="7">
    <w:abstractNumId w:val="0"/>
  </w:num>
  <w:num w:numId="8">
    <w:abstractNumId w:val="11"/>
  </w:num>
  <w:num w:numId="9">
    <w:abstractNumId w:val="2"/>
  </w:num>
  <w:num w:numId="10">
    <w:abstractNumId w:val="1"/>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305E25"/>
    <w:rsid w:val="2C305E25"/>
    <w:rsid w:val="4C9A1A9C"/>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0</TotalTime>
  <ScaleCrop>false</ScaleCrop>
  <LinksUpToDate>false</LinksUpToDate>
  <CharactersWithSpaces>0</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2018-09-27T06:13:00Z</dcterms:created>
  <dc:creator>自己的大魔王</dc:creator>
  <cp:lastModifiedBy>自己的大魔王</cp:lastModifiedBy>
  <dcterms:modified xsi:type="dcterms:W3CDTF">2018-09-27T09:15:47Z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