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pBdr>
          <w:bottom w:val="double" w:color="auto" w:sz="4" w:space="0"/>
        </w:pBdr>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Xxxx股份有限公司文件</w:t>
      </w:r>
    </w:p>
    <w:p>
      <w:pPr>
        <w:numPr>
          <w:ilvl w:val="0"/>
          <w:numId w:val="0"/>
        </w:numPr>
        <w:jc w:val="center"/>
        <w:rPr>
          <w:rFonts w:hint="eastAsia" w:asciiTheme="majorEastAsia" w:hAnsiTheme="majorEastAsia" w:eastAsiaTheme="majorEastAsia" w:cstheme="majorEastAsia"/>
          <w:b/>
          <w:bCs/>
          <w:sz w:val="32"/>
          <w:szCs w:val="40"/>
          <w:lang w:val="en-US" w:eastAsia="zh-CN"/>
        </w:rPr>
      </w:pPr>
    </w:p>
    <w:p>
      <w:pPr>
        <w:numPr>
          <w:ilvl w:val="0"/>
          <w:numId w:val="0"/>
        </w:numPr>
        <w:jc w:val="center"/>
        <w:rPr>
          <w:rFonts w:hint="eastAsia" w:asciiTheme="majorEastAsia" w:hAnsiTheme="majorEastAsia" w:eastAsiaTheme="majorEastAsia" w:cstheme="majorEastAsia"/>
          <w:b/>
          <w:bCs/>
          <w:sz w:val="36"/>
          <w:szCs w:val="44"/>
          <w:lang w:val="en-US" w:eastAsia="zh-CN"/>
        </w:rPr>
      </w:pPr>
      <w:r>
        <w:rPr>
          <w:rFonts w:hint="eastAsia" w:asciiTheme="majorEastAsia" w:hAnsiTheme="majorEastAsia" w:eastAsiaTheme="majorEastAsia" w:cstheme="majorEastAsia"/>
          <w:b/>
          <w:bCs/>
          <w:sz w:val="36"/>
          <w:szCs w:val="44"/>
          <w:lang w:val="en-US" w:eastAsia="zh-CN"/>
        </w:rPr>
        <w:t>Xxx股份有限公司</w:t>
      </w:r>
    </w:p>
    <w:p>
      <w:pPr>
        <w:numPr>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6"/>
          <w:szCs w:val="44"/>
          <w:lang w:val="en-US" w:eastAsia="zh-CN"/>
        </w:rPr>
        <w:t>科学技术研究开发经费管理办法</w:t>
      </w:r>
    </w:p>
    <w:p>
      <w:pPr>
        <w:numPr>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第一章  总章</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第一条  为加强科学技术研究开发经费（以下简称研究开发经费）的管理，加速本公司的科学研究和新技术的推广应用，促进xxxx股份有限公司经济效益的提高，根据国家和上级的有关规定，结合xxxx股份有限公司的实际情况特制定本办法。</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第二条  研究开发经费是用于进行科学技术研究、开发、新技术的专项费用。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第三条  研究开发经费必须按计划统筹安排，节约使用，讲求经济效益。</w:t>
      </w:r>
    </w:p>
    <w:p>
      <w:pPr>
        <w:numPr>
          <w:ilvl w:val="0"/>
          <w:numId w:val="0"/>
        </w:numPr>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第二章  研究开发经费的来源</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第四条  研究开发经费的来源：</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1、国家、股份公司对重点研究开发项目的专项拨款；</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2、由xxxx股份有限公司成本列支的研究开发项目费用；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3，其它方面筹措来用于研究开发项目的费用。</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第三章  研究开发经费的使用范围</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第五条  研究开发经费的使用范围</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1、为进行科学技术研究、开发、新技术推广所发生的调研费、</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资料费、差旅费、技术协作费、材料费、测试仪器的购置费等费用。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2、为进行研究开发项目评定，进行技术咨询和学术交流等活动所发生的评审费、咨询费、会议费等费用。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3、为开展科技情报及知识产权工作所发生的技术资料费、出版印刷费、专利年费等费用。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4、用于科技进步奖励所发生的费用。</w:t>
      </w:r>
    </w:p>
    <w:p>
      <w:pPr>
        <w:numPr>
          <w:ilvl w:val="0"/>
          <w:numId w:val="0"/>
        </w:numPr>
        <w:jc w:val="center"/>
        <w:rPr>
          <w:rFonts w:hint="eastAsia" w:asciiTheme="majorEastAsia" w:hAnsiTheme="majorEastAsia" w:eastAsiaTheme="majorEastAsia" w:cstheme="majorEastAsia"/>
          <w:b/>
          <w:bCs/>
          <w:sz w:val="32"/>
          <w:szCs w:val="40"/>
          <w:lang w:val="en-US" w:eastAsia="zh-CN"/>
        </w:rPr>
      </w:pPr>
      <w:r>
        <w:rPr>
          <w:rFonts w:hint="eastAsia" w:asciiTheme="majorEastAsia" w:hAnsiTheme="majorEastAsia" w:eastAsiaTheme="majorEastAsia" w:cstheme="majorEastAsia"/>
          <w:b/>
          <w:bCs/>
          <w:sz w:val="32"/>
          <w:szCs w:val="40"/>
          <w:lang w:val="en-US" w:eastAsia="zh-CN"/>
        </w:rPr>
        <w:t>第四章  研究开发经费的管理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第六条 xxxx股份有限公司研发中心是研究开发经费的归口管理部门，具体负责研究开发项目的审定和费用指标方案的制定以及项目结果的评定工作。</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第七条  研究开发经费由xxxx股份有限公司按研究开发项目计划达到具体项目，实行专款专用，严格管理，不得挪做它用。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第八条  研究开发经费的拨付按照xxxx股份有限公司资金拨付的规定执行，各项目承担单位只有在研究开发项目委托开发合同签订后才能启用，并由项目承担单位按规定的使用范围严格控制、合理使用。</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第九条  研究开发有关内容需要与外单位(本公司以外单位)合作或委托其进行的，必须签订科研项目外委技术合作研究合同，该合同须由xxxx股份有限公司研发中心审查后才能生效拨款。</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第十条  研究开发经费在使用中有关单位分管技术工作的领导，科技部门负责人要按内控制度授权的规定执行，并按照不同的项目进行核销。对于xxxx股份有限公司安排的研究开发项目，承担单位是公司所属二级单位者，项目经费日常代报在本单位财务进行，年底或项目完成后上转xxxx股份有限公司财务处；承担单位是xxxx股份有限公司机关者，项目经费核销在本公司财务处进行。</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第十一条  研究开发经费在各二级单位报销时，须由项目负责人、单位分管技术工作的领导审核，并在核销票据上签字后方可到财务核销；研究开发经费在本公司财务报销时，须由项目负责人、单位分管技术工作的领导、研发中心负责审核，并在核销票据上签字后方可到财务核销。</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第十二条  各项目承担单位对己发生的研究开发经费要及时填入科技项目月报报xxxx股份有限公司研发中心。本公司财务处、研发中心按内控制度规定每三月核对一次经费支出明细，核对记录由财务部门、科技部门负责人共同签字认可。</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第十三条  各单位研究开发经费一律不进入本单位成本，年底或项目完成时一次上转本公司财务处核销。</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第十四条  对由项目外委技术协作费完成的有关研究内容所取得的成果，在外委技术研究合同中必须明确xxxx股份有限公司为成果第一享用人；形成的固定资产，产权归xxxx股份有限公司；形成的知识产权纳入公司、xxxx股份有限公司知识产权管理办法进行管理。</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第十五条  各项目承担单位对于因研究开发工作需要，购置2000元以上设备、仪器者，须列入单位固定资产，并经单位资产管理部门签收后方可到财务核销，项目完成后办理有关转资手续。</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第十六条  对于研究开发经费的使用情况，xxxx股份有限公司将组织适时审查，如发现经费使用不当的，要追究项目负责人的责任，并视具体情况，收回项目计划安排的投资款项；如发现违法乱纪行为，追究当事人的法纪责任。</w:t>
      </w:r>
    </w:p>
    <w:p>
      <w:pPr>
        <w:numPr>
          <w:ilvl w:val="0"/>
          <w:numId w:val="0"/>
        </w:numPr>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第五章  研究开发经费的核算科目</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第十七条  各单位必须按每个项目计算实际成本，研究开发项目的成本科目规定如下：</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1，人员员工</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从事研究开发活动人员(也称研发人员)全年工资薪金，包括基本工资、奖金、津贴、补贴、年终加薪、加班工资以及与其任职或者受雇有关的其他支出。</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2、直接投入</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企业为实施研究开发项目而购买的原材料等相关支出。如：水和燃料(包煤气和电)使用费等；用于中间试验和产品试制达不到固定资产标准的模具、样品、样机及一般测试手段购置费、试制产品的检验费等；用于研究开发活动的仪器和设备的简单维护费；以经营租赁方式租入的固定资产发生的租赁费等。</w:t>
      </w:r>
    </w:p>
    <w:p>
      <w:pPr>
        <w:numPr>
          <w:ilvl w:val="0"/>
          <w:numId w:val="1"/>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折旧费用与长期待摊费用</w:t>
      </w:r>
    </w:p>
    <w:p>
      <w:pPr>
        <w:numPr>
          <w:numId w:val="0"/>
        </w:numPr>
        <w:ind w:firstLine="56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包括为执行研究开发活动而购置的仪器和设备以及研究开发项目在用建筑物的折旧费用，包括研发实施改建、改装、装修和修理过程中发生的长期待摊费用。</w:t>
      </w:r>
    </w:p>
    <w:p>
      <w:pPr>
        <w:numPr>
          <w:ilvl w:val="0"/>
          <w:numId w:val="1"/>
        </w:numPr>
        <w:ind w:left="0" w:leftChars="0"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设计费用</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为新产品和新工艺的构思、开发和制造，进行工序、技术规范、操作特性方面的设计等发生的费用。</w:t>
      </w:r>
    </w:p>
    <w:p>
      <w:pPr>
        <w:numPr>
          <w:ilvl w:val="0"/>
          <w:numId w:val="1"/>
        </w:numPr>
        <w:ind w:left="0" w:leftChars="0"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装备调试费</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主要包括工装准备过程中研究开发活动所发生的费用(如研制生产机器、模具和工具，改变生产和质量控制程序或制定新方法及标准等)。</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6，无形资产摊销</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因研究引发活动需要购入的专有技术(包括专利、非专利发明、许可证、专有技术、设计和计算方法等)所发生的费用摊销。</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7，委托外部研究开发费用</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是指企业委托境内其他企业、大学、研究机构、转制院所、技术专业服务机构和境外机构进行研究开发活动所发生的费用(项目成果为企业拥有，且与企业的主要经营业务紧密相关)。委托外部研究开发费用的发生金额应按照独立交易原则确定。</w:t>
      </w:r>
    </w:p>
    <w:p>
      <w:pPr>
        <w:numPr>
          <w:numId w:val="0"/>
        </w:num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认定过程中，按照委托外部研究开发费用发生额的80%计入研发费用总额。</w:t>
      </w:r>
    </w:p>
    <w:p>
      <w:pPr>
        <w:ind w:firstLine="643" w:firstLineChars="200"/>
        <w:jc w:val="center"/>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bCs/>
          <w:sz w:val="32"/>
          <w:szCs w:val="40"/>
          <w:lang w:val="en-US" w:eastAsia="zh-CN"/>
        </w:rPr>
        <w:t>第六章附则</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第十八条  本办法由本公司综合管理部负责解释；</w:t>
      </w:r>
    </w:p>
    <w:p>
      <w:pPr>
        <w:ind w:firstLine="560" w:firstLineChars="200"/>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第十九条  本办法自公布之日起开始执行</w:t>
      </w:r>
      <w:bookmarkStart w:id="0" w:name="_GoBack"/>
      <w:bookmarkEnd w:id="0"/>
    </w:p>
    <w:p>
      <w:p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xxxx股份有限星</w:t>
      </w:r>
    </w:p>
    <w:p>
      <w:pPr>
        <w:ind w:firstLine="560" w:firstLineChars="200"/>
        <w:jc w:val="right"/>
        <w:rPr>
          <w:rFonts w:hint="eastAsia" w:asciiTheme="majorEastAsia" w:hAnsiTheme="majorEastAsia" w:eastAsiaTheme="majorEastAsia" w:cstheme="majorEastAsia"/>
          <w:b w:val="0"/>
          <w:bCs w:val="0"/>
          <w:sz w:val="28"/>
          <w:szCs w:val="36"/>
          <w:lang w:val="en-US" w:eastAsia="zh-CN"/>
        </w:rPr>
      </w:pPr>
      <w:r>
        <w:rPr>
          <w:rFonts w:hint="eastAsia" w:asciiTheme="majorEastAsia" w:hAnsiTheme="majorEastAsia" w:eastAsiaTheme="majorEastAsia" w:cstheme="majorEastAsia"/>
          <w:b w:val="0"/>
          <w:bCs w:val="0"/>
          <w:sz w:val="28"/>
          <w:szCs w:val="36"/>
          <w:lang w:val="en-US" w:eastAsia="zh-CN"/>
        </w:rPr>
        <w:t>20**年**月**日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476E182"/>
    <w:multiLevelType w:val="singleLevel"/>
    <w:tmpl w:val="F476E182"/>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854052"/>
    <w:rsid w:val="17854052"/>
    <w:rsid w:val="51041A20"/>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3</TotalTime>
  <ScaleCrop>false</ScaleCrop>
  <LinksUpToDate>false</LinksUpToDate>
  <CharactersWithSpaces>0</CharactersWithSpaces>
  <Application>WPS Office_10.1.0.7469_F1E327BC-269C-435d-A152-05C5408002CA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2018-09-26T08:22:00Z</dcterms:created>
  <dc:creator>自己的大魔王</dc:creator>
  <cp:lastModifiedBy>自己的大魔王</cp:lastModifiedBy>
  <dcterms:modified xsi:type="dcterms:W3CDTF">2018-09-26T09:36:27Z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