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00" w:lineRule="auto"/>
        <w:ind w:left="0" w:leftChars="0" w:right="0" w:rightChars="0" w:firstLine="0" w:firstLineChars="0"/>
        <w:jc w:val="center"/>
        <w:textAlignment w:val="auto"/>
        <w:outlineLvl w:val="9"/>
        <w:rPr>
          <w:rFonts w:ascii="Times New Roman" w:eastAsia="长城小标宋体"/>
          <w:b/>
          <w:color w:val="auto"/>
          <w:sz w:val="36"/>
          <w:szCs w:val="36"/>
        </w:rPr>
      </w:pPr>
      <w:r>
        <w:rPr>
          <w:rFonts w:ascii="Times New Roman" w:eastAsia="长城小标宋体"/>
          <w:b/>
          <w:color w:val="auto"/>
          <w:sz w:val="36"/>
          <w:szCs w:val="36"/>
        </w:rPr>
        <w:t>填  报  说  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00" w:lineRule="auto"/>
        <w:ind w:left="0" w:leftChars="0" w:right="0" w:rightChars="0" w:firstLine="723" w:firstLineChars="200"/>
        <w:jc w:val="center"/>
        <w:textAlignment w:val="auto"/>
        <w:outlineLvl w:val="9"/>
        <w:rPr>
          <w:rFonts w:ascii="Times New Roman" w:eastAsia="长城小标宋体"/>
          <w:b/>
          <w:color w:val="auto"/>
          <w:sz w:val="36"/>
          <w:szCs w:val="36"/>
        </w:rPr>
      </w:pPr>
    </w:p>
    <w:p>
      <w:pPr>
        <w:snapToGrid w:val="0"/>
        <w:spacing w:line="360" w:lineRule="auto"/>
        <w:ind w:firstLine="641"/>
        <w:rPr>
          <w:rFonts w:ascii="Times New Roman"/>
          <w:snapToGrid w:val="0"/>
          <w:color w:val="auto"/>
          <w:spacing w:val="2"/>
          <w:sz w:val="24"/>
          <w:szCs w:val="24"/>
        </w:rPr>
      </w:pPr>
      <w:r>
        <w:rPr>
          <w:rFonts w:ascii="Times New Roman"/>
          <w:snapToGrid w:val="0"/>
          <w:color w:val="auto"/>
          <w:spacing w:val="2"/>
          <w:sz w:val="24"/>
          <w:szCs w:val="24"/>
        </w:rPr>
        <w:t>企业应参照《高新技术企业认定管理办法》、《国家重点支持的高新技术领域》（国科发火</w:t>
      </w:r>
      <w:r>
        <w:rPr>
          <w:rFonts w:hint="eastAsia" w:ascii="Times New Roman" w:hAnsi="Times New Roman" w:eastAsia="仿宋_GB2312" w:cs="Times New Roman"/>
          <w:spacing w:val="0"/>
          <w:sz w:val="24"/>
        </w:rPr>
        <w:t>〔20</w:t>
      </w:r>
      <w:r>
        <w:rPr>
          <w:rFonts w:hint="eastAsia" w:cs="Times New Roman"/>
          <w:spacing w:val="0"/>
          <w:sz w:val="24"/>
          <w:lang w:val="en-US" w:eastAsia="zh-CN"/>
        </w:rPr>
        <w:t>16</w:t>
      </w:r>
      <w:r>
        <w:rPr>
          <w:rFonts w:hint="eastAsia" w:ascii="Times New Roman" w:hAnsi="Times New Roman" w:eastAsia="仿宋_GB2312" w:cs="Times New Roman"/>
          <w:spacing w:val="0"/>
          <w:sz w:val="24"/>
        </w:rPr>
        <w:t>〕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3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2号）和《高新技术企业认定管理工作指引》（国科发火</w:t>
      </w:r>
      <w:r>
        <w:rPr>
          <w:rFonts w:hint="eastAsia" w:ascii="Times New Roman" w:hAnsi="Times New Roman" w:eastAsia="仿宋_GB2312" w:cs="Times New Roman"/>
          <w:spacing w:val="0"/>
          <w:sz w:val="24"/>
        </w:rPr>
        <w:t>〔20</w:t>
      </w:r>
      <w:r>
        <w:rPr>
          <w:rFonts w:hint="eastAsia" w:cs="Times New Roman"/>
          <w:spacing w:val="0"/>
          <w:sz w:val="24"/>
          <w:lang w:val="en-US" w:eastAsia="zh-CN"/>
        </w:rPr>
        <w:t>16</w:t>
      </w:r>
      <w:r>
        <w:rPr>
          <w:rFonts w:hint="eastAsia" w:ascii="Times New Roman" w:hAnsi="Times New Roman" w:eastAsia="仿宋_GB2312" w:cs="Times New Roman"/>
          <w:spacing w:val="0"/>
          <w:sz w:val="24"/>
        </w:rPr>
        <w:t>〕</w:t>
      </w:r>
      <w:r>
        <w:rPr>
          <w:rFonts w:hint="eastAsia" w:cs="Times New Roman"/>
          <w:spacing w:val="0"/>
          <w:sz w:val="24"/>
          <w:lang w:val="en-US" w:eastAsia="zh-CN"/>
        </w:rPr>
        <w:t>195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号）的要求填报。</w:t>
      </w:r>
    </w:p>
    <w:p>
      <w:pPr>
        <w:snapToGrid w:val="0"/>
        <w:spacing w:line="360" w:lineRule="auto"/>
        <w:ind w:firstLine="641"/>
        <w:rPr>
          <w:rFonts w:ascii="Times New Roman"/>
          <w:snapToGrid w:val="0"/>
          <w:color w:val="auto"/>
          <w:spacing w:val="2"/>
          <w:sz w:val="24"/>
          <w:szCs w:val="24"/>
        </w:rPr>
      </w:pPr>
      <w:r>
        <w:rPr>
          <w:rFonts w:ascii="Times New Roman"/>
          <w:snapToGrid w:val="0"/>
          <w:color w:val="auto"/>
          <w:spacing w:val="2"/>
          <w:sz w:val="24"/>
          <w:szCs w:val="24"/>
        </w:rPr>
        <w:t>本表内的所有财务数据须出自专项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报告、财务会计报告或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纳税申报表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。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</w:rPr>
      </w:pPr>
      <w:r>
        <w:rPr>
          <w:rFonts w:ascii="Times New Roman"/>
          <w:snapToGrid w:val="0"/>
          <w:color w:val="auto"/>
          <w:spacing w:val="2"/>
          <w:sz w:val="24"/>
          <w:szCs w:val="24"/>
        </w:rPr>
        <w:t>1.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企业应如实填报所附各表。要求文字简洁，数据准确、详实。</w:t>
      </w:r>
    </w:p>
    <w:p>
      <w:pPr>
        <w:snapToGrid w:val="0"/>
        <w:spacing w:line="360" w:lineRule="auto"/>
        <w:ind w:firstLine="641"/>
        <w:rPr>
          <w:rFonts w:ascii="Times New Roman"/>
          <w:snapToGrid w:val="0"/>
          <w:color w:val="auto"/>
          <w:spacing w:val="2"/>
          <w:sz w:val="24"/>
          <w:szCs w:val="24"/>
        </w:rPr>
      </w:pPr>
      <w:r>
        <w:rPr>
          <w:rFonts w:ascii="Times New Roman"/>
          <w:snapToGrid w:val="0"/>
          <w:color w:val="auto"/>
          <w:spacing w:val="2"/>
          <w:sz w:val="24"/>
          <w:szCs w:val="24"/>
        </w:rPr>
        <w:t>2.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各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栏目不得空缺，无内容填写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“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>0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”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；数据有小数时，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保留小数点后2位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。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3.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对企业知识产权情况采用分类评价方式，其中：发明专利（含国防专利）、植物新品种、国家级农作物品种、国家新药、国家一级中药保护品种、集成电路布图设计专有权等按Ⅰ类评价；实用新型专利、外观设计专利、软件著作权等（不含商标）按Ⅱ类评价。</w:t>
      </w:r>
    </w:p>
    <w:p>
      <w:pPr>
        <w:snapToGrid w:val="0"/>
        <w:spacing w:line="360" w:lineRule="auto"/>
        <w:ind w:firstLine="641"/>
        <w:rPr>
          <w:rFonts w:hint="eastAsia" w:ascii="Times New Roman" w:eastAsia="仿宋_GB2312"/>
          <w:snapToGrid w:val="0"/>
          <w:color w:val="auto"/>
          <w:spacing w:val="2"/>
          <w:sz w:val="24"/>
          <w:szCs w:val="24"/>
          <w:lang w:val="en-US" w:eastAsia="zh-CN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4.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“基础研究投入费用总额”是指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>：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企业研究开发费用总额中，为获得科学与技术（不包括社会科学、艺术或人文学）新知识等基础研究活动支出的费用总额。</w:t>
      </w:r>
    </w:p>
    <w:p>
      <w:pPr>
        <w:snapToGrid w:val="0"/>
        <w:spacing w:line="360" w:lineRule="auto"/>
        <w:ind w:firstLine="641"/>
        <w:rPr>
          <w:rFonts w:ascii="Times New Roman"/>
          <w:snapToGrid w:val="0"/>
          <w:color w:val="auto"/>
          <w:spacing w:val="2"/>
          <w:sz w:val="24"/>
          <w:szCs w:val="30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5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 xml:space="preserve">销售收入 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=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 xml:space="preserve"> 主营业务收入 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+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 xml:space="preserve"> 其他业务收入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 xml:space="preserve"> 企业总收入 = 收入总额 - 不征税收入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 xml:space="preserve"> 净资产 = 资产总额 - 负债总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额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6.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“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近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三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年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”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、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“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近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一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年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”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和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>“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申请认定前一年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内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>”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：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详见《工作指引》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三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（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一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）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“年限”中的说明，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“近三年”即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“年限”中的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“近三个会计年度”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。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7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“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研发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活动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>”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：详见《工作指引》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三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（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六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）1中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“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研究开发活动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确定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”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。</w:t>
      </w:r>
    </w:p>
    <w:p>
      <w:pPr>
        <w:snapToGrid w:val="0"/>
        <w:spacing w:line="360" w:lineRule="auto"/>
        <w:ind w:firstLine="641"/>
        <w:rPr>
          <w:rFonts w:hint="eastAsia" w:ascii="Times New Roman"/>
          <w:snapToGrid w:val="0"/>
          <w:color w:val="auto"/>
          <w:spacing w:val="2"/>
          <w:sz w:val="24"/>
          <w:szCs w:val="24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8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.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 xml:space="preserve"> “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高新技术产品（服务）收入</w:t>
      </w:r>
      <w:r>
        <w:rPr>
          <w:rFonts w:hint="eastAsia"/>
          <w:snapToGrid w:val="0"/>
          <w:color w:val="auto"/>
          <w:spacing w:val="2"/>
          <w:sz w:val="24"/>
          <w:szCs w:val="24"/>
          <w:lang w:val="en-US" w:eastAsia="zh-CN"/>
        </w:rPr>
        <w:t>”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：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详见《工作指引》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三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（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四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）1中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“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高新技术产品（服务）收入</w:t>
      </w:r>
      <w:r>
        <w:rPr>
          <w:rFonts w:hint="eastAsia"/>
          <w:snapToGrid w:val="0"/>
          <w:color w:val="auto"/>
          <w:spacing w:val="2"/>
          <w:sz w:val="24"/>
          <w:szCs w:val="24"/>
          <w:lang w:eastAsia="zh-CN"/>
        </w:rPr>
        <w:t>”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的定义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。</w:t>
      </w:r>
    </w:p>
    <w:p>
      <w:pPr>
        <w:snapToGrid w:val="0"/>
        <w:spacing w:line="360" w:lineRule="auto"/>
        <w:ind w:firstLine="641"/>
        <w:rPr>
          <w:rFonts w:ascii="Times New Roman"/>
          <w:snapToGrid w:val="0"/>
          <w:color w:val="auto"/>
          <w:spacing w:val="2"/>
          <w:sz w:val="24"/>
          <w:szCs w:val="24"/>
        </w:rPr>
      </w:pP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9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 xml:space="preserve">. 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IP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代表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知识产权编号；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RD代表研究开发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</w:rPr>
        <w:t>活动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编号；PS代表高新技术产品（服务）编号。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val="en-US" w:eastAsia="zh-CN"/>
        </w:rPr>
        <w:t>IP、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RD</w:t>
      </w:r>
      <w:r>
        <w:rPr>
          <w:rFonts w:hint="eastAsia" w:ascii="Times New Roman"/>
          <w:snapToGrid w:val="0"/>
          <w:color w:val="auto"/>
          <w:spacing w:val="2"/>
          <w:sz w:val="24"/>
          <w:szCs w:val="24"/>
          <w:lang w:eastAsia="zh-CN"/>
        </w:rPr>
        <w:t>、</w:t>
      </w:r>
      <w:r>
        <w:rPr>
          <w:rFonts w:ascii="Times New Roman"/>
          <w:snapToGrid w:val="0"/>
          <w:color w:val="auto"/>
          <w:spacing w:val="2"/>
          <w:sz w:val="24"/>
          <w:szCs w:val="24"/>
        </w:rPr>
        <w:t>PS后取两位数（01、02、……）。</w:t>
      </w:r>
    </w:p>
    <w:p>
      <w:pPr>
        <w:ind w:left="0" w:leftChars="0" w:firstLine="0" w:firstLine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B24CA"/>
    <w:rsid w:val="5A3B24C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theme="minorBidi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2018-09-19T03:14:00Z</dcterms:created>
  <dc:creator>自己的大魔王</dc:creator>
  <cp:lastModifiedBy>自己的大魔王</cp:lastModifiedBy>
  <dcterms:modified xsi:type="dcterms:W3CDTF">2018-09-19T03:15:08Z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