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a transparência financeira — tanto na gestão de pagamentos de clientes quanto nos processos internos — a empresa deve adotar uma combinação de automação tecnológica, políticas rígidas de compliance e cultura de prestação de contas.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estão os pilares práticos e acionáveis para implementar essa transparência: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Transparência com os Clientes </w:t>
      </w:r>
      <w:r w:rsidDel="00000000" w:rsidR="00000000" w:rsidRPr="00000000">
        <w:rPr>
          <w:sz w:val="24"/>
          <w:szCs w:val="24"/>
          <w:rtl w:val="0"/>
        </w:rPr>
        <w:t xml:space="preserve">(Processamento de Pagamentos): A confiança do cliente exige clareza e segurança absolutas no processamento financeiro.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Integração e Conciliação Automática: Utilização de softwares de gestão financeira que conectem o seu sistema de vendas diretamente às instituições bancárias. Isso elimina erros manuais de digitação e garante que o status do pagamento (pendente, pago ou estornado) seja refletido em tempo real.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Ambientes de Checkout Seguros: Se você lida com dados de cartões ou processamento direto, utilize plataformas que possuam forte segurança de dados e certificação de conformidade.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Histórico e Extratos Acessíveis: Forneça aos clientes uma área logada ou um portal onde eles possam consultar o histórico de cobranças, baixar notas fiscais e visualizar recibos de forma autônoma.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Transparência Interna</w:t>
      </w:r>
      <w:r w:rsidDel="00000000" w:rsidR="00000000" w:rsidRPr="00000000">
        <w:rPr>
          <w:sz w:val="24"/>
          <w:szCs w:val="24"/>
          <w:rtl w:val="0"/>
        </w:rPr>
        <w:t xml:space="preserve"> (Governança e Compliance): Evitar fraudes, erros e conflitos de interesse exige rastreabilidade e políticas claras para toda a organização.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Segregação de Funções: Garanta que a pessoa que aprova um pagamento não seja a mesma que realiza a transferência ou concilia o extrato. Isso cria uma cadeia de checagem natural.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Fluxos de Aprovação em Vários Níveis: Utilize plataformas de gestão de despesas e pagamentos corporativos que exijam níveis de alçada (ex: gerentes aprovam até um valor X; diretores aprovam valores maiores).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Controles Orçamentários e Auditorias: Estabeleça centros de custos para diferentes departamentos e realize auditorias internas ou revisões independentes de tempos em tempos.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Ferramentas de Gestão Corporativa: Centralize os dados operacionais em plataformas integradas, o que facilita o rastreamento de cada centavo que entra ou sai da operação.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Cultura de Transparência para Colaboradores: </w:t>
      </w:r>
      <w:r w:rsidDel="00000000" w:rsidR="00000000" w:rsidRPr="00000000">
        <w:rPr>
          <w:sz w:val="24"/>
          <w:szCs w:val="24"/>
          <w:rtl w:val="0"/>
        </w:rPr>
        <w:t xml:space="preserve">A transparência interna não significa abrir o lucro líquido exato para toda a operação, mas sim alinhar os resultados e os processos da empresa com o time.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Políticas de Gastos Claras: Tenha um Guia ou Política de Reembolso que determine exatamente quais despesas corporativas são permitidas, limites de gastos e como prestar contas com recibos.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Comunicação de Metas: Compartilhe indicadores de desempenho financeiro relevantes (como crescimento de receita, margem de contribuição ou atingimento de metas) com os colaboradores. Quando a equipe entende a saúde da empresa, o engajamento e a responsabilidade aumentam.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obter uma visão prática de como essas tecnologias funcionam em conjunto (unindo conta jurídica, cartões corporativos e relatórios automatizados), você pode explorar as soluções de mercado disponibilizadas em plataformas especializadas, como as ferramentas oferecidas pela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Conta Simples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plifica.contasimples.com/a-importancia-da-transparencia-financeira-na-gestao-do-seu-negoc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