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4A795">
      <w:pPr>
        <w:spacing w:before="1200"/>
        <w:jc w:val="center"/>
      </w:pPr>
      <w:r>
        <w:rPr>
          <w:rFonts w:ascii="黑体" w:hAnsi="黑体" w:eastAsia="黑体"/>
          <w:b/>
          <w:sz w:val="40"/>
        </w:rPr>
        <w:t>中国人民公安大学</w:t>
      </w:r>
    </w:p>
    <w:p w14:paraId="35022FB5">
      <w:pPr>
        <w:spacing w:before="520"/>
        <w:jc w:val="center"/>
      </w:pPr>
      <w:r>
        <w:rPr>
          <w:rFonts w:ascii="黑体" w:hAnsi="黑体" w:eastAsia="黑体"/>
          <w:b/>
          <w:sz w:val="32"/>
        </w:rPr>
        <w:t>信息安全体系课程综合大作业·系统使用说明</w:t>
      </w:r>
    </w:p>
    <w:p w14:paraId="62851AE3">
      <w:pPr>
        <w:spacing w:before="760"/>
        <w:jc w:val="center"/>
      </w:pPr>
      <w:r>
        <w:rPr>
          <w:rFonts w:ascii="黑体" w:hAnsi="黑体" w:eastAsia="黑体"/>
          <w:b/>
          <w:color w:val="1F4E79"/>
          <w:sz w:val="48"/>
        </w:rPr>
        <w:t>多域融合深度伪造辅助研判系统</w:t>
      </w:r>
    </w:p>
    <w:p w14:paraId="70D324CE">
      <w:pPr>
        <w:jc w:val="center"/>
      </w:pPr>
      <w:r>
        <w:rPr>
          <w:rFonts w:ascii="宋体" w:hAnsi="宋体" w:eastAsia="宋体"/>
          <w:color w:val="5A5A5A"/>
          <w:sz w:val="26"/>
        </w:rPr>
        <w:t>安装版、便携版与源码版使用指南</w:t>
      </w:r>
    </w:p>
    <w:p w14:paraId="44434367">
      <w:pPr>
        <w:spacing w:before="2200"/>
      </w:pPr>
    </w:p>
    <w:p w14:paraId="4D1B1D54">
      <w:pPr>
        <w:jc w:val="center"/>
      </w:pPr>
      <w:r>
        <w:rPr>
          <w:rFonts w:ascii="宋体" w:hAnsi="宋体" w:eastAsia="宋体"/>
          <w:sz w:val="24"/>
        </w:rPr>
        <w:t>专业： 网络安全与执法</w:t>
      </w:r>
    </w:p>
    <w:p w14:paraId="685203AA">
      <w:pPr>
        <w:jc w:val="center"/>
      </w:pPr>
      <w:r>
        <w:rPr>
          <w:rFonts w:ascii="宋体" w:hAnsi="宋体" w:eastAsia="宋体"/>
          <w:sz w:val="24"/>
        </w:rPr>
        <w:t>姓名： ___</w:t>
      </w:r>
      <w:r>
        <w:rPr>
          <w:rFonts w:hint="eastAsia"/>
          <w:sz w:val="24"/>
          <w:lang w:val="en-US" w:eastAsia="zh-CN"/>
        </w:rPr>
        <w:t>兰建渝</w:t>
      </w:r>
      <w:r>
        <w:rPr>
          <w:rFonts w:ascii="宋体" w:hAnsi="宋体" w:eastAsia="宋体"/>
          <w:sz w:val="24"/>
        </w:rPr>
        <w:t>_____</w:t>
      </w:r>
    </w:p>
    <w:p w14:paraId="7CF9AA5C">
      <w:pPr>
        <w:jc w:val="center"/>
      </w:pPr>
      <w:r>
        <w:rPr>
          <w:rFonts w:ascii="宋体" w:hAnsi="宋体" w:eastAsia="宋体"/>
          <w:sz w:val="24"/>
        </w:rPr>
        <w:t>学号： ____</w:t>
      </w:r>
      <w:r>
        <w:rPr>
          <w:rFonts w:hint="eastAsia"/>
          <w:sz w:val="24"/>
          <w:lang w:val="en-US" w:eastAsia="zh-CN"/>
        </w:rPr>
        <w:t>202421220043</w:t>
      </w:r>
      <w:r>
        <w:rPr>
          <w:rFonts w:ascii="宋体" w:hAnsi="宋体" w:eastAsia="宋体"/>
          <w:sz w:val="24"/>
        </w:rPr>
        <w:t>____</w:t>
      </w:r>
    </w:p>
    <w:p w14:paraId="407150C0">
      <w:pPr>
        <w:jc w:val="center"/>
      </w:pPr>
      <w:r>
        <w:rPr>
          <w:rFonts w:ascii="宋体" w:hAnsi="宋体" w:eastAsia="宋体"/>
          <w:sz w:val="24"/>
        </w:rPr>
        <w:t>指导教师： _____</w:t>
      </w:r>
      <w:r>
        <w:rPr>
          <w:rFonts w:hint="eastAsia"/>
          <w:sz w:val="24"/>
          <w:lang w:val="en-US" w:eastAsia="zh-CN"/>
        </w:rPr>
        <w:t>袁得嵛</w:t>
      </w:r>
      <w:bookmarkStart w:id="0" w:name="_GoBack"/>
      <w:bookmarkEnd w:id="0"/>
      <w:r>
        <w:rPr>
          <w:rFonts w:ascii="宋体" w:hAnsi="宋体" w:eastAsia="宋体"/>
          <w:sz w:val="24"/>
        </w:rPr>
        <w:t>___</w:t>
      </w:r>
    </w:p>
    <w:p w14:paraId="0840678F">
      <w:pPr>
        <w:jc w:val="center"/>
      </w:pPr>
      <w:r>
        <w:rPr>
          <w:rFonts w:ascii="宋体" w:hAnsi="宋体" w:eastAsia="宋体"/>
          <w:sz w:val="24"/>
        </w:rPr>
        <w:t>版本： 1.1（Windows 自包含交付适配）</w:t>
      </w:r>
    </w:p>
    <w:p w14:paraId="78D2EA01">
      <w:pPr>
        <w:jc w:val="center"/>
      </w:pPr>
      <w:r>
        <w:rPr>
          <w:rFonts w:ascii="宋体" w:hAnsi="宋体" w:eastAsia="宋体"/>
          <w:sz w:val="24"/>
        </w:rPr>
        <w:t>日期： 2026 年 7 月</w:t>
      </w:r>
    </w:p>
    <w:p w14:paraId="21C4EFED">
      <w:r>
        <w:br w:type="page"/>
      </w:r>
    </w:p>
    <w:p w14:paraId="635B38EC">
      <w:pPr>
        <w:pStyle w:val="3"/>
        <w:jc w:val="center"/>
      </w:pPr>
      <w:r>
        <w:t>目录</w:t>
      </w:r>
    </w:p>
    <w:p w14:paraId="595A64D7">
      <w:pPr>
        <w:spacing w:after="80"/>
        <w:ind w:left="567"/>
      </w:pPr>
      <w:r>
        <w:rPr>
          <w:rFonts w:ascii="宋体" w:hAnsi="宋体" w:eastAsia="宋体"/>
          <w:sz w:val="22"/>
        </w:rPr>
        <w:t>1 系统简介与使用边界</w:t>
      </w:r>
    </w:p>
    <w:p w14:paraId="298A4890">
      <w:pPr>
        <w:spacing w:after="80"/>
        <w:ind w:left="567"/>
      </w:pPr>
      <w:r>
        <w:rPr>
          <w:rFonts w:ascii="宋体" w:hAnsi="宋体" w:eastAsia="宋体"/>
          <w:sz w:val="22"/>
        </w:rPr>
        <w:t>2 交付版本与运行要求</w:t>
      </w:r>
    </w:p>
    <w:p w14:paraId="0D4554AF">
      <w:pPr>
        <w:spacing w:after="80"/>
        <w:ind w:left="567"/>
      </w:pPr>
      <w:r>
        <w:rPr>
          <w:rFonts w:ascii="宋体" w:hAnsi="宋体" w:eastAsia="宋体"/>
          <w:sz w:val="22"/>
        </w:rPr>
        <w:t>3 安装版：安装与首次启动</w:t>
      </w:r>
    </w:p>
    <w:p w14:paraId="6E57C21E">
      <w:pPr>
        <w:spacing w:after="80"/>
        <w:ind w:left="567"/>
      </w:pPr>
      <w:r>
        <w:rPr>
          <w:rFonts w:ascii="宋体" w:hAnsi="宋体" w:eastAsia="宋体"/>
          <w:sz w:val="22"/>
        </w:rPr>
        <w:t>4 启动、停止与卸载</w:t>
      </w:r>
    </w:p>
    <w:p w14:paraId="5217C3F5">
      <w:pPr>
        <w:spacing w:after="80"/>
        <w:ind w:left="567"/>
      </w:pPr>
      <w:r>
        <w:rPr>
          <w:rFonts w:ascii="宋体" w:hAnsi="宋体" w:eastAsia="宋体"/>
          <w:sz w:val="22"/>
        </w:rPr>
        <w:t>5 上传媒体与界面操作</w:t>
      </w:r>
    </w:p>
    <w:p w14:paraId="435CEF9D">
      <w:pPr>
        <w:spacing w:after="80"/>
        <w:ind w:left="567"/>
      </w:pPr>
      <w:r>
        <w:rPr>
          <w:rFonts w:ascii="宋体" w:hAnsi="宋体" w:eastAsia="宋体"/>
          <w:sz w:val="22"/>
        </w:rPr>
        <w:t>6 检测结果与三分支评分</w:t>
      </w:r>
    </w:p>
    <w:p w14:paraId="4A16267B">
      <w:pPr>
        <w:spacing w:after="80"/>
        <w:ind w:left="567"/>
      </w:pPr>
      <w:r>
        <w:rPr>
          <w:rFonts w:ascii="宋体" w:hAnsi="宋体" w:eastAsia="宋体"/>
          <w:sz w:val="22"/>
        </w:rPr>
        <w:t>7 关键帧、逐帧分析与报告下载</w:t>
      </w:r>
    </w:p>
    <w:p w14:paraId="4705D113">
      <w:pPr>
        <w:spacing w:after="80"/>
        <w:ind w:left="567"/>
      </w:pPr>
      <w:r>
        <w:rPr>
          <w:rFonts w:ascii="宋体" w:hAnsi="宋体" w:eastAsia="宋体"/>
          <w:sz w:val="22"/>
        </w:rPr>
        <w:t>8 结果保存位置与归档要求</w:t>
      </w:r>
    </w:p>
    <w:p w14:paraId="7DC41B11">
      <w:pPr>
        <w:spacing w:after="80"/>
        <w:ind w:left="567"/>
      </w:pPr>
      <w:r>
        <w:rPr>
          <w:rFonts w:ascii="宋体" w:hAnsi="宋体" w:eastAsia="宋体"/>
          <w:sz w:val="22"/>
        </w:rPr>
        <w:t>9 常见问题处理</w:t>
      </w:r>
    </w:p>
    <w:p w14:paraId="411A8C4C">
      <w:pPr>
        <w:spacing w:after="80"/>
        <w:ind w:left="567"/>
      </w:pPr>
      <w:r>
        <w:rPr>
          <w:rFonts w:ascii="宋体" w:hAnsi="宋体" w:eastAsia="宋体"/>
          <w:sz w:val="22"/>
        </w:rPr>
        <w:t>10 复核、归档与免责声明</w:t>
      </w:r>
    </w:p>
    <w:p w14:paraId="0A491DBD">
      <w:pPr>
        <w:spacing w:after="80"/>
        <w:ind w:left="567"/>
      </w:pPr>
      <w:r>
        <w:rPr>
          <w:rFonts w:ascii="宋体" w:hAnsi="宋体" w:eastAsia="宋体"/>
          <w:sz w:val="22"/>
        </w:rPr>
        <w:t>附录A 便携目录版</w:t>
      </w:r>
    </w:p>
    <w:p w14:paraId="2ACF5974">
      <w:pPr>
        <w:spacing w:after="80"/>
        <w:ind w:left="567"/>
      </w:pPr>
      <w:r>
        <w:rPr>
          <w:rFonts w:ascii="宋体" w:hAnsi="宋体" w:eastAsia="宋体"/>
          <w:sz w:val="22"/>
        </w:rPr>
        <w:t>附录B 源码开发版与CUDA环境</w:t>
      </w:r>
    </w:p>
    <w:p w14:paraId="3530C30E">
      <w:r>
        <w:br w:type="page"/>
      </w:r>
    </w:p>
    <w:p w14:paraId="3656310C">
      <w:pPr>
        <w:pStyle w:val="3"/>
      </w:pPr>
      <w:r>
        <w:t>1 系统简介与使用边界</w:t>
      </w:r>
    </w:p>
    <w:p w14:paraId="2D655FA2">
      <w:pPr>
        <w:spacing w:after="80" w:line="360" w:lineRule="auto"/>
        <w:ind w:firstLine="420"/>
      </w:pPr>
      <w:r>
        <w:t>本系统用于对包含人脸的图片或视频画面进行深度伪造风险筛查，并向人工复核人员提供空间域评分、频率域评分、融合评分、关键帧和逐帧记录。系统不分析音轨，不确认上传者身份、制作动机或传播链。界面中的 REAL、FAKE 和风险分数均为模型辅助结果，不构成司法鉴定结论；重要材料仍需结合原始文件、元数据、来源核查和专业人员复核。</w:t>
      </w:r>
    </w:p>
    <w:p w14:paraId="1962521D">
      <w:pPr>
        <w:spacing w:after="80" w:line="360" w:lineRule="auto"/>
        <w:ind w:firstLine="420"/>
      </w:pPr>
      <w:r>
        <w:t>系统面向课程实验和辅助研判原型展示，支持图片与视频两类输入。无人脸、有效帧不足、媒体损坏或模型文件缺失时，系统会返回证据不足、低置信度或错误状态，不会用默认值强行输出真假结论。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34CBDB69">
        <w:trPr>
          <w:jc w:val="center"/>
        </w:trPr>
        <w:tc>
          <w:tcPr>
            <w:tcW w:w="8787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5C7DBF5">
            <w:pPr>
              <w:spacing w:line="336" w:lineRule="auto"/>
            </w:pPr>
            <w:r>
              <w:rPr>
                <w:rFonts w:ascii="黑体" w:hAnsi="黑体" w:eastAsia="黑体"/>
                <w:b/>
                <w:sz w:val="21"/>
              </w:rPr>
              <w:t>重要边界：</w:t>
            </w:r>
            <w:r>
              <w:rPr>
                <w:rFonts w:ascii="宋体" w:hAnsi="宋体" w:eastAsia="宋体"/>
                <w:sz w:val="21"/>
              </w:rPr>
              <w:t>风险评分是模型对当前样本的伪造风险估计，不是系统在所有场景下的总体准确率，也不能单独作为案件定性或司法鉴定依据。</w:t>
            </w:r>
          </w:p>
        </w:tc>
      </w:tr>
    </w:tbl>
    <w:p w14:paraId="5B7F0615">
      <w:pPr>
        <w:spacing w:after="0"/>
      </w:pPr>
    </w:p>
    <w:p w14:paraId="52DF8859">
      <w:pPr>
        <w:pStyle w:val="4"/>
      </w:pPr>
      <w:r>
        <w:t>1.1 推荐演示流程</w:t>
      </w:r>
    </w:p>
    <w:p w14:paraId="6181507C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1. 先使用安装包或便携版启动系统，确认网页首页正常打开。</w:t>
      </w:r>
    </w:p>
    <w:p w14:paraId="082961A5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2. 依次上传 samples/demo 中的真实视频、伪造视频和无人脸图片，展示 REAL、FAKE 与 INSUFFICIENT_EVIDENCE。</w:t>
      </w:r>
    </w:p>
    <w:p w14:paraId="6EB6EA6C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3. 展开空间域、频率域与融合评分，查看关键帧、逐帧趋势和运行设备。</w:t>
      </w:r>
    </w:p>
    <w:p w14:paraId="21833362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4. 下载 HTML、JSON 与 CSV 报告，说明自动化结果仍需人工复核。</w:t>
      </w:r>
    </w:p>
    <w:p w14:paraId="446F64BF">
      <w:pPr>
        <w:pStyle w:val="3"/>
      </w:pPr>
      <w:r>
        <w:t>2 交付版本与运行要求</w:t>
      </w:r>
    </w:p>
    <w:p w14:paraId="235B3EA3">
      <w:pPr>
        <w:spacing w:after="80" w:line="360" w:lineRule="auto"/>
        <w:ind w:firstLine="420"/>
      </w:pPr>
      <w:r>
        <w:t>本项目同时保留安装版、便携目录版和源码开发版。普通用户优先使用安装版；需要免安装携带时使用完整便携目录；需要复现实验、修改代码或使用CUDA时使用源码开发版。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0A2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31946BA7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92C3E2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启动方式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103F5002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环境要求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F54ABC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适用场景</w:t>
            </w:r>
          </w:p>
        </w:tc>
      </w:tr>
      <w:tr w14:paraId="7CD6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E4E1B5B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通用安装版</w:t>
            </w:r>
          </w:p>
        </w:tc>
        <w:tc>
          <w:tcPr>
            <w:tcW w:w="2351" w:type="dxa"/>
            <w:vAlign w:val="center"/>
          </w:tcPr>
          <w:p w14:paraId="5302397D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运行“深度伪造识别系统_通用版_Setup.exe”后，通过桌面快捷方式启动</w:t>
            </w:r>
          </w:p>
        </w:tc>
        <w:tc>
          <w:tcPr>
            <w:tcW w:w="2351" w:type="dxa"/>
            <w:vAlign w:val="center"/>
          </w:tcPr>
          <w:p w14:paraId="729A452A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无需安装Python、PyTorch、CUDA或虚拟环境；采用CPU版运行环境</w:t>
            </w:r>
          </w:p>
        </w:tc>
        <w:tc>
          <w:tcPr>
            <w:tcW w:w="2351" w:type="dxa"/>
            <w:vAlign w:val="center"/>
          </w:tcPr>
          <w:p w14:paraId="49139826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普通用户、课程演示</w:t>
            </w:r>
          </w:p>
        </w:tc>
      </w:tr>
      <w:tr w14:paraId="47899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246C8F1F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便携目录版</w:t>
            </w:r>
          </w:p>
        </w:tc>
        <w:tc>
          <w:tcPr>
            <w:tcW w:w="2351" w:type="dxa"/>
            <w:vAlign w:val="center"/>
          </w:tcPr>
          <w:p w14:paraId="03D586C6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完整解压程序目录后运行根目录启动脚本或目录内主程序</w:t>
            </w:r>
          </w:p>
        </w:tc>
        <w:tc>
          <w:tcPr>
            <w:tcW w:w="2351" w:type="dxa"/>
            <w:vAlign w:val="center"/>
          </w:tcPr>
          <w:p w14:paraId="6BE2DB76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必须保留整个目录，不能单独移动主EXE</w:t>
            </w:r>
          </w:p>
        </w:tc>
        <w:tc>
          <w:tcPr>
            <w:tcW w:w="2351" w:type="dxa"/>
            <w:vAlign w:val="center"/>
          </w:tcPr>
          <w:p w14:paraId="672A7D49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免安装携带、受控环境演示</w:t>
            </w:r>
          </w:p>
        </w:tc>
      </w:tr>
      <w:tr w14:paraId="5102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15975210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源码开发版</w:t>
            </w:r>
          </w:p>
        </w:tc>
        <w:tc>
          <w:tcPr>
            <w:tcW w:w="2351" w:type="dxa"/>
            <w:vAlign w:val="center"/>
          </w:tcPr>
          <w:p w14:paraId="1C43FBB1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在项目虚拟环境中运行Streamlit或命令行脚本</w:t>
            </w:r>
          </w:p>
        </w:tc>
        <w:tc>
          <w:tcPr>
            <w:tcW w:w="2351" w:type="dxa"/>
            <w:vAlign w:val="center"/>
          </w:tcPr>
          <w:p w14:paraId="7F084417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需要配置Python依赖；可使用CPU或NVIDIA CUDA</w:t>
            </w:r>
          </w:p>
        </w:tc>
        <w:tc>
          <w:tcPr>
            <w:tcW w:w="2351" w:type="dxa"/>
            <w:vAlign w:val="center"/>
          </w:tcPr>
          <w:p w14:paraId="4DD61FA7">
            <w:pPr>
              <w:spacing w:after="0" w:line="288" w:lineRule="auto"/>
            </w:pPr>
            <w:r>
              <w:rPr>
                <w:rFonts w:ascii="宋体" w:hAnsi="宋体" w:eastAsia="宋体"/>
                <w:sz w:val="18"/>
              </w:rPr>
              <w:t>代码审查、实验复现、继续开发</w:t>
            </w:r>
          </w:p>
        </w:tc>
      </w:tr>
    </w:tbl>
    <w:p w14:paraId="4097BC53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1E323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tcBorders>
              <w:top w:val="single" w:color="C65911" w:sz="8" w:space="0"/>
              <w:left w:val="single" w:color="C65911" w:sz="8" w:space="0"/>
              <w:bottom w:val="single" w:color="C65911" w:sz="8" w:space="0"/>
              <w:right w:val="single" w:color="C65911" w:sz="8" w:space="0"/>
            </w:tcBorders>
            <w:shd w:val="clear" w:color="auto" w:fill="FCE4D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7B34CC5">
            <w:pPr>
              <w:spacing w:line="336" w:lineRule="auto"/>
            </w:pPr>
            <w:r>
              <w:rPr>
                <w:rFonts w:ascii="黑体" w:hAnsi="黑体" w:eastAsia="黑体"/>
                <w:b/>
                <w:sz w:val="21"/>
              </w:rPr>
              <w:t>严禁单独复制EXE：</w:t>
            </w:r>
            <w:r>
              <w:rPr>
                <w:rFonts w:ascii="宋体" w:hAnsi="宋体" w:eastAsia="宋体"/>
                <w:sz w:val="21"/>
              </w:rPr>
              <w:t>PyInstaller目录版的主程序依赖同目录中的 python312.dll、_internal、模型、配置和其他动态库。若只把“深度伪造识别系统.exe”复制到桌面，可能出现 Python DLL 缺失。安装版应使用安装程序创建的桌面快捷方式；便携版必须完整保留整个目录。</w:t>
            </w:r>
          </w:p>
        </w:tc>
      </w:tr>
    </w:tbl>
    <w:p w14:paraId="20D4DE2E">
      <w:pPr>
        <w:spacing w:after="0"/>
      </w:pPr>
    </w:p>
    <w:p w14:paraId="5FD14C01">
      <w:pPr>
        <w:pStyle w:val="4"/>
      </w:pPr>
      <w:r>
        <w:t>2.1 通用安装版的硬件和系统要求</w:t>
      </w:r>
    </w:p>
    <w:p w14:paraId="39AA56E3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Windows 10 或 Windows 11，64 位。</w:t>
      </w:r>
    </w:p>
    <w:p w14:paraId="20181B7B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建议至少 8 GB 内存；处理视频时内存和CPU性能越高，等待时间越短。</w:t>
      </w:r>
    </w:p>
    <w:p w14:paraId="5E74E8FF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安装版内置CPU版Python、PyTorch、Streamlit、OpenCV及必要依赖，不要求目标电脑安装CUDA。</w:t>
      </w:r>
    </w:p>
    <w:p w14:paraId="40767767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首次启动可能较慢，程序需加载模型并初始化本地Web服务。</w:t>
      </w:r>
    </w:p>
    <w:p w14:paraId="65DE72E2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系统仅在本机回环地址提供页面，不需要把服务公开到互联网。</w:t>
      </w:r>
    </w:p>
    <w:p w14:paraId="68A0E9D5">
      <w:pPr>
        <w:pStyle w:val="3"/>
      </w:pPr>
      <w:r>
        <w:t>3 安装版：安装与首次启动</w:t>
      </w:r>
    </w:p>
    <w:p w14:paraId="278C69C3">
      <w:pPr>
        <w:pStyle w:val="4"/>
      </w:pPr>
      <w:r>
        <w:t>3.1 安装步骤</w:t>
      </w:r>
    </w:p>
    <w:p w14:paraId="49F63E59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1. 找到“深度伪造识别系统_通用版_Setup.exe”，确认文件来自课程提交包或可信存储位置。</w:t>
      </w:r>
    </w:p>
    <w:p w14:paraId="6BB1B47C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2. 双击安装程序，按向导选择安装目录。默认安装到当前用户的本地应用目录，不需要管理员权限。</w:t>
      </w:r>
    </w:p>
    <w:p w14:paraId="1607B103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3. 安装完成后勾选“立即启动”，或从桌面/开始菜单打开“深度伪造识别系统”。</w:t>
      </w:r>
    </w:p>
    <w:p w14:paraId="3383411C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4. 程序启动后会检查模型、配置和运行状态，随后自动打开默认浏览器。</w:t>
      </w:r>
    </w:p>
    <w:p w14:paraId="0DA61FFE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5. 浏览器出现系统首页后即可上传图片或视频。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16564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1E85DAC">
            <w:pPr>
              <w:spacing w:line="336" w:lineRule="auto"/>
            </w:pPr>
            <w:r>
              <w:rPr>
                <w:rFonts w:ascii="黑体" w:hAnsi="黑体" w:eastAsia="黑体"/>
                <w:b/>
                <w:sz w:val="21"/>
              </w:rPr>
              <w:t>SmartScreen提示：</w:t>
            </w:r>
            <w:r>
              <w:rPr>
                <w:rFonts w:ascii="宋体" w:hAnsi="宋体" w:eastAsia="宋体"/>
                <w:sz w:val="21"/>
              </w:rPr>
              <w:t>安装程序未使用商业代码签名证书时，Windows可能显示“未知发布者”。确认文件来自课程提交包后，可选择“更多信息 - 仍要运行”。不要对来源不明的同名安装包执行此操作。</w:t>
            </w:r>
          </w:p>
        </w:tc>
      </w:tr>
    </w:tbl>
    <w:p w14:paraId="22273C87">
      <w:pPr>
        <w:spacing w:after="0"/>
      </w:pPr>
    </w:p>
    <w:p w14:paraId="4F117C95">
      <w:pPr>
        <w:pStyle w:val="4"/>
      </w:pPr>
      <w:r>
        <w:t>3.2 安装目录与用户数据目录</w:t>
      </w:r>
    </w:p>
    <w:p w14:paraId="36013050">
      <w:pPr>
        <w:spacing w:after="80" w:line="360" w:lineRule="auto"/>
      </w:pPr>
      <w:r>
        <w:t>默认程序安装目录为：</w:t>
      </w:r>
    </w:p>
    <w:p w14:paraId="0F81065C">
      <w:pPr>
        <w:pStyle w:val="156"/>
        <w:jc w:val="center"/>
      </w:pPr>
      <w:r>
        <w:t>%LOCALAPPDATA%\Programs\DeepfakeDetectionSystem</w:t>
      </w:r>
    </w:p>
    <w:p w14:paraId="3CC6B33D">
      <w:pPr>
        <w:spacing w:after="80" w:line="360" w:lineRule="auto"/>
      </w:pPr>
      <w:r>
        <w:t>检测结果、日志和运行状态不会写入程序安装目录，而是写入当前用户数据目录：</w:t>
      </w:r>
    </w:p>
    <w:p w14:paraId="27BAFE75">
      <w:pPr>
        <w:pStyle w:val="156"/>
        <w:jc w:val="center"/>
      </w:pPr>
      <w:r>
        <w:t>%LOCALAPPDATA%\DeepfakeDetectionSystem\outputs</w:t>
      </w:r>
    </w:p>
    <w:p w14:paraId="54854AC0">
      <w:pPr>
        <w:pStyle w:val="156"/>
        <w:jc w:val="center"/>
      </w:pPr>
      <w:r>
        <w:t>%LOCALAPPDATA%\DeepfakeDetectionSystem\logs</w:t>
      </w:r>
    </w:p>
    <w:p w14:paraId="0AB8772A">
      <w:pPr>
        <w:pStyle w:val="156"/>
        <w:jc w:val="center"/>
      </w:pPr>
      <w:r>
        <w:t>%LOCALAPPDATA%\DeepfakeDetectionSystem\runtime</w:t>
      </w:r>
    </w:p>
    <w:p w14:paraId="07BD8D96">
      <w:pPr>
        <w:pStyle w:val="4"/>
      </w:pPr>
      <w:r>
        <w:t>3.3 首次启动后的检查</w:t>
      </w:r>
    </w:p>
    <w:p w14:paraId="6F61AF80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浏览器地址应为本机地址，例如 http://127.0.0.1:8501 或系统自动选择的其他端口。</w:t>
      </w:r>
    </w:p>
    <w:p w14:paraId="78E74BDA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首页应能看到系统说明、上传区域、设备信息和免责声明。</w:t>
      </w:r>
    </w:p>
    <w:p w14:paraId="2C0FFD2F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通用安装版采用CPU运行环境；界面如保留CUDA选项，不建议在安装版中选择CUDA。</w:t>
      </w:r>
    </w:p>
    <w:p w14:paraId="41AA2DD0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若浏览器未自动打开，可查看日志或手动访问启动提示中的本机地址。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3F1E9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5B325D4B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  <w:vAlign w:val="center"/>
          </w:tcPr>
          <w:p w14:paraId="0E43867F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C19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686C8CE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1 系统首页与上传入口</w:t>
            </w:r>
          </w:p>
        </w:tc>
        <w:tc>
          <w:tcPr>
            <w:tcW w:w="4702" w:type="dxa"/>
          </w:tcPr>
          <w:p w14:paraId="020DEA6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2 视频上传、预览与开始检测</w:t>
            </w:r>
          </w:p>
        </w:tc>
      </w:tr>
    </w:tbl>
    <w:p w14:paraId="105AD455">
      <w:pPr>
        <w:spacing w:after="0"/>
      </w:pPr>
    </w:p>
    <w:p w14:paraId="152C4F7E">
      <w:pPr>
        <w:pStyle w:val="3"/>
      </w:pPr>
      <w:r>
        <w:t>4 启动、停止与卸载</w:t>
      </w:r>
    </w:p>
    <w:p w14:paraId="180FC571">
      <w:pPr>
        <w:pStyle w:val="4"/>
      </w:pPr>
      <w:r>
        <w:t>4.1 正常启动</w:t>
      </w:r>
    </w:p>
    <w:p w14:paraId="7BE348A8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1. 双击桌面快捷方式“深度伪造识别系统”。</w:t>
      </w:r>
    </w:p>
    <w:p w14:paraId="2B6A30F4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2. 等待模型加载和本地服务启动。重复双击时，系统应复用已有健康服务，避免多实例。</w:t>
      </w:r>
    </w:p>
    <w:p w14:paraId="080B70AD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3. 浏览器打开后再上传媒体；不要在模型加载过程中连续反复点击启动。</w:t>
      </w:r>
    </w:p>
    <w:p w14:paraId="59771D40">
      <w:pPr>
        <w:pStyle w:val="4"/>
      </w:pPr>
      <w:r>
        <w:t>4.2 正常停止</w:t>
      </w:r>
    </w:p>
    <w:p w14:paraId="166F3214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1. 先下载或保存需要归档的HTML、JSON和CSV报告。</w:t>
      </w:r>
    </w:p>
    <w:p w14:paraId="477C4161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2. 运行桌面、开始菜单或安装目录中的“停止深度伪造识别系统”。</w:t>
      </w:r>
    </w:p>
    <w:p w14:paraId="689268CE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3. 确认服务停止后再关闭浏览器。仅关闭浏览器标签页不一定会结束后台服务。</w:t>
      </w:r>
    </w:p>
    <w:p w14:paraId="2A72ACDE">
      <w:pPr>
        <w:pStyle w:val="4"/>
      </w:pPr>
      <w:r>
        <w:t>4.3 卸载</w:t>
      </w:r>
    </w:p>
    <w:p w14:paraId="031842D3">
      <w:pPr>
        <w:spacing w:after="80" w:line="360" w:lineRule="auto"/>
        <w:ind w:firstLine="420"/>
      </w:pPr>
      <w:r>
        <w:t>可通过 Windows“设置 - 应用 - 已安装的应用”卸载，也可运行安装目录中的卸载程序。卸载程序文件时，用户数据目录中的历史报告可按需要保留或另行清理。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6CB97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5513047">
            <w:pPr>
              <w:spacing w:line="336" w:lineRule="auto"/>
            </w:pPr>
            <w:r>
              <w:rPr>
                <w:rFonts w:ascii="黑体" w:hAnsi="黑体" w:eastAsia="黑体"/>
                <w:b/>
                <w:sz w:val="21"/>
              </w:rPr>
              <w:t>旧状态自动恢复：</w:t>
            </w:r>
            <w:r>
              <w:rPr>
                <w:rFonts w:ascii="宋体" w:hAnsi="宋体" w:eastAsia="宋体"/>
                <w:sz w:val="21"/>
              </w:rPr>
              <w:t>最新版启动器会核验PID、安装目录、端口和健康端点，并自动清理过期或损坏的状态文件。若仍出现“无法验证旧服务状态”，先运行停止程序，再重新启动，并保留 launcher.log 供排查。</w:t>
            </w:r>
          </w:p>
        </w:tc>
      </w:tr>
    </w:tbl>
    <w:p w14:paraId="3B4DF7A6">
      <w:pPr>
        <w:spacing w:after="0"/>
      </w:pPr>
    </w:p>
    <w:p w14:paraId="533292B1">
      <w:pPr>
        <w:pStyle w:val="3"/>
      </w:pPr>
      <w:r>
        <w:t>5 上传媒体与界面操作</w:t>
      </w:r>
    </w:p>
    <w:p w14:paraId="156E09C2">
      <w:pPr>
        <w:pStyle w:val="4"/>
      </w:pPr>
      <w:r>
        <w:t>5.1 支持格式</w:t>
      </w:r>
    </w:p>
    <w:p w14:paraId="715A7D60">
      <w:pPr>
        <w:spacing w:after="80" w:line="360" w:lineRule="auto"/>
        <w:ind w:firstLine="420"/>
      </w:pPr>
      <w:r>
        <w:t>图片支持 JPG、JPEG、PNG、WEBP；视频支持 MP4、AVI、MOV、MKV。系统会同时检查扩展名和实际解码能力，仅修改文件后缀的损坏文件不会被当作有效媒体。</w:t>
      </w:r>
    </w:p>
    <w:p w14:paraId="22E5BA46">
      <w:pPr>
        <w:pStyle w:val="4"/>
      </w:pPr>
      <w:r>
        <w:t>5.2 操作步骤</w:t>
      </w:r>
    </w:p>
    <w:p w14:paraId="5E981F71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1. 在上传区域选择一张图片或一段视频。</w:t>
      </w:r>
    </w:p>
    <w:p w14:paraId="66AF7819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2. 查看文件名、大小和预览，确认材料无误。</w:t>
      </w:r>
    </w:p>
    <w:p w14:paraId="4319C5D0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3. 通用安装版建议保持“自动选择”或“CPU”；源码开发版可在CUDA环境中选择GPU。</w:t>
      </w:r>
    </w:p>
    <w:p w14:paraId="77EE6D81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4. 点击“开始检测”，等待媒体检查、抽帧、人脸检测、双分支推理和报告生成完成。</w:t>
      </w:r>
    </w:p>
    <w:p w14:paraId="244EEC36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5. 先查看最终状态，再查看融合评分、空间域评分、频率域评分、阈值、有效帧和实际设备。</w:t>
      </w:r>
    </w:p>
    <w:p w14:paraId="50BC283C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6. 视频结果继续检查关键帧、逐帧表和风险趋势。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789CB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0C3A8FC1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  <w:vAlign w:val="center"/>
          </w:tcPr>
          <w:p w14:paraId="72F33D24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DA1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4609F0B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3 设备选择（源码开发版可使用CUDA）</w:t>
            </w:r>
          </w:p>
        </w:tc>
        <w:tc>
          <w:tcPr>
            <w:tcW w:w="4702" w:type="dxa"/>
          </w:tcPr>
          <w:p w14:paraId="6EEC9D0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4 上传视频并开始检测</w:t>
            </w:r>
          </w:p>
        </w:tc>
      </w:tr>
    </w:tbl>
    <w:p w14:paraId="3AFB3DBB">
      <w:pPr>
        <w:spacing w:after="0"/>
      </w:pPr>
    </w:p>
    <w:p w14:paraId="3AA624AC">
      <w:pPr>
        <w:pStyle w:val="3"/>
      </w:pPr>
      <w:r>
        <w:t>6 检测结果与三分支评分</w:t>
      </w:r>
    </w:p>
    <w:p w14:paraId="6875D0B8">
      <w:pPr>
        <w:pStyle w:val="4"/>
      </w:pPr>
      <w:r>
        <w:t>6.1 三类评分</w:t>
      </w:r>
    </w:p>
    <w:p w14:paraId="3A08062B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空间域评分：MobileNetV3-Small对人脸像素纹理和局部结构给出的FAKE风险。</w:t>
      </w:r>
    </w:p>
    <w:p w14:paraId="1B4AF58F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频率域评分：FFT、DCT、梯度、Laplacian和熵等统计特征给出的FAKE风险。</w:t>
      </w:r>
    </w:p>
    <w:p w14:paraId="24978A64">
      <w:pPr>
        <w:pStyle w:val="16"/>
        <w:spacing w:after="40" w:line="336" w:lineRule="auto"/>
        <w:ind w:left="425" w:hanging="198"/>
      </w:pPr>
      <w:r>
        <w:rPr>
          <w:rFonts w:ascii="宋体" w:hAnsi="宋体" w:eastAsia="宋体"/>
          <w:sz w:val="21"/>
        </w:rPr>
        <w:t>融合评分：0.62 × 空间域评分 + 0.38 × 频率域评分。</w:t>
      </w:r>
    </w:p>
    <w:p w14:paraId="48BA3CE5">
      <w:pPr>
        <w:spacing w:after="80" w:line="360" w:lineRule="auto"/>
        <w:ind w:firstLine="420"/>
      </w:pPr>
      <w:r>
        <w:t>评分范围为0到1，越高表示模型认为FAKE风险越高。帧级固定阈值约为0.3636，视频级中位数聚合阈值约为0.4583。用户不应针对某个样本临时修改阈值。</w:t>
      </w:r>
    </w:p>
    <w:p w14:paraId="2411803B">
      <w:pPr>
        <w:pStyle w:val="4"/>
      </w:pPr>
      <w:r>
        <w:t>6.2 视频聚合</w:t>
      </w:r>
    </w:p>
    <w:p w14:paraId="3E32E747">
      <w:pPr>
        <w:spacing w:after="80" w:line="360" w:lineRule="auto"/>
        <w:ind w:firstLine="420"/>
      </w:pPr>
      <w:r>
        <w:t>系统以5个有效人脸帧为目标，部分候选位置无人脸时会继续抽取其他位置。每个有效帧先计算融合分数，视频结果取这些分数的中位数。页面显示的最高风险3个关键帧用于快速定位，不代表只有这三帧参与计算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0F0CD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19B02C1F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  <w:vAlign w:val="center"/>
          </w:tcPr>
          <w:p w14:paraId="31C2BDD4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156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6FA2E37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5 REAL视频风险结果</w:t>
            </w:r>
          </w:p>
        </w:tc>
        <w:tc>
          <w:tcPr>
            <w:tcW w:w="4702" w:type="dxa"/>
          </w:tcPr>
          <w:p w14:paraId="45909CD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6 FAKE视频风险结果</w:t>
            </w:r>
          </w:p>
        </w:tc>
      </w:tr>
    </w:tbl>
    <w:p w14:paraId="0B022E28">
      <w:pPr>
        <w:spacing w:after="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57F3E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5CFF4ACF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  <w:vAlign w:val="center"/>
          </w:tcPr>
          <w:p w14:paraId="02EEA78D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B9F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6AEDD5A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7 空间域、频率域与融合评分</w:t>
            </w:r>
          </w:p>
        </w:tc>
        <w:tc>
          <w:tcPr>
            <w:tcW w:w="4702" w:type="dxa"/>
          </w:tcPr>
          <w:p w14:paraId="35FC75B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8 关键帧与运行信息</w:t>
            </w:r>
          </w:p>
        </w:tc>
      </w:tr>
    </w:tbl>
    <w:p w14:paraId="2BBA9A9C">
      <w:pPr>
        <w:spacing w:after="0"/>
      </w:pPr>
    </w:p>
    <w:p w14:paraId="2D927C58">
      <w:r>
        <w:br w:type="page"/>
      </w:r>
    </w:p>
    <w:p w14:paraId="4B6035DB">
      <w:pPr>
        <w:pStyle w:val="4"/>
      </w:pPr>
      <w:r>
        <w:t>6.3 状态解释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769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5" w:type="dxa"/>
            <w:shd w:val="clear" w:color="auto" w:fill="D9EAF7"/>
          </w:tcPr>
          <w:p w14:paraId="64A21EAE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状态</w:t>
            </w:r>
          </w:p>
        </w:tc>
        <w:tc>
          <w:tcPr>
            <w:tcW w:w="3135" w:type="dxa"/>
            <w:shd w:val="clear" w:color="auto" w:fill="D9EAF7"/>
          </w:tcPr>
          <w:p w14:paraId="39730C94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触发条件</w:t>
            </w:r>
          </w:p>
        </w:tc>
        <w:tc>
          <w:tcPr>
            <w:tcW w:w="3135" w:type="dxa"/>
            <w:shd w:val="clear" w:color="auto" w:fill="D9EAF7"/>
          </w:tcPr>
          <w:p w14:paraId="2FC09F50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建议解释与处置</w:t>
            </w:r>
          </w:p>
        </w:tc>
      </w:tr>
      <w:tr w14:paraId="0939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A6E879E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REAL</w:t>
            </w:r>
          </w:p>
        </w:tc>
        <w:tc>
          <w:tcPr>
            <w:tcW w:w="3135" w:type="dxa"/>
          </w:tcPr>
          <w:p w14:paraId="18843A40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融合分数低于正式阈值</w:t>
            </w:r>
          </w:p>
        </w:tc>
        <w:tc>
          <w:tcPr>
            <w:tcW w:w="3135" w:type="dxa"/>
          </w:tcPr>
          <w:p w14:paraId="7664C003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未发现明显伪造风险；仍需核验来源与上下文</w:t>
            </w:r>
          </w:p>
        </w:tc>
      </w:tr>
      <w:tr w14:paraId="2E24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870943D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FAKE</w:t>
            </w:r>
          </w:p>
        </w:tc>
        <w:tc>
          <w:tcPr>
            <w:tcW w:w="3135" w:type="dxa"/>
          </w:tcPr>
          <w:p w14:paraId="19872522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融合分数达到或超过正式阈值</w:t>
            </w:r>
          </w:p>
        </w:tc>
        <w:tc>
          <w:tcPr>
            <w:tcW w:w="3135" w:type="dxa"/>
          </w:tcPr>
          <w:p w14:paraId="5E6CA72E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存在较高伪造风险，应进入人工和取证复核</w:t>
            </w:r>
          </w:p>
        </w:tc>
      </w:tr>
      <w:tr w14:paraId="0A03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314494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LOW_CONFIDENCE</w:t>
            </w:r>
          </w:p>
        </w:tc>
        <w:tc>
          <w:tcPr>
            <w:tcW w:w="3135" w:type="dxa"/>
          </w:tcPr>
          <w:p w14:paraId="4FFE31F9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有效人脸帧不足最低要求</w:t>
            </w:r>
          </w:p>
        </w:tc>
        <w:tc>
          <w:tcPr>
            <w:tcW w:w="3135" w:type="dxa"/>
          </w:tcPr>
          <w:p w14:paraId="031D2B0B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结果可信度较低，优先补充清晰原始视频</w:t>
            </w:r>
          </w:p>
        </w:tc>
      </w:tr>
      <w:tr w14:paraId="66AC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234CC5F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INSUFFICIENT_EVIDENCE</w:t>
            </w:r>
          </w:p>
        </w:tc>
        <w:tc>
          <w:tcPr>
            <w:tcW w:w="3135" w:type="dxa"/>
          </w:tcPr>
          <w:p w14:paraId="535F12F7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未检出满足质量要求的人脸</w:t>
            </w:r>
          </w:p>
        </w:tc>
        <w:tc>
          <w:tcPr>
            <w:tcW w:w="3135" w:type="dxa"/>
          </w:tcPr>
          <w:p w14:paraId="12DD0F8F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不输出真假结论</w:t>
            </w:r>
          </w:p>
        </w:tc>
      </w:tr>
      <w:tr w14:paraId="70FB9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940CF55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ERROR</w:t>
            </w:r>
          </w:p>
        </w:tc>
        <w:tc>
          <w:tcPr>
            <w:tcW w:w="3135" w:type="dxa"/>
          </w:tcPr>
          <w:p w14:paraId="339AACD5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格式、解码、模型或运行异常</w:t>
            </w:r>
          </w:p>
        </w:tc>
        <w:tc>
          <w:tcPr>
            <w:tcW w:w="3135" w:type="dxa"/>
          </w:tcPr>
          <w:p w14:paraId="5021D93E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修复输入或环境后重试，并保留错误日志</w:t>
            </w:r>
          </w:p>
        </w:tc>
      </w:tr>
    </w:tbl>
    <w:p w14:paraId="1F0F5799">
      <w:pPr>
        <w:pStyle w:val="3"/>
      </w:pPr>
      <w:r>
        <w:t>7 关键帧、逐帧分析与报告下载</w:t>
      </w:r>
    </w:p>
    <w:p w14:paraId="173B3B11">
      <w:pPr>
        <w:spacing w:after="80" w:line="360" w:lineRule="auto"/>
        <w:ind w:firstLine="420"/>
      </w:pPr>
      <w:r>
        <w:t>视频检测完成后，页面提供逐帧表、评分趋势、关键帧和报告下载。分支评分明显不一致时，应重点查看原始媒体质量、模糊、遮挡、压缩和人脸大小，不应只依赖单一总分。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256B7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51378521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  <w:vAlign w:val="center"/>
          </w:tcPr>
          <w:p w14:paraId="231582FD">
            <w:pPr>
              <w:jc w:val="center"/>
            </w:pPr>
            <w:r>
              <w:drawing>
                <wp:inline distT="0" distB="0" distL="114300" distR="114300">
                  <wp:extent cx="2627630" cy="1359535"/>
                  <wp:effectExtent l="0" t="0" r="1270" b="1206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35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76C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6430DBE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9 逐帧表与风险趋势</w:t>
            </w:r>
          </w:p>
        </w:tc>
        <w:tc>
          <w:tcPr>
            <w:tcW w:w="4702" w:type="dxa"/>
          </w:tcPr>
          <w:p w14:paraId="24F52CC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 10 HTML、JSON与CSV下载</w:t>
            </w:r>
          </w:p>
        </w:tc>
      </w:tr>
    </w:tbl>
    <w:p w14:paraId="7955B609">
      <w:pPr>
        <w:spacing w:after="0"/>
      </w:pPr>
    </w:p>
    <w:p w14:paraId="24DDAD92">
      <w:pPr>
        <w:pStyle w:val="4"/>
      </w:pPr>
      <w:r>
        <w:t>7.1 输出文件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53D4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shd w:val="clear" w:color="auto" w:fill="D9EAF7"/>
          </w:tcPr>
          <w:p w14:paraId="069C1479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文件</w:t>
            </w:r>
          </w:p>
        </w:tc>
        <w:tc>
          <w:tcPr>
            <w:tcW w:w="4702" w:type="dxa"/>
            <w:shd w:val="clear" w:color="auto" w:fill="D9EAF7"/>
          </w:tcPr>
          <w:p w14:paraId="1995FDEF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 w14:paraId="7633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286F5896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result.json</w:t>
            </w:r>
          </w:p>
        </w:tc>
        <w:tc>
          <w:tcPr>
            <w:tcW w:w="4702" w:type="dxa"/>
          </w:tcPr>
          <w:p w14:paraId="49FFFCC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输入哈希、状态、设备、评分、阈值和帧记录</w:t>
            </w:r>
          </w:p>
        </w:tc>
      </w:tr>
      <w:tr w14:paraId="7900E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040C4A0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report.html</w:t>
            </w:r>
          </w:p>
        </w:tc>
        <w:tc>
          <w:tcPr>
            <w:tcW w:w="4702" w:type="dxa"/>
          </w:tcPr>
          <w:p w14:paraId="48CC331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适合人工阅读和归档的中文报告</w:t>
            </w:r>
          </w:p>
        </w:tc>
      </w:tr>
      <w:tr w14:paraId="1B58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646F35F4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frame_predictions.csv</w:t>
            </w:r>
          </w:p>
        </w:tc>
        <w:tc>
          <w:tcPr>
            <w:tcW w:w="4702" w:type="dxa"/>
          </w:tcPr>
          <w:p w14:paraId="4F3B79B4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视频逐帧位置、分支评分、融合评分和状态</w:t>
            </w:r>
          </w:p>
        </w:tc>
      </w:tr>
      <w:tr w14:paraId="29935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425BD07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runtime.log</w:t>
            </w:r>
          </w:p>
        </w:tc>
        <w:tc>
          <w:tcPr>
            <w:tcW w:w="4702" w:type="dxa"/>
          </w:tcPr>
          <w:p w14:paraId="58DB101D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运行步骤和错误线索</w:t>
            </w:r>
          </w:p>
        </w:tc>
      </w:tr>
      <w:tr w14:paraId="44ED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</w:tcPr>
          <w:p w14:paraId="7409BC0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keyframes/</w:t>
            </w:r>
          </w:p>
        </w:tc>
        <w:tc>
          <w:tcPr>
            <w:tcW w:w="4702" w:type="dxa"/>
          </w:tcPr>
          <w:p w14:paraId="30DF639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最高融合风险关键帧</w:t>
            </w:r>
          </w:p>
        </w:tc>
      </w:tr>
    </w:tbl>
    <w:p w14:paraId="08C6CBBD">
      <w:pPr>
        <w:pStyle w:val="4"/>
      </w:pPr>
      <w:r>
        <w:t>7.2 证据不足</w:t>
      </w:r>
    </w:p>
    <w:p w14:paraId="075CE5E8">
      <w:pPr>
        <w:spacing w:after="80" w:line="360" w:lineRule="auto"/>
        <w:ind w:firstLine="420"/>
      </w:pPr>
      <w:r>
        <w:t>图片未检测到人脸时，系统返回 INSUFFICIENT_EVIDENCE，不输出虚假0%或真假结论；视频仅获得1-2个有效帧时返回 LOW_CONFIDENCE。证据不足不等于REAL。</w:t>
      </w:r>
    </w:p>
    <w:p w14:paraId="635F4163">
      <w:pPr>
        <w:jc w:val="center"/>
      </w:pPr>
      <w:r>
        <w:drawing>
          <wp:inline distT="0" distB="0" distL="114300" distR="114300">
            <wp:extent cx="5579745" cy="2886710"/>
            <wp:effectExtent l="0" t="0" r="825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A8D1"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 11 无人脸证据不足提示</w:t>
      </w:r>
    </w:p>
    <w:p w14:paraId="3A929FCB">
      <w:pPr>
        <w:pStyle w:val="3"/>
      </w:pPr>
      <w:r>
        <w:t>8 结果保存位置与归档要求</w:t>
      </w:r>
    </w:p>
    <w:p w14:paraId="34E0F4BA">
      <w:pPr>
        <w:spacing w:after="80" w:line="360" w:lineRule="auto"/>
        <w:ind w:firstLine="420"/>
      </w:pPr>
      <w:r>
        <w:t>安装版的运行结果默认位于当前用户的本地应用数据目录，而不是程序安装目录。使用环境变量路径可以避免在说明书中暴露具体用户名。</w:t>
      </w:r>
    </w:p>
    <w:p w14:paraId="306BBF93">
      <w:pPr>
        <w:pStyle w:val="156"/>
        <w:jc w:val="center"/>
      </w:pPr>
      <w:r>
        <w:t>结果：%LOCALAPPDATA%\DeepfakeDetectionSystem\outputs</w:t>
      </w:r>
    </w:p>
    <w:p w14:paraId="697D5179">
      <w:pPr>
        <w:pStyle w:val="156"/>
        <w:jc w:val="center"/>
      </w:pPr>
      <w:r>
        <w:t>日志：%LOCALAPPDATA%\DeepfakeDetectionSystem\logs</w:t>
      </w:r>
    </w:p>
    <w:p w14:paraId="5EFC1DF0">
      <w:pPr>
        <w:pStyle w:val="156"/>
        <w:jc w:val="center"/>
      </w:pPr>
      <w:r>
        <w:t>运行状态：%LOCALAPPDATA%\DeepfakeDetectionSystem\runtime</w:t>
      </w:r>
    </w:p>
    <w:p w14:paraId="0A32EAE4">
      <w:pPr>
        <w:spacing w:after="80" w:line="360" w:lineRule="auto"/>
        <w:ind w:firstLine="420"/>
      </w:pPr>
      <w:r>
        <w:t>归档重要材料时，至少保留原始媒体、输入SHA-256、result.json、视频的frame_predictions.csv、report.html、模型版本、融合配置和人工复核意见。转码或裁剪时必须保留原文件，并记录工具、参数、时间和派生文件哈希。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5EA92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5694857">
            <w:pPr>
              <w:spacing w:line="336" w:lineRule="auto"/>
            </w:pPr>
            <w:r>
              <w:rPr>
                <w:rFonts w:ascii="黑体" w:hAnsi="黑体" w:eastAsia="黑体"/>
                <w:b/>
                <w:sz w:val="21"/>
              </w:rPr>
              <w:t>隐私提示：</w:t>
            </w:r>
            <w:r>
              <w:rPr>
                <w:rFonts w:ascii="宋体" w:hAnsi="宋体" w:eastAsia="宋体"/>
                <w:sz w:val="21"/>
              </w:rPr>
              <w:t>输出目录可能包含人脸、文件名、路径、关键帧和输入哈希。对外转交前应检查敏感信息，不得直接上传公共网盘或公开代码仓库。</w:t>
            </w:r>
          </w:p>
        </w:tc>
      </w:tr>
    </w:tbl>
    <w:p w14:paraId="3AD0FFC2">
      <w:pPr>
        <w:spacing w:after="0"/>
      </w:pPr>
    </w:p>
    <w:p w14:paraId="5E3D34B7">
      <w:pPr>
        <w:pStyle w:val="3"/>
      </w:pPr>
      <w:r>
        <w:t>9 常见问题处理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5"/>
        <w:gridCol w:w="5706"/>
      </w:tblGrid>
      <w:tr w14:paraId="12B2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02" w:type="dxa"/>
            <w:shd w:val="clear" w:color="auto" w:fill="F4B183"/>
          </w:tcPr>
          <w:p w14:paraId="6C5B4C9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问题</w:t>
            </w:r>
          </w:p>
        </w:tc>
        <w:tc>
          <w:tcPr>
            <w:tcW w:w="4702" w:type="dxa"/>
            <w:shd w:val="clear" w:color="auto" w:fill="F4B183"/>
          </w:tcPr>
          <w:p w14:paraId="4C7BEBD4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18"/>
              </w:rPr>
              <w:t>处理方法</w:t>
            </w:r>
          </w:p>
        </w:tc>
      </w:tr>
      <w:tr w14:paraId="6A45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top"/>
          </w:tcPr>
          <w:p w14:paraId="55DC81EB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单独复制EXE后提示缺少 python312.dll</w:t>
            </w:r>
          </w:p>
        </w:tc>
        <w:tc>
          <w:tcPr>
            <w:tcW w:w="4702" w:type="dxa"/>
            <w:vAlign w:val="top"/>
          </w:tcPr>
          <w:p w14:paraId="3722C6A7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当前程序为完整目录/安装版运行结构，主EXE不能脱离周围动态库和模型。重新使用Setup安装，或完整复制整个便携目录。</w:t>
            </w:r>
          </w:p>
        </w:tc>
      </w:tr>
      <w:tr w14:paraId="0BDA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top"/>
          </w:tcPr>
          <w:p w14:paraId="7A5A6036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出现“无法验证旧服务状态”</w:t>
            </w:r>
          </w:p>
        </w:tc>
        <w:tc>
          <w:tcPr>
            <w:tcW w:w="4702" w:type="dxa"/>
            <w:vAlign w:val="top"/>
          </w:tcPr>
          <w:p w14:paraId="20BCB47E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最新版会自动恢复过期状态。若仍出现，先运行“停止深度伪造识别系统”，再启动；保留 %LOCALAPPDATA%\DeepfakeDetectionSystem\logs\launcher.log。</w:t>
            </w:r>
          </w:p>
        </w:tc>
      </w:tr>
      <w:tr w14:paraId="4FF2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top"/>
          </w:tcPr>
          <w:p w14:paraId="3D7FE731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端口被占用或浏览器未打开</w:t>
            </w:r>
          </w:p>
        </w:tc>
        <w:tc>
          <w:tcPr>
            <w:tcW w:w="4702" w:type="dxa"/>
            <w:vAlign w:val="top"/>
          </w:tcPr>
          <w:p w14:paraId="2A22C509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启动器会尝试8501-8599中的可用端口。可查看launcher.log中的实际地址，并在浏览器手动访问。</w:t>
            </w:r>
          </w:p>
        </w:tc>
      </w:tr>
      <w:tr w14:paraId="0B5D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top"/>
          </w:tcPr>
          <w:p w14:paraId="1A5F690B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Windows SmartScreen提示未知发布者</w:t>
            </w:r>
          </w:p>
        </w:tc>
        <w:tc>
          <w:tcPr>
            <w:tcW w:w="4702" w:type="dxa"/>
            <w:vAlign w:val="top"/>
          </w:tcPr>
          <w:p w14:paraId="47250AA2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确认安装包来自课程提交包后，选择“更多信息 - 仍要运行”。未知来源文件不要放行。</w:t>
            </w:r>
          </w:p>
        </w:tc>
      </w:tr>
      <w:tr w14:paraId="6A26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top"/>
          </w:tcPr>
          <w:p w14:paraId="0BA165D3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安装版无法使用CUDA</w:t>
            </w:r>
          </w:p>
        </w:tc>
        <w:tc>
          <w:tcPr>
            <w:tcW w:w="4702" w:type="dxa"/>
            <w:vAlign w:val="top"/>
          </w:tcPr>
          <w:p w14:paraId="47A4D7FB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通用安装版内置CPU版PyTorch，不要求CUDA。需要GPU时使用源码开发版并配置NVIDIA驱动与CUDA版PyTorch。</w:t>
            </w:r>
          </w:p>
        </w:tc>
      </w:tr>
      <w:tr w14:paraId="2E5B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top"/>
          </w:tcPr>
          <w:p w14:paraId="15F91759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视频无法解码或播放器不支持MP4</w:t>
            </w:r>
          </w:p>
        </w:tc>
        <w:tc>
          <w:tcPr>
            <w:tcW w:w="4702" w:type="dxa"/>
            <w:vAlign w:val="top"/>
          </w:tcPr>
          <w:p w14:paraId="799AA305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MP4是容器，内部编码可能不兼容Windows播放器。系统若也无法解码会返回ERROR；演示可使用VLC或在保留原文件的前提下转码副本。</w:t>
            </w:r>
          </w:p>
        </w:tc>
      </w:tr>
      <w:tr w14:paraId="71E07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top"/>
          </w:tcPr>
          <w:p w14:paraId="33F55260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无人脸或有效帧不足</w:t>
            </w:r>
          </w:p>
        </w:tc>
        <w:tc>
          <w:tcPr>
            <w:tcW w:w="4702" w:type="dxa"/>
            <w:vAlign w:val="top"/>
          </w:tcPr>
          <w:p w14:paraId="382D34A6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无人脸返回INSUFFICIENT_EVIDENCE，有效帧不足返回LOW_CONFIDENCE；均不能解释为REAL。</w:t>
            </w:r>
          </w:p>
        </w:tc>
      </w:tr>
      <w:tr w14:paraId="5F31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top"/>
          </w:tcPr>
          <w:p w14:paraId="67CBDB9A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模型或配置文件缺失</w:t>
            </w:r>
          </w:p>
        </w:tc>
        <w:tc>
          <w:tcPr>
            <w:tcW w:w="4702" w:type="dxa"/>
            <w:vAlign w:val="top"/>
          </w:tcPr>
          <w:p w14:paraId="1E50DFDA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从可信完整程序包恢复，不要禁用校验，也不要用随机值替代。</w:t>
            </w:r>
          </w:p>
        </w:tc>
      </w:tr>
    </w:tbl>
    <w:p w14:paraId="7836CFBF">
      <w:pPr>
        <w:pStyle w:val="3"/>
      </w:pPr>
      <w:r>
        <w:t>10 复核、归档与免责声明</w:t>
      </w:r>
    </w:p>
    <w:p w14:paraId="12C0304B">
      <w:pPr>
        <w:spacing w:after="80" w:line="360" w:lineRule="auto"/>
        <w:ind w:firstLine="420"/>
      </w:pPr>
      <w:r>
        <w:t>高风险、分支不一致、低清、多脸、无人脸或有效帧很少的材料应优先人工复核。复核视频时应回到原始视频检查关键帧相邻的连续画面，排除瞬时模糊、字幕、遮挡或极端表情等干扰。多人场景还要确认最大脸策略分析的是否为目标对象。</w:t>
      </w:r>
    </w:p>
    <w:p w14:paraId="09310694">
      <w:pPr>
        <w:spacing w:after="80" w:line="360" w:lineRule="auto"/>
        <w:ind w:firstLine="420"/>
      </w:pPr>
      <w:r>
        <w:t>同一材料只有在输入哈希、模型版本、融合配置和设备口径一致时，重复运行结果才适合直接比较。软件或权重更新后应保留旧报告，新结果按另一版本归档，不覆盖历史记录，也不得根据正式测试材料反向调整阈值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5C441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tcBorders>
              <w:top w:val="single" w:color="C65911" w:sz="8" w:space="0"/>
              <w:left w:val="single" w:color="C65911" w:sz="8" w:space="0"/>
              <w:bottom w:val="single" w:color="C65911" w:sz="8" w:space="0"/>
              <w:right w:val="single" w:color="C65911" w:sz="8" w:space="0"/>
            </w:tcBorders>
            <w:shd w:val="clear" w:color="auto" w:fill="FCE4D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409F3D">
            <w:pPr>
              <w:spacing w:line="336" w:lineRule="auto"/>
            </w:pPr>
            <w:r>
              <w:rPr>
                <w:rFonts w:ascii="黑体" w:hAnsi="黑体" w:eastAsia="黑体"/>
                <w:b/>
                <w:sz w:val="21"/>
              </w:rPr>
              <w:t>最终提醒：</w:t>
            </w:r>
            <w:r>
              <w:rPr>
                <w:rFonts w:ascii="宋体" w:hAnsi="宋体" w:eastAsia="宋体"/>
                <w:sz w:val="21"/>
              </w:rPr>
              <w:t>自动化结果只能用于筛查和辅助研判，不应单独作为司法鉴定或案件定性依据。系统不分析音频，也不能据此确认制作工具、制作人或传播责任主体。</w:t>
            </w:r>
          </w:p>
        </w:tc>
      </w:tr>
    </w:tbl>
    <w:p w14:paraId="7B4083C9">
      <w:pPr>
        <w:spacing w:after="0"/>
      </w:pPr>
    </w:p>
    <w:p w14:paraId="3C6727B5">
      <w:r>
        <w:br w:type="page"/>
      </w:r>
    </w:p>
    <w:p w14:paraId="4DB2168E">
      <w:pPr>
        <w:pStyle w:val="3"/>
      </w:pPr>
      <w:r>
        <w:t>附录A 便携目录版</w:t>
      </w:r>
    </w:p>
    <w:p w14:paraId="5E0D73F5">
      <w:pPr>
        <w:spacing w:after="80" w:line="360" w:lineRule="auto"/>
        <w:ind w:firstLine="420"/>
      </w:pPr>
      <w:r>
        <w:t>便携目录版适合在受控Windows电脑之间复制，不需要安装Python。必须完整复制或解压整个 DeepfakeDetectionSystem 目录，不能只取出主EXE。</w:t>
      </w:r>
    </w:p>
    <w:p w14:paraId="6F8D63E9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1. 完整解压便携压缩包，确保 _internal、models、config 和主EXE位于原有相对位置。</w:t>
      </w:r>
    </w:p>
    <w:p w14:paraId="182DCF51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2. 双击根目录“启动深度伪造识别系统.bat”，或进入完整程序目录运行主EXE。</w:t>
      </w:r>
    </w:p>
    <w:p w14:paraId="1DED2082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3. 停止时运行根目录“停止深度伪造识别系统.bat”。</w:t>
      </w:r>
    </w:p>
    <w:p w14:paraId="16A8B08F">
      <w:pPr>
        <w:spacing w:after="40" w:line="336" w:lineRule="auto"/>
        <w:ind w:left="425" w:hanging="312"/>
      </w:pPr>
      <w:r>
        <w:rPr>
          <w:rFonts w:ascii="宋体" w:hAnsi="宋体" w:eastAsia="宋体"/>
          <w:sz w:val="21"/>
        </w:rPr>
        <w:t>4. 移动到其他盘符时应移动整个目录，不要只移动主EXE。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08FEB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71E3FF5">
            <w:pPr>
              <w:spacing w:line="336" w:lineRule="auto"/>
            </w:pPr>
            <w:r>
              <w:rPr>
                <w:rFonts w:ascii="黑体" w:hAnsi="黑体" w:eastAsia="黑体"/>
                <w:b/>
                <w:sz w:val="21"/>
              </w:rPr>
              <w:t>便携版校验：</w:t>
            </w:r>
            <w:r>
              <w:rPr>
                <w:rFonts w:ascii="宋体" w:hAnsi="宋体" w:eastAsia="宋体"/>
                <w:sz w:val="21"/>
              </w:rPr>
              <w:t>若出现Python DLL缺失，首先检查是否只复制了主EXE，或压缩包是否没有完整解压。</w:t>
            </w:r>
          </w:p>
        </w:tc>
      </w:tr>
    </w:tbl>
    <w:p w14:paraId="0A919434">
      <w:pPr>
        <w:spacing w:after="0"/>
      </w:pPr>
    </w:p>
    <w:p w14:paraId="0CCC40EA">
      <w:pPr>
        <w:pStyle w:val="3"/>
      </w:pPr>
      <w:r>
        <w:t>附录B 源码开发版与CUDA环境</w:t>
      </w:r>
    </w:p>
    <w:p w14:paraId="7030C2C6">
      <w:pPr>
        <w:spacing w:after="80" w:line="360" w:lineRule="auto"/>
        <w:ind w:firstLine="420"/>
      </w:pPr>
      <w:r>
        <w:t>源码开发版用于代码审查、实验复现和GPU加速。它与普通安装版的使用方式不同，需要项目虚拟环境和依赖。</w:t>
      </w:r>
    </w:p>
    <w:p w14:paraId="2A74A395">
      <w:pPr>
        <w:pStyle w:val="4"/>
      </w:pPr>
      <w:r>
        <w:t>B.1 启动源码版</w:t>
      </w:r>
    </w:p>
    <w:p w14:paraId="53216DAE">
      <w:pPr>
        <w:pStyle w:val="156"/>
        <w:jc w:val="center"/>
      </w:pPr>
      <w:r>
        <w:t>.\.venv\Scripts\python.exe -m streamlit run app.py</w:t>
      </w:r>
    </w:p>
    <w:p w14:paraId="6DE34F36">
      <w:pPr>
        <w:pStyle w:val="156"/>
        <w:jc w:val="center"/>
      </w:pPr>
      <w:r>
        <w:t>.\scripts\start_streamlit.ps1</w:t>
      </w:r>
    </w:p>
    <w:p w14:paraId="67AD841E">
      <w:pPr>
        <w:pStyle w:val="4"/>
      </w:pPr>
      <w:r>
        <w:t>B.2 CUDA说明</w:t>
      </w:r>
    </w:p>
    <w:p w14:paraId="60E4B3DA">
      <w:pPr>
        <w:spacing w:after="80" w:line="360" w:lineRule="auto"/>
        <w:ind w:firstLine="420"/>
      </w:pPr>
      <w:r>
        <w:t>源码版可选择 auto、CPU 或 CUDA。选择CUDA前应确认NVIDIA驱动和CUDA版PyTorch正常，torch.cuda.is_available()返回True。通用安装版采用CPU版运行时，不应与GPU训练环境混淆。GPU用于模型训练和微调，CPU通用版用于提高最终软件对普通Windows电脑的兼容性，模型权重与正式判断参数保持不变。</w:t>
      </w:r>
    </w:p>
    <w:p w14:paraId="780062D4">
      <w:pPr>
        <w:jc w:val="center"/>
      </w:pPr>
      <w:r>
        <w:drawing>
          <wp:inline distT="0" distB="0" distL="114300" distR="114300">
            <wp:extent cx="5219700" cy="27006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6627"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 B-1 源码开发环境中的CUDA设备信息示例</w:t>
      </w:r>
    </w:p>
    <w:p w14:paraId="04BF48E0">
      <w:pPr>
        <w:pStyle w:val="4"/>
      </w:pPr>
      <w:r>
        <w:t>B.3 命令行检测</w:t>
      </w:r>
    </w:p>
    <w:p w14:paraId="131E5D8F">
      <w:pPr>
        <w:pStyle w:val="156"/>
        <w:jc w:val="center"/>
      </w:pPr>
      <w:r>
        <w:t>.\.venv\Scripts\python.exe scripts\detect_media.py --input "相对路径\待检测视频.mp4" --device auto</w:t>
      </w:r>
    </w:p>
    <w:p w14:paraId="45DE3AFD">
      <w:pPr>
        <w:spacing w:after="80" w:line="360" w:lineRule="auto"/>
        <w:ind w:firstLine="420"/>
      </w:pPr>
      <w:r>
        <w:t>命令行与Web界面使用同一模型和聚合逻辑。--keep-temporary仅用于调试，常规使用不建议开启。</w:t>
      </w:r>
    </w:p>
    <w:sectPr>
      <w:headerReference r:id="rId5" w:type="default"/>
      <w:footerReference r:id="rId6" w:type="default"/>
      <w:pgSz w:w="12240" w:h="15840"/>
      <w:pgMar w:top="1361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DD869">
    <w:pPr>
      <w:pStyle w:val="24"/>
      <w:jc w:val="center"/>
    </w:pPr>
    <w:r>
      <w:rPr>
        <w:rFonts w:ascii="Times New Roman" w:hAnsi="Times New Roman" w:eastAsia="Times New Roman"/>
        <w:sz w:val="18"/>
      </w:rPr>
      <w:fldChar w:fldCharType="begin"/>
    </w:r>
    <w:r>
      <w:rPr>
        <w:rFonts w:ascii="Times New Roman" w:hAnsi="Times New Roman" w:eastAsia="Times New Roman"/>
        <w:sz w:val="18"/>
      </w:rPr>
      <w:instrText xml:space="preserve">PAGE</w:instrText>
    </w:r>
    <w:r>
      <w:rPr>
        <w:rFonts w:ascii="Times New Roman" w:hAnsi="Times New Roman"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9B7DB">
    <w:pPr>
      <w:pStyle w:val="25"/>
      <w:jc w:val="center"/>
    </w:pPr>
    <w:r>
      <w:rPr>
        <w:rFonts w:ascii="宋体" w:hAnsi="宋体" w:eastAsia="宋体"/>
        <w:color w:val="646464"/>
        <w:sz w:val="18"/>
      </w:rPr>
      <w:t>多域融合深度伪造辅助研判系统使用说明（安装版适配）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F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4F81BD" w:themeColor="accent1"/>
      <w:spacing w:val="15"/>
      <w:sz w:val="28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2303</Words>
  <Characters>2861</Characters>
  <Lines>0</Lines>
  <Paragraphs>0</Paragraphs>
  <TotalTime>0</TotalTime>
  <ScaleCrop>false</ScaleCrop>
  <LinksUpToDate>false</LinksUpToDate>
  <CharactersWithSpaces>2964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WPS_822943648</dc:creator>
  <dc:description>generated by python-docx</dc:description>
  <cp:lastModifiedBy>WPS_822943648</cp:lastModifiedBy>
  <dcterms:modified xsi:type="dcterms:W3CDTF">2026-07-14T14:38:06Z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eyJoZGlkIjoiYTA4MTllY2ExYTk4YTYxZDViZDM3ZDBmMTBmNWU2MTQiLCJ1c2VySWQiOiI4MjI5NDM2NDgifQ==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BEC359C8E7CD4F51B9EFFEFB59866353_12</vt:lpwstr>
  </property>
</Properties>
</file>