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of Conduct and Ethics Policy</w:t>
      </w:r>
    </w:p>
    <w:p>
      <w:r>
        <w:rPr>
          <w:color w:val="444444"/>
          <w:sz w:val="18"/>
        </w:rPr>
        <w:t>Sunrise Medical Center</w:t>
      </w:r>
    </w:p>
    <w:p>
      <w:r>
        <w:rPr>
          <w:color w:val="444444"/>
          <w:sz w:val="18"/>
        </w:rPr>
        <w:t>Document Title: Code of Conduct and Ethics Policy</w:t>
      </w:r>
    </w:p>
    <w:p>
      <w:r>
        <w:rPr>
          <w:color w:val="444444"/>
          <w:sz w:val="18"/>
        </w:rPr>
        <w:t>Document ID: SMC-COMP-002</w:t>
      </w:r>
    </w:p>
    <w:p>
      <w:r>
        <w:rPr>
          <w:color w:val="444444"/>
          <w:sz w:val="18"/>
        </w:rPr>
        <w:t>Department: Compliance and Ethics Office</w:t>
      </w:r>
    </w:p>
    <w:p>
      <w:r>
        <w:rPr>
          <w:color w:val="444444"/>
          <w:sz w:val="18"/>
        </w:rPr>
        <w:t>Effective Date: May 20, 2019</w:t>
      </w:r>
    </w:p>
    <w:p>
      <w:r>
        <w:rPr>
          <w:color w:val="444444"/>
          <w:sz w:val="18"/>
        </w:rPr>
        <w:t>Last Revised: October 1, 2025</w:t>
      </w:r>
    </w:p>
    <w:p>
      <w:r>
        <w:rPr>
          <w:color w:val="444444"/>
          <w:sz w:val="18"/>
        </w:rPr>
        <w:t>Policy Owner: Chief Compliance and Privacy Officer, Renata Ibarra</w:t>
      </w:r>
    </w:p>
    <w:p>
      <w:r>
        <w:rPr>
          <w:color w:val="444444"/>
          <w:sz w:val="18"/>
        </w:rPr>
        <w:t>Distribution: All Sunrise Medical Center Staff</w:t>
      </w:r>
    </w:p>
    <w:p>
      <w:r>
        <w:t>__________________________________________________________________________________________</w:t>
      </w:r>
    </w:p>
    <w:p>
      <w:pPr>
        <w:pStyle w:val="Heading1"/>
      </w:pPr>
      <w:r>
        <w:t>1. Our Commitment</w:t>
      </w:r>
    </w:p>
    <w:p>
      <w:r>
        <w:t>Sunrise Medical Center is committed to conducting all activities with honesty, integrity, and respect for the law. This Code of Conduct applies to every employee, physician, volunteer, board member, and contracted vendor and sets the minimum standard of ethical behavior expected in every interaction, clinical or administrative.</w:t>
      </w:r>
    </w:p>
    <w:p>
      <w:pPr>
        <w:pStyle w:val="Heading1"/>
      </w:pPr>
      <w:r>
        <w:t>2. Conflicts of Interest</w:t>
      </w:r>
    </w:p>
    <w:p>
      <w:r>
        <w:t>Employees must disclose any financial or personal relationship that could reasonably be perceived to influence their professional judgment, including outside employment with vendors, ownership interest in referred entities, or close personal relationships with individuals they supervise. Disclosures are made annually and whenever a new conflict arises, using the Conflict of Interest Disclosure Form filed with the Compliance Office.</w:t>
      </w:r>
    </w:p>
    <w:p>
      <w:pPr>
        <w:pStyle w:val="Heading1"/>
      </w:pPr>
      <w:r>
        <w:t>3. Gifts and Vendor Relationships</w:t>
      </w:r>
    </w:p>
    <w:p>
      <w:r>
        <w:t>Employees involved in purchasing or vendor selection decisions may not accept gifts, meals, or entertainment from current or prospective vendors beyond nominal value (currently $25) as defined in the Vendor Relations Policy. Cash or cash-equivalent gifts of any amount are strictly prohibited under all circumstances.</w:t>
      </w:r>
    </w:p>
    <w:p>
      <w:pPr>
        <w:pStyle w:val="Heading1"/>
      </w:pPr>
      <w:r>
        <w:t>4. Anti-Kickback and Stark Law Compliance</w:t>
      </w:r>
    </w:p>
    <w:p>
      <w:r>
        <w:t>Sunrise Medical Center prohibits any arrangement that provides remuneration in exchange for patient referrals, in compliance with the federal Anti-Kickback Statute and Stark Law. All physician compensation arrangements, space or equipment leases with referring physicians, and joint ventures involving referral sources must be reviewed and approved by Legal Counsel and the Compliance Office before implementation.</w:t>
      </w:r>
    </w:p>
    <w:p>
      <w:pPr>
        <w:pStyle w:val="Heading1"/>
      </w:pPr>
      <w:r>
        <w:t>5. Fraud, Waste, and Abuse Prevention</w:t>
      </w:r>
    </w:p>
    <w:p>
      <w:r>
        <w:t>Employees involved in billing, coding, or documentation must never submit claims for services not rendered, upcode the severity of services provided, or falsify clinical documentation to support a higher level of billing. Any employee who becomes aware of suspected fraud, waste, or abuse must report it promptly through their supervisor or the Confidential Compliance Hotline.</w:t>
      </w:r>
    </w:p>
    <w:p>
      <w:pPr>
        <w:pStyle w:val="Heading1"/>
      </w:pPr>
      <w:r>
        <w:t>6. Research Integrity</w:t>
      </w:r>
    </w:p>
    <w:p>
      <w:r>
        <w:t>Staff and physicians participating in clinical research must comply with Institutional Review Board (IRB) requirements, obtain proper informed consent, and accurately report research data. Falsification or fabrication of research data is grounds for immediate termination and referral to applicable regulatory and professional licensing bodies.</w:t>
      </w:r>
    </w:p>
    <w:p>
      <w:pPr>
        <w:pStyle w:val="Heading1"/>
      </w:pPr>
      <w:r>
        <w:t>7. Social Media and Public Communication</w:t>
      </w:r>
    </w:p>
    <w:p>
      <w:r>
        <w:t>Employees may not post any patient information, including photographs, on personal or public social media accounts under any circumstances, even with the belief that identifying details have been removed. Employees speaking publicly about hospital matters must clearly identify their views as personal and not represent them as an official hospital position unless authorized by Communications.</w:t>
      </w:r>
    </w:p>
    <w:p>
      <w:pPr>
        <w:pStyle w:val="Heading1"/>
      </w:pPr>
      <w:r>
        <w:t>8. Reporting Violations</w:t>
      </w:r>
    </w:p>
    <w:p>
      <w:r>
        <w:t>Any suspected violation of this Code of Conduct should be reported to a supervisor, the Compliance and Ethics Office, or the Confidential Compliance Hotline, which is available 24/7 and allows anonymous reporting. Retaliation against anyone who reports a good-faith concern is strictly prohibited and is itself grounds for disciplinary action against the retaliator.</w:t>
      </w:r>
    </w:p>
    <w:p>
      <w:pPr>
        <w:pStyle w:val="Heading1"/>
      </w:pPr>
      <w:r>
        <w:t>9. Investigation Process</w:t>
      </w:r>
    </w:p>
    <w:p>
      <w:r>
        <w:t>All reports are investigated promptly and confidentially by the Compliance Office, involving Human Resources, Legal Counsel, or Security as appropriate to the nature of the allegation. Employees are expected to cooperate fully and honestly with any compliance investigation; providing false information during an investigation is itself a serious violation of this policy.</w:t>
      </w:r>
    </w:p>
    <w:p>
      <w:pPr>
        <w:pStyle w:val="Heading1"/>
      </w:pPr>
      <w:r>
        <w:t>Appendix A: Frequently Asked Questions</w:t>
      </w:r>
    </w:p>
    <w:p>
      <w:r>
        <w:t>Q: Can I accept a holiday gift basket from a long-term vendor? A: Only if the value is nominal (under $25) and shared among the department rather than given to a single individual; higher-value gifts must be declined or donated to a hospital charitable program.</w:t>
      </w:r>
    </w:p>
    <w:p>
      <w:r>
        <w:t>Q: What if I'm not sure whether something is a conflict of interest? A: Disclose it. The Compliance Office would rather review a borderline situation than have an undisclosed conflict discovered later.</w:t>
      </w:r>
    </w:p>
    <w:p>
      <w:r>
        <w:t>Q: Is the Compliance Hotline really anonymous? A: Yes, it is operated by an independent third party and does not capture caller identification unless the reporter chooses to identify themselves.</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May 20, 2019</w:t>
            </w:r>
          </w:p>
        </w:tc>
        <w:tc>
          <w:tcPr>
            <w:tcW w:type="dxa" w:w="2880"/>
          </w:tcPr>
          <w:p>
            <w:r>
              <w:t>Initial release</w:t>
            </w:r>
          </w:p>
        </w:tc>
      </w:tr>
      <w:tr>
        <w:tc>
          <w:tcPr>
            <w:tcW w:type="dxa" w:w="2880"/>
          </w:tcPr>
          <w:p>
            <w:r>
              <w:t>1.3</w:t>
            </w:r>
          </w:p>
        </w:tc>
        <w:tc>
          <w:tcPr>
            <w:tcW w:type="dxa" w:w="2880"/>
          </w:tcPr>
          <w:p>
            <w:r>
              <w:t>Oct 1, 2025</w:t>
            </w:r>
          </w:p>
        </w:tc>
        <w:tc>
          <w:tcPr>
            <w:tcW w:type="dxa" w:w="2880"/>
          </w:tcPr>
          <w:p>
            <w:r>
              <w:t>Updated gift value threshold and social media section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