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 Employee Orientation Guide</w:t>
      </w:r>
    </w:p>
    <w:p>
      <w:r>
        <w:rPr>
          <w:color w:val="444444"/>
          <w:sz w:val="18"/>
        </w:rPr>
        <w:t>Sunrise Medical Center</w:t>
      </w:r>
    </w:p>
    <w:p>
      <w:r>
        <w:rPr>
          <w:color w:val="444444"/>
          <w:sz w:val="18"/>
        </w:rPr>
        <w:t>Document Title: New Employee Orientation Guide</w:t>
      </w:r>
    </w:p>
    <w:p>
      <w:r>
        <w:rPr>
          <w:color w:val="444444"/>
          <w:sz w:val="18"/>
        </w:rPr>
        <w:t>Document ID: SMC-HR-005</w:t>
      </w:r>
    </w:p>
    <w:p>
      <w:r>
        <w:rPr>
          <w:color w:val="444444"/>
          <w:sz w:val="18"/>
        </w:rPr>
        <w:t>Department: Human Resources / Learning and Development</w:t>
      </w:r>
    </w:p>
    <w:p>
      <w:r>
        <w:rPr>
          <w:color w:val="444444"/>
          <w:sz w:val="18"/>
        </w:rPr>
        <w:t>Effective Date: March 1, 2021</w:t>
      </w:r>
    </w:p>
    <w:p>
      <w:r>
        <w:rPr>
          <w:color w:val="444444"/>
          <w:sz w:val="18"/>
        </w:rPr>
        <w:t>Last Revised: February 14, 2026</w:t>
      </w:r>
    </w:p>
    <w:p>
      <w:r>
        <w:rPr>
          <w:color w:val="444444"/>
          <w:sz w:val="18"/>
        </w:rPr>
        <w:t>Policy Owner: Director of Learning and Development, Samuel Torres</w:t>
      </w:r>
    </w:p>
    <w:p>
      <w:r>
        <w:rPr>
          <w:color w:val="444444"/>
          <w:sz w:val="18"/>
        </w:rPr>
        <w:t>Distribution: All Sunrise Medical Center Staff</w:t>
      </w:r>
    </w:p>
    <w:p>
      <w:r>
        <w:t>__________________________________________________________________________________________</w:t>
      </w:r>
    </w:p>
    <w:p>
      <w:pPr>
        <w:pStyle w:val="Heading1"/>
      </w:pPr>
      <w:r>
        <w:t>1. Purpose of Orientation</w:t>
      </w:r>
    </w:p>
    <w:p>
      <w:r>
        <w:t>This guide outlines the two-day New Employee Orientation (NEO) program required for all new hires before beginning departmental training. NEO ensures every employee, regardless of role, understands core hospital-wide expectations, safety requirements, and systems before entering a clinical or operational unit.</w:t>
      </w:r>
    </w:p>
    <w:p>
      <w:pPr>
        <w:pStyle w:val="Heading1"/>
      </w:pPr>
      <w:r>
        <w:t>2. Day One Agenda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Topic</w:t>
            </w:r>
          </w:p>
        </w:tc>
        <w:tc>
          <w:tcPr>
            <w:tcW w:type="dxa" w:w="2880"/>
          </w:tcPr>
          <w:p>
            <w:r>
              <w:t>Presenter</w:t>
            </w:r>
          </w:p>
        </w:tc>
      </w:tr>
      <w:tr>
        <w:tc>
          <w:tcPr>
            <w:tcW w:type="dxa" w:w="2880"/>
          </w:tcPr>
          <w:p>
            <w:r>
              <w:t>8:00 - 8:30 AM</w:t>
            </w:r>
          </w:p>
        </w:tc>
        <w:tc>
          <w:tcPr>
            <w:tcW w:type="dxa" w:w="2880"/>
          </w:tcPr>
          <w:p>
            <w:r>
              <w:t>Welcome and Hospital Mission/Values</w:t>
            </w:r>
          </w:p>
        </w:tc>
        <w:tc>
          <w:tcPr>
            <w:tcW w:type="dxa" w:w="2880"/>
          </w:tcPr>
          <w:p>
            <w:r>
              <w:t>CEO or designee</w:t>
            </w:r>
          </w:p>
        </w:tc>
      </w:tr>
      <w:tr>
        <w:tc>
          <w:tcPr>
            <w:tcW w:type="dxa" w:w="2880"/>
          </w:tcPr>
          <w:p>
            <w:r>
              <w:t>8:30 - 9:30 AM</w:t>
            </w:r>
          </w:p>
        </w:tc>
        <w:tc>
          <w:tcPr>
            <w:tcW w:type="dxa" w:w="2880"/>
          </w:tcPr>
          <w:p>
            <w:r>
              <w:t>HIPAA Privacy and Security Training</w:t>
            </w:r>
          </w:p>
        </w:tc>
        <w:tc>
          <w:tcPr>
            <w:tcW w:type="dxa" w:w="2880"/>
          </w:tcPr>
          <w:p>
            <w:r>
              <w:t>Compliance Office</w:t>
            </w:r>
          </w:p>
        </w:tc>
      </w:tr>
      <w:tr>
        <w:tc>
          <w:tcPr>
            <w:tcW w:type="dxa" w:w="2880"/>
          </w:tcPr>
          <w:p>
            <w:r>
              <w:t>9:30 - 10:30 AM</w:t>
            </w:r>
          </w:p>
        </w:tc>
        <w:tc>
          <w:tcPr>
            <w:tcW w:type="dxa" w:w="2880"/>
          </w:tcPr>
          <w:p>
            <w:r>
              <w:t>Patient Safety and National Patient Safety Goals</w:t>
            </w:r>
          </w:p>
        </w:tc>
        <w:tc>
          <w:tcPr>
            <w:tcW w:type="dxa" w:w="2880"/>
          </w:tcPr>
          <w:p>
            <w:r>
              <w:t>Quality Department</w:t>
            </w:r>
          </w:p>
        </w:tc>
      </w:tr>
      <w:tr>
        <w:tc>
          <w:tcPr>
            <w:tcW w:type="dxa" w:w="2880"/>
          </w:tcPr>
          <w:p>
            <w:r>
              <w:t>10:45 AM - 12:00 PM</w:t>
            </w:r>
          </w:p>
        </w:tc>
        <w:tc>
          <w:tcPr>
            <w:tcW w:type="dxa" w:w="2880"/>
          </w:tcPr>
          <w:p>
            <w:r>
              <w:t>Infection Prevention and Hand Hygiene</w:t>
            </w:r>
          </w:p>
        </w:tc>
        <w:tc>
          <w:tcPr>
            <w:tcW w:type="dxa" w:w="2880"/>
          </w:tcPr>
          <w:p>
            <w:r>
              <w:t>Infection Control</w:t>
            </w:r>
          </w:p>
        </w:tc>
      </w:tr>
      <w:tr>
        <w:tc>
          <w:tcPr>
            <w:tcW w:type="dxa" w:w="2880"/>
          </w:tcPr>
          <w:p>
            <w:r>
              <w:t>1:00 - 2:00 PM</w:t>
            </w:r>
          </w:p>
        </w:tc>
        <w:tc>
          <w:tcPr>
            <w:tcW w:type="dxa" w:w="2880"/>
          </w:tcPr>
          <w:p>
            <w:r>
              <w:t>Fire Safety and Emergency Codes</w:t>
            </w:r>
          </w:p>
        </w:tc>
        <w:tc>
          <w:tcPr>
            <w:tcW w:type="dxa" w:w="2880"/>
          </w:tcPr>
          <w:p>
            <w:r>
              <w:t>Facilities/Safety Officer</w:t>
            </w:r>
          </w:p>
        </w:tc>
      </w:tr>
      <w:tr>
        <w:tc>
          <w:tcPr>
            <w:tcW w:type="dxa" w:w="2880"/>
          </w:tcPr>
          <w:p>
            <w:r>
              <w:t>2:00 - 3:00 PM</w:t>
            </w:r>
          </w:p>
        </w:tc>
        <w:tc>
          <w:tcPr>
            <w:tcW w:type="dxa" w:w="2880"/>
          </w:tcPr>
          <w:p>
            <w:r>
              <w:t>Workplace Violence Prevention</w:t>
            </w:r>
          </w:p>
        </w:tc>
        <w:tc>
          <w:tcPr>
            <w:tcW w:type="dxa" w:w="2880"/>
          </w:tcPr>
          <w:p>
            <w:r>
              <w:t>Security Department</w:t>
            </w:r>
          </w:p>
        </w:tc>
      </w:tr>
      <w:tr>
        <w:tc>
          <w:tcPr>
            <w:tcW w:type="dxa" w:w="2880"/>
          </w:tcPr>
          <w:p>
            <w:r>
              <w:t>3:00 - 4:00 PM</w:t>
            </w:r>
          </w:p>
        </w:tc>
        <w:tc>
          <w:tcPr>
            <w:tcW w:type="dxa" w:w="2880"/>
          </w:tcPr>
          <w:p>
            <w:r>
              <w:t>Benefits Enrollment Walkthrough</w:t>
            </w:r>
          </w:p>
        </w:tc>
        <w:tc>
          <w:tcPr>
            <w:tcW w:type="dxa" w:w="2880"/>
          </w:tcPr>
          <w:p>
            <w:r>
              <w:t>HR Benefits Team</w:t>
            </w:r>
          </w:p>
        </w:tc>
      </w:tr>
    </w:tbl>
    <w:p>
      <w:pPr>
        <w:pStyle w:val="Heading1"/>
      </w:pPr>
      <w:r>
        <w:t>3. Day Two Agenda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Topic</w:t>
            </w:r>
          </w:p>
        </w:tc>
        <w:tc>
          <w:tcPr>
            <w:tcW w:type="dxa" w:w="2880"/>
          </w:tcPr>
          <w:p>
            <w:r>
              <w:t>Presenter</w:t>
            </w:r>
          </w:p>
        </w:tc>
      </w:tr>
      <w:tr>
        <w:tc>
          <w:tcPr>
            <w:tcW w:type="dxa" w:w="2880"/>
          </w:tcPr>
          <w:p>
            <w:r>
              <w:t>8:00 - 9:00 AM</w:t>
            </w:r>
          </w:p>
        </w:tc>
        <w:tc>
          <w:tcPr>
            <w:tcW w:type="dxa" w:w="2880"/>
          </w:tcPr>
          <w:p>
            <w:r>
              <w:t>Electronic Health Record System Basics</w:t>
            </w:r>
          </w:p>
        </w:tc>
        <w:tc>
          <w:tcPr>
            <w:tcW w:type="dxa" w:w="2880"/>
          </w:tcPr>
          <w:p>
            <w:r>
              <w:t>IT Training Team</w:t>
            </w:r>
          </w:p>
        </w:tc>
      </w:tr>
      <w:tr>
        <w:tc>
          <w:tcPr>
            <w:tcW w:type="dxa" w:w="2880"/>
          </w:tcPr>
          <w:p>
            <w:r>
              <w:t>9:00 - 10:00 AM</w:t>
            </w:r>
          </w:p>
        </w:tc>
        <w:tc>
          <w:tcPr>
            <w:tcW w:type="dxa" w:w="2880"/>
          </w:tcPr>
          <w:p>
            <w:r>
              <w:t>Medication Safety Fundamentals</w:t>
            </w:r>
          </w:p>
        </w:tc>
        <w:tc>
          <w:tcPr>
            <w:tcW w:type="dxa" w:w="2880"/>
          </w:tcPr>
          <w:p>
            <w:r>
              <w:t>Pharmacy</w:t>
            </w:r>
          </w:p>
        </w:tc>
      </w:tr>
      <w:tr>
        <w:tc>
          <w:tcPr>
            <w:tcW w:type="dxa" w:w="2880"/>
          </w:tcPr>
          <w:p>
            <w:r>
              <w:t>10:15 - 11:15 AM</w:t>
            </w:r>
          </w:p>
        </w:tc>
        <w:tc>
          <w:tcPr>
            <w:tcW w:type="dxa" w:w="2880"/>
          </w:tcPr>
          <w:p>
            <w:r>
              <w:t>Cultural Competency and Health Equity</w:t>
            </w:r>
          </w:p>
        </w:tc>
        <w:tc>
          <w:tcPr>
            <w:tcW w:type="dxa" w:w="2880"/>
          </w:tcPr>
          <w:p>
            <w:r>
              <w:t>Diversity and Inclusion Office</w:t>
            </w:r>
          </w:p>
        </w:tc>
      </w:tr>
      <w:tr>
        <w:tc>
          <w:tcPr>
            <w:tcW w:type="dxa" w:w="2880"/>
          </w:tcPr>
          <w:p>
            <w:r>
              <w:t>11:15 AM - 12:00 PM</w:t>
            </w:r>
          </w:p>
        </w:tc>
        <w:tc>
          <w:tcPr>
            <w:tcW w:type="dxa" w:w="2880"/>
          </w:tcPr>
          <w:p>
            <w:r>
              <w:t>Employee Wellness and EAP Overview</w:t>
            </w:r>
          </w:p>
        </w:tc>
        <w:tc>
          <w:tcPr>
            <w:tcW w:type="dxa" w:w="2880"/>
          </w:tcPr>
          <w:p>
            <w:r>
              <w:t>Employee Wellness</w:t>
            </w:r>
          </w:p>
        </w:tc>
      </w:tr>
      <w:tr>
        <w:tc>
          <w:tcPr>
            <w:tcW w:type="dxa" w:w="2880"/>
          </w:tcPr>
          <w:p>
            <w:r>
              <w:t>1:00 - 2:30 PM</w:t>
            </w:r>
          </w:p>
        </w:tc>
        <w:tc>
          <w:tcPr>
            <w:tcW w:type="dxa" w:w="2880"/>
          </w:tcPr>
          <w:p>
            <w:r>
              <w:t>Department-Specific Badge Access and Building Tour</w:t>
            </w:r>
          </w:p>
        </w:tc>
        <w:tc>
          <w:tcPr>
            <w:tcW w:type="dxa" w:w="2880"/>
          </w:tcPr>
          <w:p>
            <w:r>
              <w:t>Facilities/Security</w:t>
            </w:r>
          </w:p>
        </w:tc>
      </w:tr>
      <w:tr>
        <w:tc>
          <w:tcPr>
            <w:tcW w:type="dxa" w:w="2880"/>
          </w:tcPr>
          <w:p>
            <w:r>
              <w:t>2:30 - 4:00 PM</w:t>
            </w:r>
          </w:p>
        </w:tc>
        <w:tc>
          <w:tcPr>
            <w:tcW w:type="dxa" w:w="2880"/>
          </w:tcPr>
          <w:p>
            <w:r>
              <w:t>Manager Meet and Greet, Q&amp;A</w:t>
            </w:r>
          </w:p>
        </w:tc>
        <w:tc>
          <w:tcPr>
            <w:tcW w:type="dxa" w:w="2880"/>
          </w:tcPr>
          <w:p>
            <w:r>
              <w:t>Hiring Manager</w:t>
            </w:r>
          </w:p>
        </w:tc>
      </w:tr>
    </w:tbl>
    <w:p>
      <w:pPr>
        <w:pStyle w:val="Heading1"/>
      </w:pPr>
      <w:r>
        <w:t>4. Hospital-Wide Codes Quick Reference</w:t>
      </w:r>
    </w:p>
    <w:p>
      <w:r>
        <w:t>Every new employee must memorize the hospital's overhead emergency codes before completing orientation, as these are used hospital-wide and staff are expected to respond appropriately regardless of their department.</w:t>
      </w:r>
    </w:p>
    <w:p>
      <w:pPr>
        <w:pStyle w:val="ListBullet"/>
      </w:pPr>
      <w:r>
        <w:t>Code Blue: Adult cardiac or respiratory arrest</w:t>
      </w:r>
    </w:p>
    <w:p>
      <w:pPr>
        <w:pStyle w:val="ListBullet"/>
      </w:pPr>
      <w:r>
        <w:t>Code Red: Fire</w:t>
      </w:r>
    </w:p>
    <w:p>
      <w:pPr>
        <w:pStyle w:val="ListBullet"/>
      </w:pPr>
      <w:r>
        <w:t>Code Silver: Weapon or hostage situation</w:t>
      </w:r>
    </w:p>
    <w:p>
      <w:pPr>
        <w:pStyle w:val="ListBullet"/>
      </w:pPr>
      <w:r>
        <w:t>Code Gray: Combative person / need for assistance</w:t>
      </w:r>
    </w:p>
    <w:p>
      <w:pPr>
        <w:pStyle w:val="ListBullet"/>
      </w:pPr>
      <w:r>
        <w:t>Code Pink: Infant or child abduction</w:t>
      </w:r>
    </w:p>
    <w:p>
      <w:pPr>
        <w:pStyle w:val="ListBullet"/>
      </w:pPr>
      <w:r>
        <w:t>Code Orange: Hazardous material spill</w:t>
      </w:r>
    </w:p>
    <w:p>
      <w:pPr>
        <w:pStyle w:val="ListBullet"/>
      </w:pPr>
      <w:r>
        <w:t>Code Black: Severe weather or bomb threat</w:t>
      </w:r>
    </w:p>
    <w:p>
      <w:pPr>
        <w:pStyle w:val="ListBullet"/>
      </w:pPr>
      <w:r>
        <w:t>Code Triage: Mass casualty / disaster activation</w:t>
      </w:r>
    </w:p>
    <w:p>
      <w:pPr>
        <w:pStyle w:val="Heading1"/>
      </w:pPr>
      <w:r>
        <w:t>5. Badge and System Access</w:t>
      </w:r>
    </w:p>
    <w:p>
      <w:r>
        <w:t>New employees receive their hospital ID badge and system credentials on Day One, provisioned according to their role-based access profile. Badge access to clinical units, medication rooms, and restricted areas is granted only after the employee's manager confirms required training has been completed, which may occur after orientation for some restricted areas.</w:t>
      </w:r>
    </w:p>
    <w:p>
      <w:pPr>
        <w:pStyle w:val="Heading1"/>
      </w:pPr>
      <w:r>
        <w:t>6. Probationary Period</w:t>
      </w:r>
    </w:p>
    <w:p>
      <w:r>
        <w:t>All new employees serve a 90-day introductory period during which performance and fit are actively evaluated by the hiring manager. Formal check-ins occur at 30, 60, and 90 days. Benefits eligibility timelines are not affected by the introductory period and follow the standard schedule described in the Employee Handbook.</w:t>
      </w:r>
    </w:p>
    <w:p>
      <w:pPr>
        <w:pStyle w:val="Heading1"/>
      </w:pPr>
      <w:r>
        <w:t>7. Required Post-Orientation Competencies</w:t>
      </w:r>
    </w:p>
    <w:p>
      <w:r>
        <w:t>Following NEO, employees proceed to department-specific onboarding, which includes hands-on competency validation for role-specific equipment and procedures, shadowing shifts with a preceptor, and completion of any unit-specific e-learning modules assigned in the Learning Management System within the first 30 days.</w:t>
      </w:r>
    </w:p>
    <w:p>
      <w:pPr>
        <w:pStyle w:val="Heading1"/>
      </w:pPr>
      <w:r>
        <w:t>Appendix A: Frequently Asked Questions</w:t>
      </w:r>
    </w:p>
    <w:p>
      <w:r>
        <w:t>Q: What should I bring on my first day? A: A government-issued photo ID and any documents requested by HR for I-9 verification; comfortable closed-toe shoes are required for the facility tour.</w:t>
      </w:r>
    </w:p>
    <w:p>
      <w:r>
        <w:t>Q: What if I miss part of orientation due to illness? A: Contact HR Learning and Development immediately to be rescheduled into the missed session with the next available cohort before beginning unit-specific training.</w:t>
      </w:r>
    </w:p>
    <w:p>
      <w:r>
        <w:t>Q: When do I get my parking permit? A: Parking permits are issued by Facilities during the Day Two building tour, tied to your assigned badge.</w:t>
      </w:r>
    </w:p>
    <w:p>
      <w:r>
        <w:t>Q: Is orientation paid time? A: Yes, orientation is treated as regular paid working time for all new hires.</w:t>
      </w:r>
    </w:p>
    <w:p>
      <w:r>
        <w:br w:type="page"/>
      </w:r>
    </w:p>
    <w:p>
      <w:pPr>
        <w:pStyle w:val="Heading1"/>
      </w:pPr>
      <w:r>
        <w:t>Revision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Description</w:t>
            </w:r>
          </w:p>
        </w:tc>
      </w:tr>
      <w:tr>
        <w:tc>
          <w:tcPr>
            <w:tcW w:type="dxa" w:w="2880"/>
          </w:tcPr>
          <w:p>
            <w:r>
              <w:t>1.0</w:t>
            </w:r>
          </w:p>
        </w:tc>
        <w:tc>
          <w:tcPr>
            <w:tcW w:type="dxa" w:w="2880"/>
          </w:tcPr>
          <w:p>
            <w:r>
              <w:t>Mar 1, 2021</w:t>
            </w:r>
          </w:p>
        </w:tc>
        <w:tc>
          <w:tcPr>
            <w:tcW w:type="dxa" w:w="2880"/>
          </w:tcPr>
          <w:p>
            <w:r>
              <w:t>Initial release</w:t>
            </w:r>
          </w:p>
        </w:tc>
      </w:tr>
      <w:tr>
        <w:tc>
          <w:tcPr>
            <w:tcW w:type="dxa" w:w="2880"/>
          </w:tcPr>
          <w:p>
            <w:r>
              <w:t>1.2</w:t>
            </w:r>
          </w:p>
        </w:tc>
        <w:tc>
          <w:tcPr>
            <w:tcW w:type="dxa" w:w="2880"/>
          </w:tcPr>
          <w:p>
            <w:r>
              <w:t>Feb 14, 2026</w:t>
            </w:r>
          </w:p>
        </w:tc>
        <w:tc>
          <w:tcPr>
            <w:tcW w:type="dxa" w:w="2880"/>
          </w:tcPr>
          <w:p>
            <w:r>
              <w:t>Updated agenda times and added Cultural Competency session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