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Admission and Registration Procedure</w:t>
      </w:r>
    </w:p>
    <w:p>
      <w:r>
        <w:rPr>
          <w:color w:val="444444"/>
          <w:sz w:val="18"/>
        </w:rPr>
        <w:t>Sunrise Medical Center</w:t>
      </w:r>
    </w:p>
    <w:p>
      <w:r>
        <w:rPr>
          <w:color w:val="444444"/>
          <w:sz w:val="18"/>
        </w:rPr>
        <w:t>Document Title: Patient Admission and Registration Procedure</w:t>
      </w:r>
    </w:p>
    <w:p>
      <w:r>
        <w:rPr>
          <w:color w:val="444444"/>
          <w:sz w:val="18"/>
        </w:rPr>
        <w:t>Document ID: SMC-REG-007</w:t>
      </w:r>
    </w:p>
    <w:p>
      <w:r>
        <w:rPr>
          <w:color w:val="444444"/>
          <w:sz w:val="18"/>
        </w:rPr>
        <w:t>Department: Patient Access Services</w:t>
      </w:r>
    </w:p>
    <w:p>
      <w:r>
        <w:rPr>
          <w:color w:val="444444"/>
          <w:sz w:val="18"/>
        </w:rPr>
        <w:t>Effective Date: June 3, 2020</w:t>
      </w:r>
    </w:p>
    <w:p>
      <w:r>
        <w:rPr>
          <w:color w:val="444444"/>
          <w:sz w:val="18"/>
        </w:rPr>
        <w:t>Last Revised: August 19, 2025</w:t>
      </w:r>
    </w:p>
    <w:p>
      <w:r>
        <w:rPr>
          <w:color w:val="444444"/>
          <w:sz w:val="18"/>
        </w:rPr>
        <w:t>Policy Owner: Director of Patient Access Services, Naomi Chen</w:t>
      </w:r>
    </w:p>
    <w:p>
      <w:r>
        <w:rPr>
          <w:color w:val="444444"/>
          <w:sz w:val="18"/>
        </w:rPr>
        <w:t>Distribution: All Sunrise Medical Center Staff</w:t>
      </w:r>
    </w:p>
    <w:p>
      <w:r>
        <w:t>__________________________________________________________________________________________</w:t>
      </w:r>
    </w:p>
    <w:p>
      <w:pPr>
        <w:pStyle w:val="Heading1"/>
      </w:pPr>
      <w:r>
        <w:t>1. Purpose</w:t>
      </w:r>
    </w:p>
    <w:p>
      <w:r>
        <w:t>This procedure standardizes the patient admission and registration process across all entry points at Sunrise Medical Center, including the Emergency Department, scheduled surgical admissions, direct physician admissions, and inter-facility transfers, to ensure accurate patient identification, insurance verification, and consent documentation.</w:t>
      </w:r>
    </w:p>
    <w:p>
      <w:pPr>
        <w:pStyle w:val="Heading1"/>
      </w:pPr>
      <w:r>
        <w:t>2. Patient Identification Standards</w:t>
      </w:r>
    </w:p>
    <w:p>
      <w:r>
        <w:t>Registration staff must confirm patient identity using at least two identifiers — full legal name and date of birth — at every registration encounter, cross-checked against a government-issued photo ID or, in emergent situations, against EMS-provided or family-provided information with a temporary identification band applied pending confirmation.</w:t>
      </w:r>
    </w:p>
    <w:p>
      <w:pPr>
        <w:pStyle w:val="Heading1"/>
      </w:pPr>
      <w:r>
        <w:t>3. Emergency Department Registration</w:t>
      </w:r>
    </w:p>
    <w:p>
      <w:r>
        <w:t>Registration for emergency patients occurs at bedside whenever clinically appropriate and never delays triage or treatment, consistent with EMTALA requirements. A temporary medical record number is generated immediately for unidentified patients, with full registration completed once identity is established, and duplicate record merges processed by the Health Information Management team within 24 hours.</w:t>
      </w:r>
    </w:p>
    <w:p>
      <w:pPr>
        <w:pStyle w:val="ListNumber"/>
      </w:pPr>
      <w:r>
        <w:t>Complete bedside registration using the mobile registration tablet within 15 minutes of patient arrival when the patient is stable and identifiable.</w:t>
      </w:r>
    </w:p>
    <w:p>
      <w:pPr>
        <w:pStyle w:val="ListNumber"/>
      </w:pPr>
      <w:r>
        <w:t>Scan and verify photo identification and insurance card, or document the reason verification could not be completed.</w:t>
      </w:r>
    </w:p>
    <w:p>
      <w:pPr>
        <w:pStyle w:val="ListNumber"/>
      </w:pPr>
      <w:r>
        <w:t>Obtain and witness signature on the Conditions of Admission and Consent to Treat form.</w:t>
      </w:r>
    </w:p>
    <w:p>
      <w:pPr>
        <w:pStyle w:val="ListNumber"/>
      </w:pPr>
      <w:r>
        <w:t>Provide the patient with the Notice of Privacy Practices and document acknowledgment or refusal.</w:t>
      </w:r>
    </w:p>
    <w:p>
      <w:pPr>
        <w:pStyle w:val="ListNumber"/>
      </w:pPr>
      <w:r>
        <w:t>Apply the patient identification wristband and verify the printed information against the identification source before leaving bedside.</w:t>
      </w:r>
    </w:p>
    <w:p>
      <w:pPr>
        <w:pStyle w:val="Heading1"/>
      </w:pPr>
      <w:r>
        <w:t>4. Scheduled Admissions</w:t>
      </w:r>
    </w:p>
    <w:p>
      <w:r>
        <w:t>Scheduled surgical and direct admissions are pre-registered by the Patient Access Call Center at least 48 hours in advance whenever possible, including insurance verification, prior authorization confirmation, and estimated patient financial responsibility disclosure. Patients arriving for scheduled admission complete final identity verification and signature collection at the Patient Access desk before proceeding to the pre-operative or admitting unit.</w:t>
      </w:r>
    </w:p>
    <w:p>
      <w:pPr>
        <w:pStyle w:val="Heading1"/>
      </w:pPr>
      <w:r>
        <w:t>5. Insurance Verification</w:t>
      </w:r>
    </w:p>
    <w:p>
      <w:r>
        <w:t>All active insurance coverage must be verified electronically through the payer eligibility system at the time of registration, including confirmation of active status, applicable copay or deductible amounts, and whether prior authorization has been obtained for the planned service. Self-pay patients are referred to a Financial Counselor before or immediately after admission to discuss payment options and financial assistance eligibility.</w:t>
      </w:r>
    </w:p>
    <w:p>
      <w:pPr>
        <w:pStyle w:val="Heading1"/>
      </w:pPr>
      <w:r>
        <w:t>6. Consent Documentation</w:t>
      </w:r>
    </w:p>
    <w:p>
      <w:r>
        <w:t>General Conditions of Admission consent covers routine care; procedure-specific informed consent for surgery, anesthesia, or invasive procedures is obtained separately by the performing physician or a qualified designee, never by registration staff. Registration staff verify that required procedure-specific consents are present in the chart before the patient proceeds to a procedural area, and escalate to the charge nurse if any consent is missing.</w:t>
      </w:r>
    </w:p>
    <w:p>
      <w:pPr>
        <w:pStyle w:val="Heading1"/>
      </w:pPr>
      <w:r>
        <w:t>7. Minors and Unaccompanied Patients</w:t>
      </w:r>
    </w:p>
    <w:p>
      <w:r>
        <w:t>Patients under 18 require a parent or legal guardian to complete registration and sign consent forms, except in emergency situations or where state law permits minor consent for specific services (such as reproductive health or substance use treatment). Registration staff must verify guardianship documentation for foster children or those under state custody before finalizing registration.</w:t>
      </w:r>
    </w:p>
    <w:p>
      <w:pPr>
        <w:pStyle w:val="Heading1"/>
      </w:pPr>
      <w:r>
        <w:t>8. Language Access and Communication</w:t>
      </w:r>
    </w:p>
    <w:p>
      <w:r>
        <w:t>Patients with limited English proficiency or communication disabilities must be offered professional interpreter services, either in-person or via the video/phone interpreter platform, before any consent form is signed. Family members, especially minors, must never be used as interpreters for consent or clinical discussions.</w:t>
      </w:r>
    </w:p>
    <w:p>
      <w:pPr>
        <w:pStyle w:val="Heading1"/>
      </w:pPr>
      <w:r>
        <w:t>9.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Registration Specialist</w:t>
            </w:r>
          </w:p>
        </w:tc>
        <w:tc>
          <w:tcPr>
            <w:tcW w:type="dxa" w:w="4320"/>
          </w:tcPr>
          <w:p>
            <w:r>
              <w:t>Identity verification, consent collection, wristband application</w:t>
            </w:r>
          </w:p>
        </w:tc>
      </w:tr>
      <w:tr>
        <w:tc>
          <w:tcPr>
            <w:tcW w:type="dxa" w:w="4320"/>
          </w:tcPr>
          <w:p>
            <w:r>
              <w:t>Financial Counselor</w:t>
            </w:r>
          </w:p>
        </w:tc>
        <w:tc>
          <w:tcPr>
            <w:tcW w:type="dxa" w:w="4320"/>
          </w:tcPr>
          <w:p>
            <w:r>
              <w:t>Insurance verification, self-pay financial assistance screening</w:t>
            </w:r>
          </w:p>
        </w:tc>
      </w:tr>
      <w:tr>
        <w:tc>
          <w:tcPr>
            <w:tcW w:type="dxa" w:w="4320"/>
          </w:tcPr>
          <w:p>
            <w:r>
              <w:t>Charge Nurse</w:t>
            </w:r>
          </w:p>
        </w:tc>
        <w:tc>
          <w:tcPr>
            <w:tcW w:type="dxa" w:w="4320"/>
          </w:tcPr>
          <w:p>
            <w:r>
              <w:t>Verifying procedure-specific consent presence before procedures</w:t>
            </w:r>
          </w:p>
        </w:tc>
      </w:tr>
      <w:tr>
        <w:tc>
          <w:tcPr>
            <w:tcW w:type="dxa" w:w="4320"/>
          </w:tcPr>
          <w:p>
            <w:r>
              <w:t>Health Information Management</w:t>
            </w:r>
          </w:p>
        </w:tc>
        <w:tc>
          <w:tcPr>
            <w:tcW w:type="dxa" w:w="4320"/>
          </w:tcPr>
          <w:p>
            <w:r>
              <w:t>Duplicate record identification and merge processing</w:t>
            </w:r>
          </w:p>
        </w:tc>
      </w:tr>
    </w:tbl>
    <w:p>
      <w:pPr>
        <w:pStyle w:val="Heading1"/>
      </w:pPr>
      <w:r>
        <w:t>Appendix A: Frequently Asked Questions</w:t>
      </w:r>
    </w:p>
    <w:p>
      <w:r>
        <w:t>Q: What if a patient refuses to provide identification? A: Document the refusal, proceed with available identifying information, and notify the charge nurse; care is never withheld or delayed for lack of identification in an emergency.</w:t>
      </w:r>
    </w:p>
    <w:p>
      <w:r>
        <w:t>Q: Can registration be completed after the patient has already been taken to a treatment area? A: Yes, particularly in trauma or resuscitation cases; registration staff proceed to bedside once the clinical team confirms it is safe to do so.</w:t>
      </w:r>
    </w:p>
    <w:p>
      <w:r>
        <w:t>Q: What if insurance cannot be verified electronically? A: Contact the payer directly by phone and document the verification attempt; proceed with registration and flag the account for financial counseling follow-up.</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Jun 3, 2020</w:t>
            </w:r>
          </w:p>
        </w:tc>
        <w:tc>
          <w:tcPr>
            <w:tcW w:type="dxa" w:w="2880"/>
          </w:tcPr>
          <w:p>
            <w:r>
              <w:t>Initial release</w:t>
            </w:r>
          </w:p>
        </w:tc>
      </w:tr>
      <w:tr>
        <w:tc>
          <w:tcPr>
            <w:tcW w:type="dxa" w:w="2880"/>
          </w:tcPr>
          <w:p>
            <w:r>
              <w:t>1.2</w:t>
            </w:r>
          </w:p>
        </w:tc>
        <w:tc>
          <w:tcPr>
            <w:tcW w:type="dxa" w:w="2880"/>
          </w:tcPr>
          <w:p>
            <w:r>
              <w:t>Aug 19, 2025</w:t>
            </w:r>
          </w:p>
        </w:tc>
        <w:tc>
          <w:tcPr>
            <w:tcW w:type="dxa" w:w="2880"/>
          </w:tcPr>
          <w:p>
            <w:r>
              <w:t>Updated interpreter services requirement and minor consent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