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Patient Discharge Planning Procedure</w:t>
      </w:r>
    </w:p>
    <w:p>
      <w:r>
        <w:rPr>
          <w:color w:val="444444"/>
          <w:sz w:val="18"/>
        </w:rPr>
        <w:t>Sunrise Medical Center</w:t>
      </w:r>
    </w:p>
    <w:p>
      <w:r>
        <w:rPr>
          <w:color w:val="444444"/>
          <w:sz w:val="18"/>
        </w:rPr>
        <w:t>Document Title: Patient Discharge Planning Procedure</w:t>
      </w:r>
    </w:p>
    <w:p>
      <w:r>
        <w:rPr>
          <w:color w:val="444444"/>
          <w:sz w:val="18"/>
        </w:rPr>
        <w:t>Document ID: SMC-CM-013</w:t>
      </w:r>
    </w:p>
    <w:p>
      <w:r>
        <w:rPr>
          <w:color w:val="444444"/>
          <w:sz w:val="18"/>
        </w:rPr>
        <w:t>Department: Case Management / Social Work</w:t>
      </w:r>
    </w:p>
    <w:p>
      <w:r>
        <w:rPr>
          <w:color w:val="444444"/>
          <w:sz w:val="18"/>
        </w:rPr>
        <w:t>Effective Date: October 4, 2021</w:t>
      </w:r>
    </w:p>
    <w:p>
      <w:r>
        <w:rPr>
          <w:color w:val="444444"/>
          <w:sz w:val="18"/>
        </w:rPr>
        <w:t>Last Revised: June 27, 2025</w:t>
      </w:r>
    </w:p>
    <w:p>
      <w:r>
        <w:rPr>
          <w:color w:val="444444"/>
          <w:sz w:val="18"/>
        </w:rPr>
        <w:t>Policy Owner: Director of Case Management, Beatriz Souza</w:t>
      </w:r>
    </w:p>
    <w:p>
      <w:r>
        <w:rPr>
          <w:color w:val="444444"/>
          <w:sz w:val="18"/>
        </w:rPr>
        <w:t>Distribution: All Sunrise Medical Center Staff</w:t>
      </w:r>
    </w:p>
    <w:p>
      <w:r>
        <w:t>__________________________________________________________________________________________</w:t>
      </w:r>
    </w:p>
    <w:p>
      <w:pPr>
        <w:pStyle w:val="Heading1"/>
      </w:pPr>
      <w:r>
        <w:t>1. Purpose</w:t>
      </w:r>
    </w:p>
    <w:p>
      <w:r>
        <w:t>This procedure ensures every patient has a safe, medically appropriate, and well-communicated discharge plan, reducing preventable readmissions and ensuring compliance with CMS Conditions of Participation for discharge planning.</w:t>
      </w:r>
    </w:p>
    <w:p>
      <w:pPr>
        <w:pStyle w:val="Heading1"/>
      </w:pPr>
      <w:r>
        <w:t>2. Discharge Planning Timeline</w:t>
      </w:r>
    </w:p>
    <w:p>
      <w:r>
        <w:t>Discharge planning begins within 24 hours of admission for all inpatients, not on the day of anticipated discharge. Case Management performs an initial risk screening to identify patients likely to need post-acute services, durable medical equipment, or complex care coordination, allowing time to arrange these services before the physician determines the patient is medically ready for discharge.</w:t>
      </w:r>
    </w:p>
    <w:p>
      <w:pPr>
        <w:pStyle w:val="Heading1"/>
      </w:pPr>
      <w:r>
        <w:t>3. Multidisciplinary Discharge Rounds</w:t>
      </w:r>
    </w:p>
    <w:p>
      <w:r>
        <w:t>Each unit holds daily multidisciplinary rounds including the attending physician, bedside nurse, case manager, social worker, and pharmacist to review anticipated discharge needs, barriers, and target discharge date. Any patient with an anticipated discharge date more than 24 hours away from actual readiness is flagged for barrier resolution by the charge nurse and case manager.</w:t>
      </w:r>
    </w:p>
    <w:p>
      <w:pPr>
        <w:pStyle w:val="Heading1"/>
      </w:pPr>
      <w:r>
        <w:t>4. Post-Acute Care Coordination</w:t>
      </w:r>
    </w:p>
    <w:p>
      <w:r>
        <w:t>Patients requiring skilled nursing facility placement, home health services, hospice, or durable medical equipment are referred by Case Management using the hospital's approved post-acute provider network, with patient choice honored per CMS requirements. Case Management must provide the patient with a list of at least three Medicare-certified options in the requested category whenever available in the service area.</w:t>
      </w:r>
    </w:p>
    <w:p>
      <w:pPr>
        <w:pStyle w:val="Heading1"/>
      </w:pPr>
      <w:r>
        <w:t>5. Medication Reconciliation at Discharge</w:t>
      </w:r>
    </w:p>
    <w:p>
      <w:r>
        <w:t>Pharmacy or the discharging provider completes medication reconciliation comparing home medications, inpatient medications, and new discharge prescriptions, resolving any discrepancies before the patient leaves the unit. Discharge medication lists must be written in plain language and reviewed verbally with the patient or caregiver using the teach-back method.</w:t>
      </w:r>
    </w:p>
    <w:p>
      <w:pPr>
        <w:pStyle w:val="Heading1"/>
      </w:pPr>
      <w:r>
        <w:t>6. Discharge Instructions and Teach-Back</w:t>
      </w:r>
    </w:p>
    <w:p>
      <w:r>
        <w:t>Nursing staff review written discharge instructions covering diagnosis, medications, follow-up appointments, diet and activity restrictions, and warning signs requiring return to care, using teach-back to confirm patient and caregiver understanding rather than simply asking if there are questions.</w:t>
      </w:r>
    </w:p>
    <w:p>
      <w:pPr>
        <w:pStyle w:val="ListNumber"/>
      </w:pPr>
      <w:r>
        <w:t>Confirm the patient or caregiver can state, in their own words, the reason for hospitalization and key diagnosis.</w:t>
      </w:r>
    </w:p>
    <w:p>
      <w:pPr>
        <w:pStyle w:val="ListNumber"/>
      </w:pPr>
      <w:r>
        <w:t>Confirm understanding of new or changed medications, including purpose and how to take them.</w:t>
      </w:r>
    </w:p>
    <w:p>
      <w:pPr>
        <w:pStyle w:val="ListNumber"/>
      </w:pPr>
      <w:r>
        <w:t>Confirm the patient has a scheduled or arranged follow-up appointment, ideally within 7 days for high-risk conditions.</w:t>
      </w:r>
    </w:p>
    <w:p>
      <w:pPr>
        <w:pStyle w:val="ListNumber"/>
      </w:pPr>
      <w:r>
        <w:t>Confirm the patient knows specific symptoms that should prompt a return to the Emergency Department.</w:t>
      </w:r>
    </w:p>
    <w:p>
      <w:pPr>
        <w:pStyle w:val="ListNumber"/>
      </w:pPr>
      <w:r>
        <w:t>Provide written instructions in the patient's preferred language, using interpreter services for verbal review if needed.</w:t>
      </w:r>
    </w:p>
    <w:p>
      <w:pPr>
        <w:pStyle w:val="Heading1"/>
      </w:pPr>
      <w:r>
        <w:t>7. High-Risk Readmission Patients</w:t>
      </w:r>
    </w:p>
    <w:p>
      <w:r>
        <w:t>Patients with heart failure, COPD, or a prior 30-day readmission are automatically flagged for the Transitional Care Program, which includes a follow-up phone call within 48 hours of discharge and, when available, a home visit within 7 days coordinated by the Transitional Care nurse.</w:t>
      </w:r>
    </w:p>
    <w:p>
      <w:pPr>
        <w:pStyle w:val="Heading1"/>
      </w:pPr>
      <w:r>
        <w:t>8. Against Medical Advice (AMA) Discharges</w:t>
      </w:r>
    </w:p>
    <w:p>
      <w:r>
        <w:t>Patients who wish to leave before the physician recommends discharge must be evaluated for decision-making capacity, informed of the risks of leaving, and offered the opportunity to sign the AMA form. Discharge planning support, including medication prescriptions and follow-up recommendations, should still be offered to AMA patients whenever safely possible rather than withheld.</w:t>
      </w:r>
    </w:p>
    <w:p>
      <w:pPr>
        <w:pStyle w:val="Heading1"/>
      </w:pPr>
      <w:r>
        <w:t>Appendix A: Frequently Asked Questions</w:t>
      </w:r>
    </w:p>
    <w:p>
      <w:r>
        <w:t>Q: What if a patient refuses all recommended post-acute placement options? A: Document the refusal and clinical risks discussed; the patient retains the right to discharge to a less supported setting if they have decision-making capacity, but the conversation and risks must be clearly documented.</w:t>
      </w:r>
    </w:p>
    <w:p>
      <w:r>
        <w:t>Q: How is transportation arranged for patients without a ride home? A: Case Management coordinates with Social Work and, where medically necessary, arranges non-emergency medical transport; family and rideshare options are also discussed with the patient.</w:t>
      </w:r>
    </w:p>
    <w:p>
      <w:r>
        <w:t>Q: What happens if a skilled nursing facility bed isn't available on the planned discharge day? A: The patient remains hospitalized under continued physician orders while Case Management continues placement efforts; this delay is documented as a discharge barrier in the daily rounds tracking tool.</w:t>
      </w:r>
    </w:p>
    <w:p>
      <w:r>
        <w:br w:type="page"/>
      </w:r>
    </w:p>
    <w:p>
      <w:pPr>
        <w:pStyle w:val="Heading1"/>
      </w:pPr>
      <w:r>
        <w:t>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Description</w:t>
            </w:r>
          </w:p>
        </w:tc>
      </w:tr>
      <w:tr>
        <w:tc>
          <w:tcPr>
            <w:tcW w:type="dxa" w:w="2880"/>
          </w:tcPr>
          <w:p>
            <w:r>
              <w:t>1.0</w:t>
            </w:r>
          </w:p>
        </w:tc>
        <w:tc>
          <w:tcPr>
            <w:tcW w:type="dxa" w:w="2880"/>
          </w:tcPr>
          <w:p>
            <w:r>
              <w:t>Oct 4, 2021</w:t>
            </w:r>
          </w:p>
        </w:tc>
        <w:tc>
          <w:tcPr>
            <w:tcW w:type="dxa" w:w="2880"/>
          </w:tcPr>
          <w:p>
            <w:r>
              <w:t>Initial release</w:t>
            </w:r>
          </w:p>
        </w:tc>
      </w:tr>
      <w:tr>
        <w:tc>
          <w:tcPr>
            <w:tcW w:type="dxa" w:w="2880"/>
          </w:tcPr>
          <w:p>
            <w:r>
              <w:t>1.2</w:t>
            </w:r>
          </w:p>
        </w:tc>
        <w:tc>
          <w:tcPr>
            <w:tcW w:type="dxa" w:w="2880"/>
          </w:tcPr>
          <w:p>
            <w:r>
              <w:t>Jun 27, 2025</w:t>
            </w:r>
          </w:p>
        </w:tc>
        <w:tc>
          <w:tcPr>
            <w:tcW w:type="dxa" w:w="2880"/>
          </w:tcPr>
          <w:p>
            <w:r>
              <w:t>Added Transitional Care Program section for high-risk readmission patients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