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Medicine Storage and Controlled Substances Policy</w:t>
      </w:r>
    </w:p>
    <w:p>
      <w:r>
        <w:rPr>
          <w:color w:val="444444"/>
          <w:sz w:val="18"/>
        </w:rPr>
        <w:t>Sunrise Medical Center</w:t>
      </w:r>
    </w:p>
    <w:p>
      <w:r>
        <w:rPr>
          <w:color w:val="444444"/>
          <w:sz w:val="18"/>
        </w:rPr>
        <w:t>Document Title: Medicine Storage and Controlled Substances Policy</w:t>
      </w:r>
    </w:p>
    <w:p>
      <w:r>
        <w:rPr>
          <w:color w:val="444444"/>
          <w:sz w:val="18"/>
        </w:rPr>
        <w:t>Document ID: SMC-PHARM-009</w:t>
      </w:r>
    </w:p>
    <w:p>
      <w:r>
        <w:rPr>
          <w:color w:val="444444"/>
          <w:sz w:val="18"/>
        </w:rPr>
        <w:t>Department: Pharmacy</w:t>
      </w:r>
    </w:p>
    <w:p>
      <w:r>
        <w:rPr>
          <w:color w:val="444444"/>
          <w:sz w:val="18"/>
        </w:rPr>
        <w:t>Effective Date: November 1, 2019</w:t>
      </w:r>
    </w:p>
    <w:p>
      <w:r>
        <w:rPr>
          <w:color w:val="444444"/>
          <w:sz w:val="18"/>
        </w:rPr>
        <w:t>Last Revised: July 8, 2025</w:t>
      </w:r>
    </w:p>
    <w:p>
      <w:r>
        <w:rPr>
          <w:color w:val="444444"/>
          <w:sz w:val="18"/>
        </w:rPr>
        <w:t>Policy Owner: Director of Pharmacy, Dr. Solomon Nkemelu</w:t>
      </w:r>
    </w:p>
    <w:p>
      <w:r>
        <w:rPr>
          <w:color w:val="444444"/>
          <w:sz w:val="18"/>
        </w:rPr>
        <w:t>Distribution: All Sunrise Medical Center Staff</w:t>
      </w:r>
    </w:p>
    <w:p>
      <w:r>
        <w:t>__________________________________________________________________________________________</w:t>
      </w:r>
    </w:p>
    <w:p>
      <w:pPr>
        <w:pStyle w:val="Heading1"/>
      </w:pPr>
      <w:r>
        <w:t>1. Purpose</w:t>
      </w:r>
    </w:p>
    <w:p>
      <w:r>
        <w:t>This policy establishes the requirements for the secure storage, temperature monitoring, and controlled substance handling of all medications at Sunrise Medical Center, ensuring compliance with DEA regulations, USP &lt;795&gt;/&lt;797&gt;/&lt;800&gt; standards, and state pharmacy board requirements.</w:t>
      </w:r>
    </w:p>
    <w:p>
      <w:pPr>
        <w:pStyle w:val="Heading1"/>
      </w:pPr>
      <w:r>
        <w:t>2. General Storage Requirements</w:t>
      </w:r>
    </w:p>
    <w:p>
      <w:r>
        <w:t>All medications are stored in designated, secured medication rooms or automated dispensing cabinets (ADCs), organized to prevent look-alike/sound-alike errors, and never stored in unsecured areas such as nursing station countertops or unlocked drawers. Medications requiring refrigeration are stored in dedicated pharmacy-grade refrigerators with continuous temperature monitoring, separate from any food or specimen storage.</w:t>
      </w:r>
    </w:p>
    <w:p>
      <w:pPr>
        <w:pStyle w:val="Heading1"/>
      </w:pPr>
      <w:r>
        <w:t>3. Temperature Monitoring</w:t>
      </w:r>
    </w:p>
    <w:p>
      <w:r>
        <w:t>Refrigerated medication storage units are monitored continuously by an automated temperature logging system, with alerts sent to Pharmacy and unit charge nurses if temperature falls outside the 2°C–8°C range for more than 15 minutes. Any excursion must be documented on the Temperature Excursion Form, and affected medications are quarantined pending Pharmacy review of viability before being returned to use or discarded.</w:t>
      </w:r>
    </w:p>
    <w:p>
      <w:pPr>
        <w:pStyle w:val="Heading1"/>
      </w:pPr>
      <w:r>
        <w:t>4. Controlled Substance Security</w:t>
      </w:r>
    </w:p>
    <w:p>
      <w:r>
        <w:t>Schedule II-V controlled substances are stored exclusively in automated dispensing cabinets or a double-locked pharmacy vault, with access restricted to credentialed staff via unique biometric or PIN-based login. Every access, withdrawal, and waste event is logged automatically with the user identity, timestamp, and patient association where applicable.</w:t>
      </w:r>
    </w:p>
    <w:p>
      <w:pPr>
        <w:pStyle w:val="Heading1"/>
      </w:pPr>
      <w:r>
        <w:t>5. Controlled Substance Waste and Witnessing</w:t>
      </w:r>
    </w:p>
    <w:p>
      <w:r>
        <w:t>Any partial dose or unused controlled substance must be wasted immediately at the point of care, witnessed by a second licensed staff member, with both individuals documenting the waste event in the ADC or electronic medication administration record. Waste is never taken from the patient care area unwitnessed, and any delay in witnessed waste beyond the same shift must be reported to the charge nurse and Pharmacy.</w:t>
      </w:r>
    </w:p>
    <w:p>
      <w:pPr>
        <w:pStyle w:val="ListNumber"/>
      </w:pPr>
      <w:r>
        <w:t>Remove only the amount needed for the current dose from the ADC whenever the system allows partial withdrawal.</w:t>
      </w:r>
    </w:p>
    <w:p>
      <w:pPr>
        <w:pStyle w:val="ListNumber"/>
      </w:pPr>
      <w:r>
        <w:t>If a partial dose remains, locate a second licensed staff member to witness the waste before leaving the patient care area.</w:t>
      </w:r>
    </w:p>
    <w:p>
      <w:pPr>
        <w:pStyle w:val="ListNumber"/>
      </w:pPr>
      <w:r>
        <w:t>Document the waste amount, medication, and witness identity in the electronic system immediately.</w:t>
      </w:r>
    </w:p>
    <w:p>
      <w:pPr>
        <w:pStyle w:val="ListNumber"/>
      </w:pPr>
      <w:r>
        <w:t>Report any discrepancy between the ADC count and physical inventory to the charge nurse and Pharmacy Diversion Prevention Officer immediately.</w:t>
      </w:r>
    </w:p>
    <w:p>
      <w:pPr>
        <w:pStyle w:val="Heading1"/>
      </w:pPr>
      <w:r>
        <w:t>6. Diversion Prevention and Monitoring</w:t>
      </w:r>
    </w:p>
    <w:p>
      <w:r>
        <w:t>The Pharmacy Diversion Prevention Program conducts ongoing analytics monitoring of ADC transaction patterns, including unusually high withdrawal frequency, excessive wasting, and after-hours access, to identify potential drug diversion. Any flagged pattern is investigated jointly by Pharmacy, Nursing Leadership, and Human Resources, following the Drug Diversion Investigation Procedure (SMC-PHARM-010).</w:t>
      </w:r>
    </w:p>
    <w:p>
      <w:pPr>
        <w:pStyle w:val="Heading1"/>
      </w:pPr>
      <w:r>
        <w:t>7. Expired and Recalled Medication Handling</w:t>
      </w:r>
    </w:p>
    <w:p>
      <w:r>
        <w:t>Pharmacy conducts monthly expiration date audits of all unit-based medication stock, including ADCs and code carts. Recalled medications identified through FDA or manufacturer alerts are removed from all storage locations within 24 hours of notification, with removal confirmed and documented by unit-based Pharmacy liaisons.</w:t>
      </w:r>
    </w:p>
    <w:p>
      <w:pPr>
        <w:pStyle w:val="Heading1"/>
      </w:pPr>
      <w:r>
        <w:t>8. High-Alert Medication Safeguards</w:t>
      </w:r>
    </w:p>
    <w:p>
      <w:r>
        <w:t>High-alert medications, including insulin, concentrated electrolytes, anticoagulants, and opioids, require independent double-check verification by a second licensed clinician before administration. Concentrated potassium chloride and other high-risk concentrated electrolytes are stored only in the Pharmacy and select ICU/OR ADCs, never in general nursing unit stock, per the High-Alert Medication Policy (SMC-PHARM-021).</w:t>
      </w:r>
    </w:p>
    <w:p>
      <w:pPr>
        <w:pStyle w:val="Heading1"/>
      </w:pPr>
      <w:r>
        <w:t>Appendix A: Frequently Asked Questions</w:t>
      </w:r>
    </w:p>
    <w:p>
      <w:r>
        <w:t>Q: What if a witness for controlled substance waste isn't immediately available? A: The medication may be secured briefly in the ADC return slot per manufacturer function, but waste and witnessing should occur before the end of the same shift and any delay documented.</w:t>
      </w:r>
    </w:p>
    <w:p>
      <w:r>
        <w:t>Q: Can a medication be used after a brief refrigerator temperature excursion? A: Only after Pharmacy reviews the excursion duration and manufacturer stability data; the medication is quarantined and never used until Pharmacy clears it.</w:t>
      </w:r>
    </w:p>
    <w:p>
      <w:r>
        <w:t>Q: Who can access the double-locked controlled substance vault? A: Only pharmacists and pharmacy technicians specifically credentialed and added to the vault access list by the Director of Pharmacy.</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Nov 1, 2019</w:t>
            </w:r>
          </w:p>
        </w:tc>
        <w:tc>
          <w:tcPr>
            <w:tcW w:type="dxa" w:w="2880"/>
          </w:tcPr>
          <w:p>
            <w:r>
              <w:t>Initial release</w:t>
            </w:r>
          </w:p>
        </w:tc>
      </w:tr>
      <w:tr>
        <w:tc>
          <w:tcPr>
            <w:tcW w:type="dxa" w:w="2880"/>
          </w:tcPr>
          <w:p>
            <w:r>
              <w:t>1.4</w:t>
            </w:r>
          </w:p>
        </w:tc>
        <w:tc>
          <w:tcPr>
            <w:tcW w:type="dxa" w:w="2880"/>
          </w:tcPr>
          <w:p>
            <w:r>
              <w:t>Jul 8, 2025</w:t>
            </w:r>
          </w:p>
        </w:tc>
        <w:tc>
          <w:tcPr>
            <w:tcW w:type="dxa" w:w="2880"/>
          </w:tcPr>
          <w:p>
            <w:r>
              <w:t>Updated diversion monitoring program and high-alert medication cross-reference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