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Technology Security Policy</w:t>
      </w:r>
    </w:p>
    <w:p>
      <w:r>
        <w:rPr>
          <w:color w:val="444444"/>
          <w:sz w:val="18"/>
        </w:rPr>
        <w:t>Sunrise Medical Center</w:t>
      </w:r>
    </w:p>
    <w:p>
      <w:r>
        <w:rPr>
          <w:color w:val="444444"/>
          <w:sz w:val="18"/>
        </w:rPr>
        <w:t>Document Title: Information Technology Security Policy</w:t>
      </w:r>
    </w:p>
    <w:p>
      <w:r>
        <w:rPr>
          <w:color w:val="444444"/>
          <w:sz w:val="18"/>
        </w:rPr>
        <w:t>Document ID: SMC-IT-030</w:t>
      </w:r>
    </w:p>
    <w:p>
      <w:r>
        <w:rPr>
          <w:color w:val="444444"/>
          <w:sz w:val="18"/>
        </w:rPr>
        <w:t>Department: Information Technology / Information Security</w:t>
      </w:r>
    </w:p>
    <w:p>
      <w:r>
        <w:rPr>
          <w:color w:val="444444"/>
          <w:sz w:val="18"/>
        </w:rPr>
        <w:t>Effective Date: September 1, 2020</w:t>
      </w:r>
    </w:p>
    <w:p>
      <w:r>
        <w:rPr>
          <w:color w:val="444444"/>
          <w:sz w:val="18"/>
        </w:rPr>
        <w:t>Last Revised: March 5, 2026</w:t>
      </w:r>
    </w:p>
    <w:p>
      <w:r>
        <w:rPr>
          <w:color w:val="444444"/>
          <w:sz w:val="18"/>
        </w:rPr>
        <w:t>Policy Owner: Chief Information Security Officer, Devon Ashworth</w:t>
      </w:r>
    </w:p>
    <w:p>
      <w:r>
        <w:rPr>
          <w:color w:val="444444"/>
          <w:sz w:val="18"/>
        </w:rPr>
        <w:t>Distribution: All Sunrise Medical Center Staff</w:t>
      </w:r>
    </w:p>
    <w:p>
      <w:r>
        <w:t>__________________________________________________________________________________________</w:t>
      </w:r>
    </w:p>
    <w:p>
      <w:pPr>
        <w:pStyle w:val="Heading1"/>
      </w:pPr>
      <w:r>
        <w:t>1. Purpose and Scope</w:t>
      </w:r>
    </w:p>
    <w:p>
      <w:r>
        <w:t>This policy establishes the security requirements for all information systems, networks, and devices used to store, process, or transmit Sunrise Medical Center data, including electronic Protected Health Information (ePHI). It applies to all employees, physicians, contractors, and third-party vendors with any form of system access.</w:t>
      </w:r>
    </w:p>
    <w:p>
      <w:pPr>
        <w:pStyle w:val="Heading1"/>
      </w:pPr>
      <w:r>
        <w:t>2. Acceptable Use</w:t>
      </w:r>
    </w:p>
    <w:p>
      <w:r>
        <w:t>Hospital-issued systems and network access are provided for legitimate business and clinical purposes. Limited, incidental personal use is permitted provided it does not interfere with job duties, consume excessive bandwidth, or expose the hospital to security or legal risk. Accessing pornographic, gambling, or other prohibited content categories on hospital systems is strictly forbidden and monitored.</w:t>
      </w:r>
    </w:p>
    <w:p>
      <w:pPr>
        <w:pStyle w:val="Heading1"/>
      </w:pPr>
      <w:r>
        <w:t>3. Access Control</w:t>
      </w:r>
    </w:p>
    <w:p>
      <w:r>
        <w:t>Access to clinical and administrative systems is granted on a role-based, least-privilege basis, reviewed by IT Security and department managers at least annually. Terminated employees have all system access disabled within one hour of termination notification from Human Resources, and shared or generic login credentials are prohibited on any system accessing ePHI.</w:t>
      </w:r>
    </w:p>
    <w:p>
      <w:pPr>
        <w:pStyle w:val="Heading1"/>
      </w:pPr>
      <w:r>
        <w:t>4. Password and Multi-Factor Authentication Requirements</w:t>
      </w:r>
    </w:p>
    <w:p>
      <w:r>
        <w:t>All accounts require passwords of at least 12 characters combining upper and lowercase letters, numbers, and symbols, changed every 90 days for privileged accounts. Multi-factor authentication is mandatory for all remote access, email access from unmanaged devices, and any privileged administrative account, per the Password and Access Control Policy (SMC-IT-031).</w:t>
      </w:r>
    </w:p>
    <w:p>
      <w:pPr>
        <w:pStyle w:val="Heading1"/>
      </w:pPr>
      <w:r>
        <w:t>5. Device and Endpoint Security</w:t>
      </w:r>
    </w:p>
    <w:p>
      <w:r>
        <w:t>All hospital-owned laptops, workstations, and mobile devices must run current endpoint protection software and receive security patches within the timeframe defined by patch severity: critical patches within 72 hours, high within 7 days, and all others within 30 days. Personal devices accessing hospital email or systems must be enrolled in the Mobile Device Management platform and are subject to remote wipe if lost, stolen, or upon employment separation.</w:t>
      </w:r>
    </w:p>
    <w:p>
      <w:pPr>
        <w:pStyle w:val="Heading1"/>
      </w:pPr>
      <w:r>
        <w:t>6. Network Security</w:t>
      </w:r>
    </w:p>
    <w:p>
      <w:r>
        <w:t>The hospital network is segmented to separate clinical devices, guest Wi-Fi, administrative systems, and biomedical/IoT devices, limiting lateral movement in the event of a compromise. All external connections require an approved firewall rule and are logged; unauthorized wireless access points or personal routers are prohibited and subject to immediate removal by IT Security.</w:t>
      </w:r>
    </w:p>
    <w:p>
      <w:pPr>
        <w:pStyle w:val="Heading1"/>
      </w:pPr>
      <w:r>
        <w:t>7. Incident Response</w:t>
      </w:r>
    </w:p>
    <w:p>
      <w:r>
        <w:t>Any suspected security incident — including phishing emails, malware infection, lost devices, or unauthorized access — must be reported immediately to the IT Security Operations Center via the internal hotline or the 'Report Phishing' email button. IT Security follows the formal Incident Response Plan (SMC-IT-035), which includes containment, eradication, recovery, and a post-incident review within 10 business days.</w:t>
      </w:r>
    </w:p>
    <w:p>
      <w:pPr>
        <w:pStyle w:val="ListNumber"/>
      </w:pPr>
      <w:r>
        <w:t>Isolate the affected device from the network without powering it off, preserving forensic evidence where possible.</w:t>
      </w:r>
    </w:p>
    <w:p>
      <w:pPr>
        <w:pStyle w:val="ListNumber"/>
      </w:pPr>
      <w:r>
        <w:t>Notify IT Security Operations Center and document the time of discovery and initial observations.</w:t>
      </w:r>
    </w:p>
    <w:p>
      <w:pPr>
        <w:pStyle w:val="ListNumber"/>
      </w:pPr>
      <w:r>
        <w:t>Preserve related emails, logs, and screenshots for the investigation team.</w:t>
      </w:r>
    </w:p>
    <w:p>
      <w:pPr>
        <w:pStyle w:val="ListNumber"/>
      </w:pPr>
      <w:r>
        <w:t>Do not attempt to remediate malware or investigate independently — escalate to IT Security immediately.</w:t>
      </w:r>
    </w:p>
    <w:p>
      <w:pPr>
        <w:pStyle w:val="Heading1"/>
      </w:pPr>
      <w:r>
        <w:t>8. Third-Party and Vendor Access</w:t>
      </w:r>
    </w:p>
    <w:p>
      <w:r>
        <w:t>Vendors requiring system access must have an executed Business Associate Agreement where ePHI access is involved, and remote access is granted only through the hospital's monitored vendor access gateway with time-limited credentials. Vendor access is reviewed quarterly and disabled immediately upon contract termination.</w:t>
      </w:r>
    </w:p>
    <w:p>
      <w:pPr>
        <w:pStyle w:val="Heading1"/>
      </w:pPr>
      <w:r>
        <w:t>9. Security Awareness Training</w:t>
      </w:r>
    </w:p>
    <w:p>
      <w:r>
        <w:t>All workforce members complete annual security awareness training covering phishing recognition, password hygiene, and data handling. Simulated phishing campaigns are conducted quarterly, with additional targeted training assigned to employees who fail to identify simulated phishing attempts.</w:t>
      </w:r>
    </w:p>
    <w:p>
      <w:pPr>
        <w:pStyle w:val="Heading1"/>
      </w:pPr>
      <w:r>
        <w:t>Appendix A: Frequently Asked Questions</w:t>
      </w:r>
    </w:p>
    <w:p>
      <w:r>
        <w:t>Q: What should I do if I accidentally clicked a suspicious link? A: Report it immediately to IT Security via the hotline, even if you believe nothing happened; early reporting significantly reduces potential damage.</w:t>
      </w:r>
    </w:p>
    <w:p>
      <w:r>
        <w:t>Q: Can I use a personal USB drive to transfer hospital files? A: No, only encrypted, IT-issued storage devices are approved for transferring any hospital data, including non-clinical files.</w:t>
      </w:r>
    </w:p>
    <w:p>
      <w:r>
        <w:t>Q: Why was my account locked after failed login attempts? A: Accounts lock automatically after 5 failed attempts as a brute-force protection measure; contact the IT Helpdesk to verify identity and unlock the account.</w:t>
      </w:r>
    </w:p>
    <w:p>
      <w:r>
        <w:t>Q: Is personal cloud storage (like personal Dropbox or Google Drive) allowed for hospital documents? A: No, only hospital-approved and IT-provisioned cloud storage platforms may be used for any hospital business data.</w:t>
      </w:r>
    </w:p>
    <w:p>
      <w:r>
        <w:br w:type="page"/>
      </w:r>
    </w:p>
    <w:p>
      <w:pPr>
        <w:pStyle w:val="Heading1"/>
      </w:pPr>
      <w:r>
        <w:t>Revision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Description</w:t>
            </w:r>
          </w:p>
        </w:tc>
      </w:tr>
      <w:tr>
        <w:tc>
          <w:tcPr>
            <w:tcW w:type="dxa" w:w="2880"/>
          </w:tcPr>
          <w:p>
            <w:r>
              <w:t>1.0</w:t>
            </w:r>
          </w:p>
        </w:tc>
        <w:tc>
          <w:tcPr>
            <w:tcW w:type="dxa" w:w="2880"/>
          </w:tcPr>
          <w:p>
            <w:r>
              <w:t>Sep 1, 2020</w:t>
            </w:r>
          </w:p>
        </w:tc>
        <w:tc>
          <w:tcPr>
            <w:tcW w:type="dxa" w:w="2880"/>
          </w:tcPr>
          <w:p>
            <w:r>
              <w:t>Initial release</w:t>
            </w:r>
          </w:p>
        </w:tc>
      </w:tr>
      <w:tr>
        <w:tc>
          <w:tcPr>
            <w:tcW w:type="dxa" w:w="2880"/>
          </w:tcPr>
          <w:p>
            <w:r>
              <w:t>2.0</w:t>
            </w:r>
          </w:p>
        </w:tc>
        <w:tc>
          <w:tcPr>
            <w:tcW w:type="dxa" w:w="2880"/>
          </w:tcPr>
          <w:p>
            <w:r>
              <w:t>Jul 15, 2023</w:t>
            </w:r>
          </w:p>
        </w:tc>
        <w:tc>
          <w:tcPr>
            <w:tcW w:type="dxa" w:w="2880"/>
          </w:tcPr>
          <w:p>
            <w:r>
              <w:t>Added network segmentation and MFA requirements</w:t>
            </w:r>
          </w:p>
        </w:tc>
      </w:tr>
      <w:tr>
        <w:tc>
          <w:tcPr>
            <w:tcW w:type="dxa" w:w="2880"/>
          </w:tcPr>
          <w:p>
            <w:r>
              <w:t>2.2</w:t>
            </w:r>
          </w:p>
        </w:tc>
        <w:tc>
          <w:tcPr>
            <w:tcW w:type="dxa" w:w="2880"/>
          </w:tcPr>
          <w:p>
            <w:r>
              <w:t>Mar 5, 2026</w:t>
            </w:r>
          </w:p>
        </w:tc>
        <w:tc>
          <w:tcPr>
            <w:tcW w:type="dxa" w:w="2880"/>
          </w:tcPr>
          <w:p>
            <w:r>
              <w:t>Updated patch timeframe requirements and vendor access review cadence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