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Password and Access Control Policy</w:t>
      </w:r>
    </w:p>
    <w:p>
      <w:r>
        <w:rPr>
          <w:color w:val="444444"/>
          <w:sz w:val="18"/>
        </w:rPr>
        <w:t>Sunrise Medical Center</w:t>
      </w:r>
    </w:p>
    <w:p>
      <w:r>
        <w:rPr>
          <w:color w:val="444444"/>
          <w:sz w:val="18"/>
        </w:rPr>
        <w:t>Document Title: Password and Access Control Policy</w:t>
      </w:r>
    </w:p>
    <w:p>
      <w:r>
        <w:rPr>
          <w:color w:val="444444"/>
          <w:sz w:val="18"/>
        </w:rPr>
        <w:t>Document ID: SMC-IT-031</w:t>
      </w:r>
    </w:p>
    <w:p>
      <w:r>
        <w:rPr>
          <w:color w:val="444444"/>
          <w:sz w:val="18"/>
        </w:rPr>
        <w:t>Department: Information Technology / Information Security</w:t>
      </w:r>
    </w:p>
    <w:p>
      <w:r>
        <w:rPr>
          <w:color w:val="444444"/>
          <w:sz w:val="18"/>
        </w:rPr>
        <w:t>Effective Date: September 1, 2020</w:t>
      </w:r>
    </w:p>
    <w:p>
      <w:r>
        <w:rPr>
          <w:color w:val="444444"/>
          <w:sz w:val="18"/>
        </w:rPr>
        <w:t>Last Revised: March 5, 2026</w:t>
      </w:r>
    </w:p>
    <w:p>
      <w:r>
        <w:rPr>
          <w:color w:val="444444"/>
          <w:sz w:val="18"/>
        </w:rPr>
        <w:t>Policy Owner: Chief Information Security Officer, Devon Ashworth</w:t>
      </w:r>
    </w:p>
    <w:p>
      <w:r>
        <w:rPr>
          <w:color w:val="444444"/>
          <w:sz w:val="18"/>
        </w:rPr>
        <w:t>Distribution: All Sunrise Medical Center Staff</w:t>
      </w:r>
    </w:p>
    <w:p>
      <w:r>
        <w:t>__________________________________________________________________________________________</w:t>
      </w:r>
    </w:p>
    <w:p>
      <w:pPr>
        <w:pStyle w:val="Heading1"/>
      </w:pPr>
      <w:r>
        <w:t>1. Purpose</w:t>
      </w:r>
    </w:p>
    <w:p>
      <w:r>
        <w:t>This policy details the specific technical and procedural requirements for password management and access control across all Sunrise Medical Center information systems, supplementing the broader IT Security Policy (SMC-IT-030).</w:t>
      </w:r>
    </w:p>
    <w:p>
      <w:pPr>
        <w:pStyle w:val="Heading1"/>
      </w:pPr>
      <w:r>
        <w:t>2. Password Complexity Requirements</w:t>
      </w:r>
    </w:p>
    <w:p>
      <w:pPr>
        <w:pStyle w:val="ListBullet"/>
      </w:pPr>
      <w:r>
        <w:t>Minimum 12 characters for standard accounts, 16 characters for privileged/administrative accounts.</w:t>
      </w:r>
    </w:p>
    <w:p>
      <w:pPr>
        <w:pStyle w:val="ListBullet"/>
      </w:pPr>
      <w:r>
        <w:t>Must include at least one uppercase letter, one lowercase letter, one number, and one special character.</w:t>
      </w:r>
    </w:p>
    <w:p>
      <w:pPr>
        <w:pStyle w:val="ListBullet"/>
      </w:pPr>
      <w:r>
        <w:t>May not reuse any of the previous 12 passwords.</w:t>
      </w:r>
    </w:p>
    <w:p>
      <w:pPr>
        <w:pStyle w:val="ListBullet"/>
      </w:pPr>
      <w:r>
        <w:t>May not contain the user's name, username, or easily guessable hospital-related terms.</w:t>
      </w:r>
    </w:p>
    <w:p>
      <w:pPr>
        <w:pStyle w:val="ListBullet"/>
      </w:pPr>
      <w:r>
        <w:t>Standard accounts expire every 180 days; privileged accounts expire every 90 days.</w:t>
      </w:r>
    </w:p>
    <w:p>
      <w:pPr>
        <w:pStyle w:val="Heading1"/>
      </w:pPr>
      <w:r>
        <w:t>3. Multi-Factor Authentication</w:t>
      </w:r>
    </w:p>
    <w:p>
      <w:r>
        <w:t>MFA is required for all remote network access (VPN), all cloud-based email and productivity tools accessed from outside the hospital network, and all administrative or privileged system accounts regardless of access location. Approved MFA methods include the hospital-issued authenticator app and physical security keys for the highest-privilege accounts; SMS-based MFA is discouraged and permitted only as a fallback method.</w:t>
      </w:r>
    </w:p>
    <w:p>
      <w:pPr>
        <w:pStyle w:val="Heading1"/>
      </w:pPr>
      <w:r>
        <w:t>4. Account Provisioning and De-Provisioning</w:t>
      </w:r>
    </w:p>
    <w:p>
      <w:r>
        <w:t>New account requests require manager approval and are provisioned according to a pre-defined role-based access template; requests for access beyond the standard template require additional Information Security approval with documented business justification. Account de-provisioning occurs automatically upon termination notification from HR and is completed within one hour for active-directory-integrated systems and within 24 hours for standalone clinical applications.</w:t>
      </w:r>
    </w:p>
    <w:p>
      <w:pPr>
        <w:pStyle w:val="Heading1"/>
      </w:pPr>
      <w:r>
        <w:t>5. Privileged Account Management</w:t>
      </w:r>
    </w:p>
    <w:p>
      <w:r>
        <w:t>Administrative and privileged accounts are separate from an individual's standard user account and are used only when performing privileged functions, never for routine email or web browsing. All privileged account activity is logged and reviewed monthly by the Information Security team, and privileged credentials are stored in the hospital's approved password vault rather than written down or shared.</w:t>
      </w:r>
    </w:p>
    <w:p>
      <w:pPr>
        <w:pStyle w:val="Heading1"/>
      </w:pPr>
      <w:r>
        <w:t>6. Access Review and Recertification</w:t>
      </w:r>
    </w:p>
    <w:p>
      <w:r>
        <w:t>Department managers must recertify their team's system access annually, confirming that each employee's access remains appropriate to their current role. Access not recertified within the review window is automatically suspended pending manager confirmation, and any unused account inactive for 90 consecutive days is automatically disabled.</w:t>
      </w:r>
    </w:p>
    <w:p>
      <w:pPr>
        <w:pStyle w:val="Heading1"/>
      </w:pPr>
      <w:r>
        <w:t>7. Shared and Service Accounts</w:t>
      </w:r>
    </w:p>
    <w:p>
      <w:r>
        <w:t>Shared login credentials for individual clinical or administrative use are prohibited. Service accounts used by applications or automated processes must be registered with IT Security, use a unique complex password stored in the password vault, and are reviewed annually for continued necessity.</w:t>
      </w:r>
    </w:p>
    <w:p>
      <w:pPr>
        <w:pStyle w:val="Heading1"/>
      </w:pPr>
      <w:r>
        <w:t>8. Remote Access Standards</w:t>
      </w:r>
    </w:p>
    <w:p>
      <w:r>
        <w:t>Remote access to hospital systems requires an approved, hospital-managed device or an approved virtual desktop session, VPN connection with MFA, and compliance with the hospital's endpoint security requirements. Remote access from public or unsecured Wi-Fi networks is permitted only through the VPN, which encrypts all traffic regardless of network origin.</w:t>
      </w:r>
    </w:p>
    <w:p>
      <w:pPr>
        <w:pStyle w:val="Heading1"/>
      </w:pPr>
      <w:r>
        <w:t>Appendix A: Frequently Asked Questions</w:t>
      </w:r>
    </w:p>
    <w:p>
      <w:r>
        <w:t>Q: I forgot my password — what do I do? A: Use the self-service password reset portal, or contact the IT Helpdesk with identity verification if self-service is unavailable.</w:t>
      </w:r>
    </w:p>
    <w:p>
      <w:r>
        <w:t>Q: Why do I need MFA if I'm already inside the hospital building? A: MFA protects against credential theft regardless of physical location, since a stolen password alone should never be sufficient to access hospital systems.</w:t>
      </w:r>
    </w:p>
    <w:p>
      <w:r>
        <w:t>Q: Can I share my login with a coworker temporarily if they're locked out? A: No, this is a policy violation regardless of the reason; the coworker should contact the IT Helpdesk for their own account.</w:t>
      </w:r>
    </w:p>
    <w:p>
      <w:r>
        <w:br w:type="page"/>
      </w:r>
    </w:p>
    <w:p>
      <w:pPr>
        <w:pStyle w:val="Heading1"/>
      </w:pPr>
      <w:r>
        <w:t>Revision History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Description</w:t>
            </w:r>
          </w:p>
        </w:tc>
      </w:tr>
      <w:tr>
        <w:tc>
          <w:tcPr>
            <w:tcW w:type="dxa" w:w="2880"/>
          </w:tcPr>
          <w:p>
            <w:r>
              <w:t>1.0</w:t>
            </w:r>
          </w:p>
        </w:tc>
        <w:tc>
          <w:tcPr>
            <w:tcW w:type="dxa" w:w="2880"/>
          </w:tcPr>
          <w:p>
            <w:r>
              <w:t>Sep 1, 2020</w:t>
            </w:r>
          </w:p>
        </w:tc>
        <w:tc>
          <w:tcPr>
            <w:tcW w:type="dxa" w:w="2880"/>
          </w:tcPr>
          <w:p>
            <w:r>
              <w:t>Initial release</w:t>
            </w:r>
          </w:p>
        </w:tc>
      </w:tr>
      <w:tr>
        <w:tc>
          <w:tcPr>
            <w:tcW w:type="dxa" w:w="2880"/>
          </w:tcPr>
          <w:p>
            <w:r>
              <w:t>1.3</w:t>
            </w:r>
          </w:p>
        </w:tc>
        <w:tc>
          <w:tcPr>
            <w:tcW w:type="dxa" w:w="2880"/>
          </w:tcPr>
          <w:p>
            <w:r>
              <w:t>Mar 5, 2026</w:t>
            </w:r>
          </w:p>
        </w:tc>
        <w:tc>
          <w:tcPr>
            <w:tcW w:type="dxa" w:w="2880"/>
          </w:tcPr>
          <w:p>
            <w:r>
              <w:t>Updated MFA method guidance and privileged password expiration interval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