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19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L'écran vous le rappelle sous le message d'absence : </w:t>
      </w:r>
      <w:r>
        <w:rPr>
          <w:b/>
          <w:bCs/>
          <w:color w:val="1B1917"/>
          <w:sz w:val="21"/>
          <w:szCs w:val="21"/>
        </w:rPr>
        <w:t xml:space="preserve">cherchez sur la référence ou sur la pièce d'identité avant de créer</w:t>
      </w:r>
      <w:r>
        <w:rPr>
          <w:color w:val="1B1917"/>
          <w:sz w:val="21"/>
          <w:szCs w:val="21"/>
        </w:rPr>
        <w:t xml:space="preserve">. La recherche porte sur le nom tel qu'il a été saisi — une lettre de différence, un prénom inversé, un nom d'épouse, et le dossier existant ne remonte pas. Le créer à nouveau ferait un second dossier pour la même personne, avec sa propre connaissance client et son propre risque, et personne ne le rattrapera.</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2"/>
        <w:spacing w:after="140" w:before="320"/>
      </w:pPr>
      <w:r>
        <w:rPr>
          <w:b/>
          <w:bCs/>
          <w:color w:val="1B1917"/>
          <w:sz w:val="23"/>
          <w:szCs w:val="23"/>
        </w:rPr>
        <w:t xml:space="preserve">Ses comptes</w:t>
      </w:r>
    </w:p>
    <w:p>
      <w:pPr>
        <w:spacing w:after="180" w:before="0" w:line="290"/>
        <w:jc w:val="both"/>
      </w:pPr>
      <w:r>
        <w:rPr>
          <w:color w:val="1B1917"/>
          <w:sz w:val="21"/>
          <w:szCs w:val="21"/>
        </w:rPr>
        <w:t xml:space="preserve">Le dossier liste les comptes du client : numéro, produit, agence, devise, date d'ouverture et état. Un compte </w:t>
      </w:r>
      <w:r>
        <w:rPr>
          <w:b/>
          <w:bCs/>
          <w:color w:val="1B1917"/>
          <w:sz w:val="21"/>
          <w:szCs w:val="21"/>
        </w:rPr>
        <w:t xml:space="preserve">clos</w:t>
      </w:r>
      <w:r>
        <w:rPr>
          <w:color w:val="1B1917"/>
          <w:sz w:val="21"/>
          <w:szCs w:val="21"/>
        </w:rPr>
        <w:t xml:space="preserve"> y reste, en retrait — le faire disparaître ferait croire qu'il n'a jamais existé, et un client s'en souvient.</w:t>
      </w:r>
    </w:p>
    <w:p>
      <w:pPr>
        <w:pBdr>
          <w:left w:val="single" w:color="1F4E46" w:sz="18" w:space="10"/>
        </w:pBdr>
        <w:shd w:fill="F6F3EC" w:color="auto" w:val="clear"/>
        <w:spacing w:after="200" w:before="160"/>
        <w:ind w:left="240" w:right="200"/>
      </w:pPr>
      <w:r>
        <w:rPr>
          <w:b/>
          <w:bCs/>
          <w:color w:val="1B1917"/>
          <w:sz w:val="21"/>
          <w:szCs w:val="21"/>
        </w:rPr>
        <w:t xml:space="preserve">Les soldes n'y sont pas.</w:t>
      </w:r>
      <w:r>
        <w:rPr>
          <w:color w:val="1B1917"/>
          <w:sz w:val="21"/>
          <w:szCs w:val="21"/>
        </w:rPr>
        <w:t xml:space="preserve"> Un solde se lit compte par compte, au guichet, et cette lecture laisse une trace. Une liste qui les afficherait tracerait cinquante consultations que personne n'a demandées.</w:t>
      </w:r>
    </w:p>
    <w:p>
      <w:pPr>
        <w:spacing w:after="180" w:before="0" w:line="290"/>
        <w:jc w:val="both"/>
      </w:pPr>
      <w:r>
        <w:rPr>
          <w:color w:val="1B1917"/>
          <w:sz w:val="21"/>
          <w:szCs w:val="21"/>
        </w:rPr>
        <w:t xml:space="preserve">Un client </w:t>
      </w:r>
      <w:r>
        <w:rPr>
          <w:b/>
          <w:bCs/>
          <w:color w:val="1B1917"/>
          <w:sz w:val="21"/>
          <w:szCs w:val="21"/>
        </w:rPr>
        <w:t xml:space="preserve">sans compte</w:t>
      </w:r>
      <w:r>
        <w:rPr>
          <w:color w:val="1B1917"/>
          <w:sz w:val="21"/>
          <w:szCs w:val="21"/>
        </w:rPr>
        <w:t xml:space="preserve"> n'est pas une anomalie : il peut porter un crédit, ou n'être qu'un bénéficiaire effectif.</w:t>
      </w:r>
    </w:p>
    <w:p>
      <w:pPr>
        <w:spacing w:after="180" w:before="0" w:line="290"/>
        <w:jc w:val="both"/>
      </w:pPr>
      <w:r>
        <w:rPr>
          <w:color w:val="1B1917"/>
          <w:sz w:val="21"/>
          <w:szCs w:val="21"/>
        </w:rPr>
        <w:t xml:space="preserve">Chaque ligne porte un lien </w:t>
      </w:r>
      <w:r>
        <w:rPr>
          <w:b/>
          <w:bCs/>
          <w:color w:val="1B1917"/>
          <w:sz w:val="21"/>
          <w:szCs w:val="21"/>
        </w:rPr>
        <w:t xml:space="preserve">Chèques et mandats</w:t>
      </w:r>
      <w:r>
        <w:rPr>
          <w:color w:val="1B1917"/>
          <w:sz w:val="21"/>
          <w:szCs w:val="21"/>
        </w:rPr>
        <w:t xml:space="preserve"> : il ouvre les moyens de paiement de ce compte — chéquiers, chèques, incidents, mandats de prélèvement — sans avoir à le retrouver par son numéro. Voir le chapitre 11.</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Sept écrans, réservés aux profils d'exploitation comptable et de paramétrage.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Cinq servent au paramétrage : </w:t>
      </w:r>
      <w:r>
        <w:rPr>
          <w:b/>
          <w:bCs/>
          <w:color w:val="1B1917"/>
          <w:sz w:val="21"/>
          <w:szCs w:val="21"/>
        </w:rPr>
        <w:t xml:space="preserve">Établissement</w:t>
      </w:r>
      <w:r>
        <w:rPr>
          <w:color w:val="1B1917"/>
          <w:sz w:val="21"/>
          <w:szCs w:val="21"/>
        </w:rPr>
        <w:t xml:space="preserve"> — la fiche de la banque —, </w:t>
      </w:r>
      <w:r>
        <w:rPr>
          <w:b/>
          <w:bCs/>
          <w:color w:val="1B1917"/>
          <w:sz w:val="21"/>
          <w:szCs w:val="21"/>
        </w:rPr>
        <w:t xml:space="preserve">Produits</w:t>
      </w:r>
      <w:r>
        <w:rPr>
          <w:color w:val="1B1917"/>
          <w:sz w:val="21"/>
          <w:szCs w:val="21"/>
        </w:rPr>
        <w:t xml:space="preserve"> — ce que la banque vend et à quelles conditions —, </w:t>
      </w:r>
      <w:r>
        <w:rPr>
          <w:b/>
          <w:bCs/>
          <w:color w:val="1B1917"/>
          <w:sz w:val="21"/>
          <w:szCs w:val="21"/>
        </w:rPr>
        <w:t xml:space="preserve">Agences</w:t>
      </w:r>
      <w:r>
        <w:rPr>
          <w:color w:val="1B1917"/>
          <w:sz w:val="21"/>
          <w:szCs w:val="21"/>
        </w:rPr>
        <w:t xml:space="preserve"> — le réseau —, </w:t>
      </w:r>
      <w:r>
        <w:rPr>
          <w:b/>
          <w:bCs/>
          <w:color w:val="1B1917"/>
          <w:sz w:val="21"/>
          <w:szCs w:val="21"/>
        </w:rPr>
        <w:t xml:space="preserve">Calendrier</w:t>
      </w:r>
      <w:r>
        <w:rPr>
          <w:color w:val="1B1917"/>
          <w:sz w:val="21"/>
          <w:szCs w:val="21"/>
        </w:rPr>
        <w:t xml:space="preserve"> — les conditions de banque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pPr>
        <w:pStyle w:val="Heading1"/>
        <w:pBdr>
          <w:bottom w:val="single" w:color="D8D2C6" w:sz="3" w:space="8"/>
        </w:pBdr>
        <w:spacing w:after="140" w:before="420"/>
      </w:pPr>
      <w:r>
        <w:rPr>
          <w:b/>
          <w:bCs/>
          <w:color w:val="1B1917"/>
          <w:sz w:val="27"/>
          <w:szCs w:val="27"/>
        </w:rPr>
        <w:t xml:space="preserve">Les produits</w:t>
      </w:r>
    </w:p>
    <w:p>
      <w:pPr>
        <w:keepNext/>
        <w:spacing w:after="60" w:before="200"/>
        <w:jc w:val="center"/>
      </w:pPr>
      <w:r>
        <w:drawing>
          <wp:inline distT="0" distB="0" distL="0" distR="0">
            <wp:extent cx="5972175"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562475"/>
                    </a:xfrm>
                    <a:prstGeom prst="rect">
                      <a:avLst/>
                    </a:prstGeom>
                  </pic:spPr>
                </pic:pic>
              </a:graphicData>
            </a:graphic>
          </wp:inline>
        </w:drawing>
      </w:r>
    </w:p>
    <w:p>
      <w:pPr>
        <w:spacing w:after="280"/>
        <w:jc w:val="center"/>
      </w:pPr>
      <w:r>
        <w:rPr>
          <w:i/>
          <w:iCs/>
          <w:color w:val="4A4540"/>
          <w:sz w:val="17"/>
          <w:szCs w:val="17"/>
        </w:rPr>
        <w:t xml:space="preserve">Figure 27 — Le catalogue des versions, et le paramétrage d'une version relu en clair.</w:t>
      </w:r>
    </w:p>
    <w:p>
      <w:pPr>
        <w:spacing w:after="180" w:before="0" w:line="290"/>
        <w:jc w:val="both"/>
      </w:pPr>
      <w:r>
        <w:rPr>
          <w:color w:val="1B1917"/>
          <w:sz w:val="21"/>
          <w:szCs w:val="21"/>
        </w:rPr>
        <w:t xml:space="preserve">C'est ici que se décide ce que la banque vend : les taux, les frais, les plafonds, les comptes sur lesquels tout cela s'impute. Rien de ce qui est fait ici n'est anodin — un paramétrage produit des montants sur les comptes de tous les clients qui citent le produit.</w:t>
      </w:r>
    </w:p>
    <w:p>
      <w:pPr>
        <w:pStyle w:val="Heading2"/>
        <w:spacing w:after="140" w:before="320"/>
      </w:pPr>
      <w:r>
        <w:rPr>
          <w:b/>
          <w:bCs/>
          <w:color w:val="1B1917"/>
          <w:sz w:val="23"/>
          <w:szCs w:val="23"/>
        </w:rPr>
        <w:t xml:space="preserve">Un produit ne s'édite pas : il se versionne</w:t>
      </w:r>
    </w:p>
    <w:p>
      <w:pPr>
        <w:spacing w:after="180" w:before="0" w:line="290"/>
        <w:jc w:val="both"/>
      </w:pPr>
      <w:r>
        <w:rPr>
          <w:color w:val="1B1917"/>
          <w:sz w:val="21"/>
          <w:szCs w:val="21"/>
        </w:rPr>
        <w:t xml:space="preserve">Chaque version porte sa </w:t>
      </w:r>
      <w:r>
        <w:rPr>
          <w:b/>
          <w:bCs/>
          <w:color w:val="1B1917"/>
          <w:sz w:val="21"/>
          <w:szCs w:val="21"/>
        </w:rPr>
        <w:t xml:space="preserve">période de validité</w:t>
      </w:r>
      <w:r>
        <w:rPr>
          <w:color w:val="1B1917"/>
          <w:sz w:val="21"/>
          <w:szCs w:val="21"/>
        </w:rPr>
        <w:t xml:space="preserve">, et tout compte rattaché résout la sienne à </w:t>
      </w:r>
      <w:r>
        <w:rPr>
          <w:b/>
          <w:bCs/>
          <w:color w:val="1B1917"/>
          <w:sz w:val="21"/>
          <w:szCs w:val="21"/>
        </w:rPr>
        <w:t xml:space="preserve">chaque date de valeur traitée</w:t>
      </w:r>
      <w:r>
        <w:rPr>
          <w:color w:val="1B1917"/>
          <w:sz w:val="21"/>
          <w:szCs w:val="21"/>
        </w:rPr>
        <w:t xml:space="preserve">. C'est ce qui permet de rejouer un arrêté de l'an dernier et d'obtenir exactement les mêmes montants.</w:t>
      </w:r>
    </w:p>
    <w:p>
      <w:pPr>
        <w:spacing w:after="180" w:before="0" w:line="290"/>
        <w:jc w:val="both"/>
      </w:pPr>
      <w:r>
        <w:rPr>
          <w:color w:val="1B1917"/>
          <w:sz w:val="21"/>
          <w:szCs w:val="21"/>
        </w:rPr>
        <w:t xml:space="preserve">Conséquence directe : </w:t>
      </w:r>
      <w:r>
        <w:rPr>
          <w:b/>
          <w:bCs/>
          <w:color w:val="1B1917"/>
          <w:sz w:val="21"/>
          <w:szCs w:val="21"/>
        </w:rPr>
        <w:t xml:space="preserve">on ne corrige pas un taux</w:t>
      </w:r>
      <w:r>
        <w:rPr>
          <w:color w:val="1B1917"/>
          <w:sz w:val="21"/>
          <w:szCs w:val="21"/>
        </w:rPr>
        <w:t xml:space="preserve">, on rédige une nouvelle version qui prend effet à une date. L'ancienne reste, et c'est elle qui explique les intérêts déjà versés.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87"/>
        <w:gridCol w:w="8424"/>
      </w:tblGrid>
      <w:tr>
        <w:trPr>
          <w:tblHeader/>
        </w:trPr>
        <w:tc>
          <w:tcPr>
            <w:tcW w:type="dxa" w:w="98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424"/>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Rédigée, jamais activée. Aucun compte ne la cite, aucun arrêté ne la résout.</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À venir</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Activée, mais sa période n'a pas commencé.</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En vigueur</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Elle s'applique aujourd'hui.</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Échue</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Sa période est close. Elle ne s'applique plus, et reste au dossier — un arrêté de cette période la résout encore.</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Retirée</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Un brouillon abandonné.</w:t>
            </w:r>
          </w:p>
        </w:tc>
      </w:tr>
    </w:tbl>
    <w:p>
      <w:pPr>
        <w:spacing w:after="220"/>
      </w:pPr>
    </w:p>
    <w:p>
      <w:pPr>
        <w:pStyle w:val="Heading2"/>
        <w:spacing w:after="140" w:before="320"/>
      </w:pPr>
      <w:r>
        <w:rPr>
          <w:b/>
          <w:bCs/>
          <w:color w:val="1B1917"/>
          <w:sz w:val="23"/>
          <w:szCs w:val="23"/>
        </w:rPr>
        <w:t xml:space="preserve">Rédiger une version</w:t>
      </w:r>
    </w:p>
    <w:p>
      <w:pPr>
        <w:keepNext/>
        <w:spacing w:after="60" w:before="200"/>
        <w:jc w:val="center"/>
      </w:pPr>
      <w:r>
        <w:drawing>
          <wp:inline distT="0" distB="0" distL="0" distR="0">
            <wp:extent cx="5972175"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562475"/>
                    </a:xfrm>
                    <a:prstGeom prst="rect">
                      <a:avLst/>
                    </a:prstGeom>
                  </pic:spPr>
                </pic:pic>
              </a:graphicData>
            </a:graphic>
          </wp:inline>
        </w:drawing>
      </w:r>
    </w:p>
    <w:p>
      <w:pPr>
        <w:spacing w:after="280"/>
        <w:jc w:val="center"/>
      </w:pPr>
      <w:r>
        <w:rPr>
          <w:i/>
          <w:iCs/>
          <w:color w:val="4A4540"/>
          <w:sz w:val="17"/>
          <w:szCs w:val="17"/>
        </w:rPr>
        <w:t xml:space="preserve">Figure 28 — La rédaction : les champs viennent de la famille, pas de l'écran.</w:t>
      </w:r>
    </w:p>
    <w:p>
      <w:pPr>
        <w:spacing w:after="180" w:before="0" w:line="290"/>
        <w:jc w:val="both"/>
      </w:pPr>
      <w:r>
        <w:rPr>
          <w:i/>
          <w:iCs/>
          <w:color w:val="1B1917"/>
          <w:sz w:val="21"/>
          <w:szCs w:val="21"/>
        </w:rPr>
        <w:t xml:space="preserve">Nouvelle version</w:t>
      </w:r>
      <w:r>
        <w:rPr>
          <w:color w:val="1B1917"/>
          <w:sz w:val="21"/>
          <w:szCs w:val="21"/>
        </w:rPr>
        <w:t xml:space="preserve">, puis le code, la </w:t>
      </w:r>
      <w:r>
        <w:rPr>
          <w:b/>
          <w:bCs/>
          <w:color w:val="1B1917"/>
          <w:sz w:val="21"/>
          <w:szCs w:val="21"/>
        </w:rPr>
        <w:t xml:space="preserve">famille</w:t>
      </w:r>
      <w:r>
        <w:rPr>
          <w:color w:val="1B1917"/>
          <w:sz w:val="21"/>
          <w:szCs w:val="21"/>
        </w:rPr>
        <w:t xml:space="preserve">, l'intitulé, la devise et la date d'entrée en vigueur.</w:t>
      </w:r>
    </w:p>
    <w:p>
      <w:pPr>
        <w:pBdr>
          <w:left w:val="single" w:color="1F4E46" w:sz="18" w:space="10"/>
        </w:pBdr>
        <w:shd w:fill="F6F3EC" w:color="auto" w:val="clear"/>
        <w:spacing w:after="200" w:before="160"/>
        <w:ind w:left="240" w:right="200"/>
      </w:pPr>
      <w:r>
        <w:rPr>
          <w:b/>
          <w:bCs/>
          <w:color w:val="1B1917"/>
          <w:sz w:val="21"/>
          <w:szCs w:val="21"/>
        </w:rPr>
        <w:t xml:space="preserve">La famille décide de tout le reste.</w:t>
      </w:r>
      <w:r>
        <w:rPr>
          <w:color w:val="1B1917"/>
          <w:sz w:val="21"/>
          <w:szCs w:val="21"/>
        </w:rPr>
        <w:t xml:space="preserve"> Compte courant, compte d'épargne, dépôt à terme, crédit amortissable : chacune déclare ce qu'un produit de son espèce doit porter. Les champs affichés sous le formulaire sont </w:t>
      </w:r>
      <w:r>
        <w:rPr>
          <w:b/>
          <w:bCs/>
          <w:color w:val="1B1917"/>
          <w:sz w:val="21"/>
          <w:szCs w:val="21"/>
        </w:rPr>
        <w:t xml:space="preserve">les siens</w:t>
      </w:r>
      <w:r>
        <w:rPr>
          <w:color w:val="1B1917"/>
          <w:sz w:val="21"/>
          <w:szCs w:val="21"/>
        </w:rPr>
        <w:t xml:space="preserve"> — l'écran ne les invente pas, il les demande au système.</w:t>
      </w:r>
    </w:p>
    <w:p>
      <w:pPr>
        <w:spacing w:after="180" w:before="0" w:line="290"/>
        <w:jc w:val="both"/>
      </w:pPr>
      <w:r>
        <w:rPr>
          <w:color w:val="1B1917"/>
          <w:sz w:val="21"/>
          <w:szCs w:val="21"/>
        </w:rPr>
        <w:t xml:space="preserve">Les champs changent à mesure que vous saisissez :</w:t>
      </w:r>
    </w:p>
    <w:p>
      <w:pPr>
        <w:pStyle w:val="ListParagraph"/>
        <w:numPr>
          <w:ilvl w:val="0"/>
          <w:numId w:val="2"/>
        </w:numPr>
        <w:spacing w:after="80" w:before="40"/>
      </w:pPr>
      <w:r>
        <w:rPr>
          <w:color w:val="1B1917"/>
          <w:sz w:val="21"/>
          <w:szCs w:val="21"/>
        </w:rPr>
        <w:t xml:space="preserve">renseigner un </w:t>
      </w:r>
      <w:r>
        <w:rPr>
          <w:b/>
          <w:bCs/>
          <w:color w:val="1B1917"/>
          <w:sz w:val="21"/>
          <w:szCs w:val="21"/>
        </w:rPr>
        <w:t xml:space="preserve">taux d'agios</w:t>
      </w:r>
      <w:r>
        <w:rPr>
          <w:color w:val="1B1917"/>
          <w:sz w:val="21"/>
          <w:szCs w:val="21"/>
        </w:rPr>
        <w:t xml:space="preserve"> rend obligatoires les comptes d'imputation et l'arrêté — l'écran vous dit pourquoi : </w:t>
      </w:r>
      <w:r>
        <w:rPr>
          <w:i/>
          <w:iCs/>
          <w:color w:val="1B1917"/>
          <w:sz w:val="21"/>
          <w:szCs w:val="21"/>
        </w:rPr>
        <w:t xml:space="preserve">« des agios sans comptes d'imputation échoueraient à la première journée débitrice »</w:t>
      </w:r>
      <w:r>
        <w:rPr>
          <w:color w:val="1B1917"/>
          <w:sz w:val="21"/>
          <w:szCs w:val="21"/>
        </w:rPr>
        <w:t xml:space="preserve"> ;</w:t>
      </w:r>
    </w:p>
    <w:p>
      <w:pPr>
        <w:pStyle w:val="ListParagraph"/>
        <w:numPr>
          <w:ilvl w:val="0"/>
          <w:numId w:val="2"/>
        </w:numPr>
        <w:spacing w:after="80" w:before="40"/>
      </w:pPr>
      <w:r>
        <w:rPr>
          <w:color w:val="1B1917"/>
          <w:sz w:val="21"/>
          <w:szCs w:val="21"/>
        </w:rPr>
        <w:t xml:space="preserve">déclarer une commission dans </w:t>
      </w:r>
      <w:r>
        <w:rPr>
          <w:rFonts w:ascii="Consolas" w:cs="Consolas" w:eastAsia="Consolas" w:hAnsi="Consolas"/>
          <w:color w:val="1B1917"/>
          <w:sz w:val="21"/>
          <w:szCs w:val="21"/>
        </w:rPr>
        <w:t xml:space="preserve">fee.codes</w:t>
      </w:r>
      <w:r>
        <w:rPr>
          <w:color w:val="1B1917"/>
          <w:sz w:val="21"/>
          <w:szCs w:val="21"/>
        </w:rPr>
        <w:t xml:space="preserve"> </w:t>
      </w:r>
      <w:r>
        <w:rPr>
          <w:b/>
          <w:bCs/>
          <w:color w:val="1B1917"/>
          <w:sz w:val="21"/>
          <w:szCs w:val="21"/>
        </w:rPr>
        <w:t xml:space="preserve">ouvre son bloc</w:t>
      </w:r>
      <w:r>
        <w:rPr>
          <w:color w:val="1B1917"/>
          <w:sz w:val="21"/>
          <w:szCs w:val="21"/>
        </w:rPr>
        <w:t xml:space="preserve"> de champs : compte de produit, montant ou taux, périodicité, taxe.</w:t>
      </w:r>
    </w:p>
    <w:p>
      <w:pPr>
        <w:spacing w:after="180" w:before="0" w:line="290"/>
        <w:jc w:val="both"/>
      </w:pPr>
      <w:r>
        <w:rPr>
          <w:color w:val="1B1917"/>
          <w:sz w:val="21"/>
          <w:szCs w:val="21"/>
        </w:rPr>
        <w:t xml:space="preserve">Les </w:t>
      </w:r>
      <w:r>
        <w:rPr>
          <w:b/>
          <w:bCs/>
          <w:color w:val="1B1917"/>
          <w:sz w:val="21"/>
          <w:szCs w:val="21"/>
        </w:rPr>
        <w:t xml:space="preserve">comptes d'imputation</w:t>
      </w:r>
      <w:r>
        <w:rPr>
          <w:color w:val="1B1917"/>
          <w:sz w:val="21"/>
          <w:szCs w:val="21"/>
        </w:rPr>
        <w:t xml:space="preserve"> ne se tapent pas : ils se cherchent dans le plan comptable, par leur numéro. Ce qui a été retenu s'affiche en clair — </w:t>
      </w:r>
      <w:r>
        <w:rPr>
          <w:rFonts w:ascii="Consolas" w:cs="Consolas" w:eastAsia="Consolas" w:hAnsi="Consolas"/>
          <w:color w:val="1B1917"/>
          <w:sz w:val="21"/>
          <w:szCs w:val="21"/>
        </w:rPr>
        <w:t xml:space="preserve">602100 · débit · résultat</w:t>
      </w:r>
      <w:r>
        <w:rPr>
          <w:color w:val="1B1917"/>
          <w:sz w:val="21"/>
          <w:szCs w:val="21"/>
        </w:rPr>
        <w:t xml:space="preserve"> — parce qu'un compte de produits retenu là où il fallait un compte de charges ne se verrait jamais sur un identifiant.</w:t>
      </w:r>
    </w:p>
    <w:p>
      <w:pPr>
        <w:pBdr>
          <w:left w:val="single" w:color="1F4E46" w:sz="18" w:space="10"/>
        </w:pBdr>
        <w:shd w:fill="F6F3EC" w:color="auto" w:val="clear"/>
        <w:spacing w:after="200" w:before="160"/>
        <w:ind w:left="240" w:right="200"/>
      </w:pPr>
      <w:r>
        <w:rPr>
          <w:b/>
          <w:bCs/>
          <w:color w:val="1B1917"/>
          <w:sz w:val="21"/>
          <w:szCs w:val="21"/>
        </w:rPr>
        <w:t xml:space="preserve">Un brouillon a le droit d'être incomplet.</w:t>
      </w:r>
      <w:r>
        <w:rPr>
          <w:color w:val="1B1917"/>
          <w:sz w:val="21"/>
          <w:szCs w:val="21"/>
        </w:rPr>
        <w:t xml:space="preserve"> Ce qui manquera à l'activation est listé au bas du formulaire, et n'empêche pas d'enregistrer. Autant le voir maintenant : ce sont exactement les lignes que le système opposera le jour de l'activation.</w:t>
      </w:r>
    </w:p>
    <w:p>
      <w:pPr>
        <w:spacing w:after="180" w:before="0" w:line="290"/>
        <w:jc w:val="both"/>
      </w:pPr>
      <w:r>
        <w:rPr>
          <w:b/>
          <w:bCs/>
          <w:color w:val="1B1917"/>
          <w:sz w:val="21"/>
          <w:szCs w:val="21"/>
        </w:rPr>
        <w:t xml:space="preserve">Repartir d'une version existante</w:t>
      </w:r>
      <w:r>
        <w:rPr>
          <w:color w:val="1B1917"/>
          <w:sz w:val="21"/>
          <w:szCs w:val="21"/>
        </w:rPr>
        <w:t xml:space="preserve"> copie tout son paramétrage — sauf sa date d'entrée en vigueur, qui ne se copie jamais. C'est le geste courant : une nouvelle version change deux lignes sur quarante, et tout ressaisir est la meilleure façon d'introduire une faute là où il n'y en avait pas.</w:t>
      </w:r>
    </w:p>
    <w:p>
      <w:pPr>
        <w:pStyle w:val="Heading2"/>
        <w:spacing w:after="140" w:before="320"/>
      </w:pPr>
      <w:r>
        <w:rPr>
          <w:b/>
          <w:bCs/>
          <w:color w:val="1B1917"/>
          <w:sz w:val="23"/>
          <w:szCs w:val="23"/>
        </w:rPr>
        <w:t xml:space="preserve">Activer</w:t>
      </w:r>
    </w:p>
    <w:p>
      <w:pPr>
        <w:spacing w:after="180" w:before="0" w:line="290"/>
        <w:jc w:val="both"/>
      </w:pPr>
      <w:r>
        <w:rPr>
          <w:b/>
          <w:bCs/>
          <w:color w:val="1B1917"/>
          <w:sz w:val="21"/>
          <w:szCs w:val="21"/>
        </w:rPr>
        <w:t xml:space="preserve">À deux.</w:t>
      </w:r>
      <w:r>
        <w:rPr>
          <w:color w:val="1B1917"/>
          <w:sz w:val="21"/>
          <w:szCs w:val="21"/>
        </w:rPr>
        <w:t xml:space="preserve"> Et le système confronte d'abord le paramétrage à sa famille : ce qui manque est refusé ici, devant vous, plutôt que la nuit sur une étape bloquante de l'arrêté.</w:t>
      </w:r>
    </w:p>
    <w:p>
      <w:pPr>
        <w:spacing w:after="180" w:before="0" w:line="290"/>
        <w:jc w:val="both"/>
      </w:pPr>
      <w:r>
        <w:rPr>
          <w:color w:val="1B1917"/>
          <w:sz w:val="21"/>
          <w:szCs w:val="21"/>
        </w:rPr>
        <w:t xml:space="preserve">Le rédacteur ne valide pas sa propre version. Ce n'est pas un réglage : la base elle-même le refuse.</w:t>
      </w:r>
    </w:p>
    <w:p>
      <w:pPr>
        <w:pStyle w:val="Heading2"/>
        <w:spacing w:after="140" w:before="320"/>
      </w:pPr>
      <w:r>
        <w:rPr>
          <w:b/>
          <w:bCs/>
          <w:color w:val="1B1917"/>
          <w:sz w:val="23"/>
          <w:szCs w:val="23"/>
        </w:rPr>
        <w:t xml:space="preserve">Fermer une validité</w:t>
      </w:r>
    </w:p>
    <w:p>
      <w:pPr>
        <w:spacing w:after="180" w:before="0" w:line="290"/>
        <w:jc w:val="both"/>
      </w:pPr>
      <w:r>
        <w:rPr>
          <w:b/>
          <w:bCs/>
          <w:color w:val="1B1917"/>
          <w:sz w:val="21"/>
          <w:szCs w:val="21"/>
        </w:rPr>
        <w:t xml:space="preserve">Un produit ne se retire pas : sa validité se ferme.</w:t>
      </w:r>
      <w:r>
        <w:rPr>
          <w:color w:val="1B1917"/>
          <w:sz w:val="21"/>
          <w:szCs w:val="21"/>
        </w:rPr>
        <w:t xml:space="preserve"> Les comptes déjà rattachés continuent de résoudre ce paramétrage pour les journées qu'il couvre — rien de ce qui a été produit ne change.</w:t>
      </w:r>
    </w:p>
    <w:p>
      <w:pPr>
        <w:pBdr>
          <w:left w:val="single" w:color="1F4E46" w:sz="18" w:space="10"/>
        </w:pBdr>
        <w:shd w:fill="F6F3EC" w:color="auto" w:val="clear"/>
        <w:spacing w:after="200" w:before="160"/>
        <w:ind w:left="240" w:right="200"/>
      </w:pPr>
      <w:r>
        <w:rPr>
          <w:b/>
          <w:bCs/>
          <w:color w:val="1B1917"/>
          <w:sz w:val="21"/>
          <w:szCs w:val="21"/>
        </w:rPr>
        <w:t xml:space="preserve">C'est aussi ce qui débloque la suite.</w:t>
      </w:r>
      <w:r>
        <w:rPr>
          <w:color w:val="1B1917"/>
          <w:sz w:val="21"/>
          <w:szCs w:val="21"/>
        </w:rPr>
        <w:t xml:space="preserve"> Deux versions en vigueur ne peuvent pas se chevaucher. Tant qu'une version reste </w:t>
      </w:r>
      <w:r>
        <w:rPr>
          <w:b/>
          <w:bCs/>
          <w:color w:val="1B1917"/>
          <w:sz w:val="21"/>
          <w:szCs w:val="21"/>
        </w:rPr>
        <w:t xml:space="preserve">sans terme</w:t>
      </w:r>
      <w:r>
        <w:rPr>
          <w:color w:val="1B1917"/>
          <w:sz w:val="21"/>
          <w:szCs w:val="21"/>
        </w:rPr>
        <w:t xml:space="preserve">, aucune autre version de ce produit ne peut être activée. L'écran le signale sur la ligne concernée. Pour changer un paramétrage, fermez d'abord la version en cours.</w:t>
      </w:r>
    </w:p>
    <w:p>
      <w:pPr>
        <w:spacing w:after="180" w:before="0" w:line="290"/>
        <w:jc w:val="both"/>
      </w:pPr>
      <w:r>
        <w:rPr>
          <w:color w:val="1B1917"/>
          <w:sz w:val="21"/>
          <w:szCs w:val="21"/>
        </w:rPr>
        <w:t xml:space="preserve">La fermeture se demande </w:t>
      </w:r>
      <w:r>
        <w:rPr>
          <w:b/>
          <w:bCs/>
          <w:color w:val="1B1917"/>
          <w:sz w:val="21"/>
          <w:szCs w:val="21"/>
        </w:rPr>
        <w:t xml:space="preserve">à deux</w:t>
      </w:r>
      <w:r>
        <w:rPr>
          <w:color w:val="1B1917"/>
          <w:sz w:val="21"/>
          <w:szCs w:val="21"/>
        </w:rPr>
        <w:t xml:space="preserve">, et sa date ne peut pas être antérieure à la </w:t>
      </w:r>
      <w:r>
        <w:rPr>
          <w:b/>
          <w:bCs/>
          <w:color w:val="1B1917"/>
          <w:sz w:val="21"/>
          <w:szCs w:val="21"/>
        </w:rPr>
        <w:t xml:space="preserve">date comptable de la banque</w:t>
      </w:r>
      <w:r>
        <w:rPr>
          <w:color w:val="1B1917"/>
          <w:sz w:val="21"/>
          <w:szCs w:val="21"/>
        </w:rPr>
        <w:t xml:space="preserve"> : fermer une journée déjà arrêtée changerait ce qu'un rejeu résoudrait, donc les montants.</w:t>
      </w:r>
    </w:p>
    <w:p>
      <w:pPr>
        <w:pStyle w:val="Heading2"/>
        <w:spacing w:after="140" w:before="320"/>
      </w:pPr>
      <w:r>
        <w:rPr>
          <w:b/>
          <w:bCs/>
          <w:color w:val="1B1917"/>
          <w:sz w:val="23"/>
          <w:szCs w:val="23"/>
        </w:rPr>
        <w:t xml:space="preserve">Retirer un brouillon</w:t>
      </w:r>
    </w:p>
    <w:p>
      <w:pPr>
        <w:spacing w:after="180" w:before="0" w:line="290"/>
        <w:jc w:val="both"/>
      </w:pPr>
      <w:r>
        <w:rPr>
          <w:color w:val="1B1917"/>
          <w:sz w:val="21"/>
          <w:szCs w:val="21"/>
        </w:rPr>
        <w:t xml:space="preserve">Seul acte du paramétrage produit qui ne se fasse pas à deux : un brouillon n'engage rien. Il n'est pas supprimé pour autant — il passe en </w:t>
      </w:r>
      <w:r>
        <w:rPr>
          <w:i/>
          <w:iCs/>
          <w:color w:val="1B1917"/>
          <w:sz w:val="21"/>
          <w:szCs w:val="21"/>
        </w:rPr>
        <w:t xml:space="preserve">Retirée</w:t>
      </w:r>
      <w:r>
        <w:rPr>
          <w:color w:val="1B1917"/>
          <w:sz w:val="21"/>
          <w:szCs w:val="21"/>
        </w:rPr>
        <w:t xml:space="preserve">, et reste lisible.</w:t>
      </w:r>
    </w:p>
    <w:p>
      <w:pPr>
        <w:pStyle w:val="Heading1"/>
        <w:pBdr>
          <w:bottom w:val="single" w:color="D8D2C6" w:sz="3" w:space="8"/>
        </w:pBdr>
        <w:spacing w:after="140" w:before="420"/>
      </w:pPr>
      <w:r>
        <w:rPr>
          <w:b/>
          <w:bCs/>
          <w:color w:val="1B1917"/>
          <w:sz w:val="27"/>
          <w:szCs w:val="27"/>
        </w:rPr>
        <w:t xml:space="preserve">Les agences</w:t>
      </w:r>
    </w:p>
    <w:p>
      <w:pPr>
        <w:keepNext/>
        <w:spacing w:after="60" w:before="200"/>
        <w:jc w:val="center"/>
      </w:pPr>
      <w:r>
        <w:drawing>
          <wp:inline distT="0" distB="0" distL="0" distR="0">
            <wp:extent cx="59721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143375"/>
                    </a:xfrm>
                    <a:prstGeom prst="rect">
                      <a:avLst/>
                    </a:prstGeom>
                  </pic:spPr>
                </pic:pic>
              </a:graphicData>
            </a:graphic>
          </wp:inline>
        </w:drawing>
      </w:r>
    </w:p>
    <w:p>
      <w:pPr>
        <w:spacing w:after="280"/>
        <w:jc w:val="center"/>
      </w:pPr>
      <w:r>
        <w:rPr>
          <w:i/>
          <w:iCs/>
          <w:color w:val="4A4540"/>
          <w:sz w:val="17"/>
          <w:szCs w:val="17"/>
        </w:rPr>
        <w:t xml:space="preserve">Figure 29 — Le réseau : le siège, les régions, les agences.</w:t>
      </w:r>
    </w:p>
    <w:p>
      <w:pPr>
        <w:spacing w:after="180" w:before="0" w:line="290"/>
        <w:jc w:val="both"/>
      </w:pPr>
      <w:r>
        <w:rPr>
          <w:color w:val="1B1917"/>
          <w:sz w:val="21"/>
          <w:szCs w:val="21"/>
        </w:rPr>
        <w:t xml:space="preserve">Le réseau décide de l'imputation : chaque compte appartient à une agence, chaque solde se tient par agence, et une opération entre deux agences transite par un </w:t>
      </w:r>
      <w:r>
        <w:rPr>
          <w:b/>
          <w:bCs/>
          <w:color w:val="1B1917"/>
          <w:sz w:val="21"/>
          <w:szCs w:val="21"/>
        </w:rPr>
        <w:t xml:space="preserve">compte de liaison</w:t>
      </w:r>
      <w:r>
        <w:rPr>
          <w:color w:val="1B1917"/>
          <w:sz w:val="21"/>
          <w:szCs w:val="21"/>
        </w:rPr>
        <w:t xml:space="preserve"> tenu au siège.</w:t>
      </w:r>
    </w:p>
    <w:p>
      <w:pPr>
        <w:spacing w:after="180" w:before="0" w:line="290"/>
        <w:jc w:val="both"/>
      </w:pPr>
      <w:r>
        <w:rPr>
          <w:color w:val="1B1917"/>
          <w:sz w:val="21"/>
          <w:szCs w:val="21"/>
        </w:rPr>
        <w:t xml:space="preserve">La table se lit comme un arbre : le siège en tête, puis les directions régionales, puis leurs agences, décalées d'un cran à chaque niveau.</w:t>
      </w:r>
    </w:p>
    <w:p>
      <w:pPr>
        <w:pStyle w:val="Heading2"/>
        <w:spacing w:after="140" w:before="320"/>
      </w:pPr>
      <w:r>
        <w:rPr>
          <w:b/>
          <w:bCs/>
          <w:color w:val="1B1917"/>
          <w:sz w:val="23"/>
          <w:szCs w:val="23"/>
        </w:rPr>
        <w:t xml:space="preserve">Créer une agence</w:t>
      </w:r>
    </w:p>
    <w:p>
      <w:pPr>
        <w:spacing w:after="180" w:before="0" w:line="290"/>
        <w:jc w:val="both"/>
      </w:pPr>
      <w:r>
        <w:rPr>
          <w:i/>
          <w:iCs/>
          <w:color w:val="1B1917"/>
          <w:sz w:val="21"/>
          <w:szCs w:val="21"/>
        </w:rPr>
        <w:t xml:space="preserve">Nouvelle agence</w:t>
      </w:r>
      <w:r>
        <w:rPr>
          <w:color w:val="1B1917"/>
          <w:sz w:val="21"/>
          <w:szCs w:val="21"/>
        </w:rPr>
        <w:t xml:space="preserve">, puis le code, le nom, la nature (agence ou direction régionale), le rattachement et la date d'ouverture.</w:t>
      </w:r>
    </w:p>
    <w:p>
      <w:pPr>
        <w:pBdr>
          <w:left w:val="single" w:color="1F4E46" w:sz="18" w:space="10"/>
        </w:pBdr>
        <w:shd w:fill="F6F3EC" w:color="auto" w:val="clear"/>
        <w:spacing w:after="200" w:before="160"/>
        <w:ind w:left="240" w:right="200"/>
      </w:pPr>
      <w:r>
        <w:rPr>
          <w:b/>
          <w:bCs/>
          <w:color w:val="1B1917"/>
          <w:sz w:val="21"/>
          <w:szCs w:val="21"/>
        </w:rPr>
        <w:t xml:space="preserve">Le code ne se change plus.</w:t>
      </w:r>
      <w:r>
        <w:rPr>
          <w:color w:val="1B1917"/>
          <w:sz w:val="21"/>
          <w:szCs w:val="21"/>
        </w:rPr>
        <w:t xml:space="preserve"> Il figure dans les numéros de compte que cette agence ouvrira. C'est pourquoi une création se valide </w:t>
      </w:r>
      <w:r>
        <w:rPr>
          <w:b/>
          <w:bCs/>
          <w:color w:val="1B1917"/>
          <w:sz w:val="21"/>
          <w:szCs w:val="21"/>
        </w:rPr>
        <w:t xml:space="preserve">à deux</w:t>
      </w:r>
      <w:r>
        <w:rPr>
          <w:color w:val="1B1917"/>
          <w:sz w:val="21"/>
          <w:szCs w:val="21"/>
        </w:rPr>
        <w:t xml:space="preserve">, comme une opération.</w:t>
      </w:r>
    </w:p>
    <w:p>
      <w:pPr>
        <w:spacing w:after="180" w:before="0" w:line="290"/>
        <w:jc w:val="both"/>
      </w:pPr>
      <w:r>
        <w:rPr>
          <w:color w:val="1B1917"/>
          <w:sz w:val="21"/>
          <w:szCs w:val="21"/>
        </w:rPr>
        <w:t xml:space="preserve">Une agence se rattache au siège ou à une région — jamais à une autre agence. Seul le siège n'a pas de parent.</w:t>
      </w:r>
    </w:p>
    <w:p>
      <w:pPr>
        <w:pStyle w:val="Heading2"/>
        <w:spacing w:after="140" w:before="320"/>
      </w:pPr>
      <w:r>
        <w:rPr>
          <w:b/>
          <w:bCs/>
          <w:color w:val="1B1917"/>
          <w:sz w:val="23"/>
          <w:szCs w:val="23"/>
        </w:rPr>
        <w:t xml:space="preserve">Le compte de liaison</w:t>
      </w:r>
    </w:p>
    <w:p>
      <w:pPr>
        <w:spacing w:after="180" w:before="0" w:line="290"/>
        <w:jc w:val="both"/>
      </w:pPr>
      <w:r>
        <w:rPr>
          <w:color w:val="1B1917"/>
          <w:sz w:val="21"/>
          <w:szCs w:val="21"/>
        </w:rPr>
        <w:t xml:space="preserve">C'est le champ qu'on oublie, et celui qui coûte le plus cher à oublier.</w:t>
      </w:r>
    </w:p>
    <w:p>
      <w:pPr>
        <w:pBdr>
          <w:left w:val="single" w:color="1F4E46" w:sz="18" w:space="10"/>
        </w:pBdr>
        <w:shd w:fill="F6F3EC" w:color="auto" w:val="clear"/>
        <w:spacing w:after="200" w:before="160"/>
        <w:ind w:left="240" w:right="200"/>
      </w:pPr>
      <w:r>
        <w:rPr>
          <w:color w:val="1B1917"/>
          <w:sz w:val="21"/>
          <w:szCs w:val="21"/>
        </w:rPr>
        <w:t xml:space="preserve">Une écriture entre deux agences ne passe pas d'un compte client à l'autre : elle transite par un </w:t>
      </w:r>
      <w:r>
        <w:rPr>
          <w:b/>
          <w:bCs/>
          <w:color w:val="1B1917"/>
          <w:sz w:val="21"/>
          <w:szCs w:val="21"/>
        </w:rPr>
        <w:t xml:space="preserve">compte de liaison</w:t>
      </w:r>
      <w:r>
        <w:rPr>
          <w:color w:val="1B1917"/>
          <w:sz w:val="21"/>
          <w:szCs w:val="21"/>
        </w:rPr>
        <w:t xml:space="preserve"> tenu au siège, </w:t>
      </w:r>
      <w:r>
        <w:rPr>
          <w:b/>
          <w:bCs/>
          <w:color w:val="1B1917"/>
          <w:sz w:val="21"/>
          <w:szCs w:val="21"/>
        </w:rPr>
        <w:t xml:space="preserve">dans la devise de l'opération</w:t>
      </w:r>
      <w:r>
        <w:rPr>
          <w:color w:val="1B1917"/>
          <w:sz w:val="21"/>
          <w:szCs w:val="21"/>
        </w:rPr>
        <w:t xml:space="preserve">. Sans lui, la première opération déplacée échoue — en agence, devant un client.</w:t>
      </w:r>
    </w:p>
    <w:p>
      <w:pPr>
        <w:spacing w:after="180" w:before="0" w:line="290"/>
        <w:jc w:val="both"/>
      </w:pPr>
      <w:r>
        <w:rPr>
          <w:color w:val="1B1917"/>
          <w:sz w:val="21"/>
          <w:szCs w:val="21"/>
        </w:rPr>
        <w:t xml:space="preserve">L'écran en exige au moins un, et propose d'abord la devise de tenue de la banque. Une banque qui opère en plusieurs devises en ajoute autant qu'elle en tient.</w:t>
      </w:r>
    </w:p>
    <w:p>
      <w:pPr>
        <w:pStyle w:val="Heading1"/>
        <w:pBdr>
          <w:bottom w:val="single" w:color="D8D2C6" w:sz="3" w:space="8"/>
        </w:pBdr>
        <w:spacing w:after="140" w:before="420"/>
      </w:pPr>
      <w:r>
        <w:rPr>
          <w:b/>
          <w:bCs/>
          <w:color w:val="1B1917"/>
          <w:sz w:val="27"/>
          <w:szCs w:val="27"/>
        </w:rPr>
        <w:t xml:space="preserve">Le calendrier et les conditions de banque</w:t>
      </w:r>
    </w:p>
    <w:p>
      <w:pPr>
        <w:keepNext/>
        <w:spacing w:after="60" w:before="200"/>
        <w:jc w:val="center"/>
      </w:pPr>
      <w:r>
        <w:drawing>
          <wp:inline distT="0" distB="0" distL="0" distR="0">
            <wp:extent cx="59721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143375"/>
                    </a:xfrm>
                    <a:prstGeom prst="rect">
                      <a:avLst/>
                    </a:prstGeom>
                  </pic:spPr>
                </pic:pic>
              </a:graphicData>
            </a:graphic>
          </wp:inline>
        </w:drawing>
      </w:r>
    </w:p>
    <w:p>
      <w:pPr>
        <w:spacing w:after="280"/>
        <w:jc w:val="center"/>
      </w:pPr>
      <w:r>
        <w:rPr>
          <w:i/>
          <w:iCs/>
          <w:color w:val="4A4540"/>
          <w:sz w:val="17"/>
          <w:szCs w:val="17"/>
        </w:rPr>
        <w:t xml:space="preserve">Figure 30 — Les trois choses qui décident d'une date de valeur.</w:t>
      </w:r>
    </w:p>
    <w:p>
      <w:pPr>
        <w:spacing w:after="180" w:before="0" w:line="290"/>
        <w:jc w:val="both"/>
      </w:pPr>
      <w:r>
        <w:rPr>
          <w:color w:val="1B1917"/>
          <w:sz w:val="21"/>
          <w:szCs w:val="21"/>
        </w:rPr>
        <w:t xml:space="preserve">Une date de valeur est le produit de </w:t>
      </w:r>
      <w:r>
        <w:rPr>
          <w:b/>
          <w:bCs/>
          <w:color w:val="1B1917"/>
          <w:sz w:val="21"/>
          <w:szCs w:val="21"/>
        </w:rPr>
        <w:t xml:space="preserve">trois</w:t>
      </w:r>
      <w:r>
        <w:rPr>
          <w:color w:val="1B1917"/>
          <w:sz w:val="21"/>
          <w:szCs w:val="21"/>
        </w:rPr>
        <w:t xml:space="preserve"> choses : une règle, une heure limite et le calendrier. C'est pourquoi elles sont sur le même écran.</w:t>
      </w:r>
    </w:p>
    <w:p>
      <w:pPr>
        <w:pBdr>
          <w:left w:val="single" w:color="1F4E46" w:sz="18" w:space="10"/>
        </w:pBdr>
        <w:shd w:fill="F6F3EC" w:color="auto" w:val="clear"/>
        <w:spacing w:after="200" w:before="160"/>
        <w:ind w:left="240" w:right="200"/>
      </w:pPr>
      <w:r>
        <w:rPr>
          <w:color w:val="1B1917"/>
          <w:sz w:val="21"/>
          <w:szCs w:val="21"/>
        </w:rPr>
        <w:t xml:space="preserve">Un virement reçu à 15 h par la compensation, un jeudi veille de férié : la règle dit +2 jours ouvrés, l'heure limite de 14 h 30 le repousse au lendemain, le calendrier saute le férié puis le week-end. Séparées sur trois écrans, ces trois choses ne permettraient jamais d'expliquer la date qu'un client conteste.</w:t>
      </w:r>
    </w:p>
    <w:p>
      <w:pPr>
        <w:spacing w:after="180" w:before="0" w:line="290"/>
        <w:jc w:val="both"/>
      </w:pPr>
      <w:r>
        <w:rPr>
          <w:color w:val="1B1917"/>
          <w:sz w:val="21"/>
          <w:szCs w:val="21"/>
        </w:rPr>
        <w:t xml:space="preserve">En tête : le calendrier rattaché, le week-end et la </w:t>
      </w:r>
      <w:r>
        <w:rPr>
          <w:b/>
          <w:bCs/>
          <w:color w:val="1B1917"/>
          <w:sz w:val="21"/>
          <w:szCs w:val="21"/>
        </w:rPr>
        <w:t xml:space="preserve">période couverte</w:t>
      </w:r>
      <w:r>
        <w:rPr>
          <w:color w:val="1B1917"/>
          <w:sz w:val="21"/>
          <w:szCs w:val="21"/>
        </w:rPr>
        <w:t xml:space="preserve">.</w:t>
      </w:r>
    </w:p>
    <w:p>
      <w:pPr>
        <w:pBdr>
          <w:left w:val="single" w:color="1F4E46" w:sz="18" w:space="10"/>
        </w:pBdr>
        <w:shd w:fill="F6F3EC" w:color="auto" w:val="clear"/>
        <w:spacing w:after="200" w:before="160"/>
        <w:ind w:left="240" w:right="200"/>
      </w:pPr>
      <w:r>
        <w:rPr>
          <w:color w:val="1B1917"/>
          <w:sz w:val="21"/>
          <w:szCs w:val="21"/>
        </w:rPr>
        <w:t xml:space="preserve">Hors de cette période, le calendrier </w:t>
      </w:r>
      <w:r>
        <w:rPr>
          <w:b/>
          <w:bCs/>
          <w:color w:val="1B1917"/>
          <w:sz w:val="21"/>
          <w:szCs w:val="21"/>
        </w:rPr>
        <w:t xml:space="preserve">refuse de répondre</w:t>
      </w:r>
      <w:r>
        <w:rPr>
          <w:color w:val="1B1917"/>
          <w:sz w:val="21"/>
          <w:szCs w:val="21"/>
        </w:rPr>
        <w:t xml:space="preserve"> plutôt que de présumer qu'un jour non saisi est ouvré. Il se prolonge avant d'arriver au bout — pas après.</w:t>
      </w:r>
    </w:p>
    <w:p>
      <w:pPr>
        <w:pStyle w:val="Heading2"/>
        <w:spacing w:after="140" w:before="320"/>
      </w:pPr>
      <w:r>
        <w:rPr>
          <w:b/>
          <w:bCs/>
          <w:color w:val="1B1917"/>
          <w:sz w:val="23"/>
          <w:szCs w:val="23"/>
        </w:rPr>
        <w:t xml:space="preserve">Jours fériés</w:t>
      </w:r>
    </w:p>
    <w:p>
      <w:pPr>
        <w:spacing w:after="180" w:before="0" w:line="290"/>
        <w:jc w:val="both"/>
      </w:pPr>
      <w:r>
        <w:rPr>
          <w:color w:val="1B1917"/>
          <w:sz w:val="21"/>
          <w:szCs w:val="21"/>
        </w:rPr>
        <w:t xml:space="preserve">Date et libellé. Le libellé est ce qui explique, des années après, pourquoi une échéance a été reportée.</w:t>
      </w:r>
    </w:p>
    <w:p>
      <w:pPr>
        <w:spacing w:after="180" w:before="0" w:line="290"/>
        <w:jc w:val="both"/>
      </w:pPr>
      <w:r>
        <w:rPr>
          <w:color w:val="1B1917"/>
          <w:sz w:val="21"/>
          <w:szCs w:val="21"/>
        </w:rPr>
        <w:t xml:space="preserve">Un férié hors de la période couverte est refusé : il ne servirait à rien.</w:t>
      </w:r>
    </w:p>
    <w:p>
      <w:pPr>
        <w:pStyle w:val="Heading2"/>
        <w:spacing w:after="140" w:before="320"/>
      </w:pPr>
      <w:r>
        <w:rPr>
          <w:b/>
          <w:bCs/>
          <w:color w:val="1B1917"/>
          <w:sz w:val="23"/>
          <w:szCs w:val="23"/>
        </w:rPr>
        <w:t xml:space="preserve">Dates de valeur</w:t>
      </w:r>
    </w:p>
    <w:p>
      <w:pPr>
        <w:spacing w:after="180" w:before="0" w:line="290"/>
        <w:jc w:val="both"/>
      </w:pPr>
      <w:r>
        <w:rPr>
          <w:color w:val="1B1917"/>
          <w:sz w:val="21"/>
          <w:szCs w:val="21"/>
        </w:rPr>
        <w:t xml:space="preserve">Chaque règle s'affiche en </w:t>
      </w:r>
      <w:r>
        <w:rPr>
          <w:b/>
          <w:bCs/>
          <w:color w:val="1B1917"/>
          <w:sz w:val="21"/>
          <w:szCs w:val="21"/>
        </w:rPr>
        <w:t xml:space="preserve">une phrase</w:t>
      </w:r>
      <w:r>
        <w:rPr>
          <w:color w:val="1B1917"/>
          <w:sz w:val="21"/>
          <w:szCs w:val="21"/>
        </w:rPr>
        <w:t xml:space="preserve"> — celle qu'on répète au client :</w:t>
      </w:r>
    </w:p>
    <w:p>
      <w:pPr>
        <w:pBdr>
          <w:left w:val="single" w:color="1F4E46" w:sz="18" w:space="10"/>
        </w:pBdr>
        <w:shd w:fill="F6F3EC" w:color="auto" w:val="clear"/>
        <w:spacing w:after="200" w:before="160"/>
        <w:ind w:left="240" w:right="200"/>
      </w:pPr>
      <w:r>
        <w:rPr>
          <w:i/>
          <w:iCs/>
          <w:color w:val="1B1917"/>
          <w:sz w:val="21"/>
          <w:szCs w:val="21"/>
        </w:rPr>
        <w:t xml:space="preserve">TRANSFER (par CLEARING), au crédit : +2 jours ouvrés, jour ouvré suivant.</w:t>
      </w:r>
    </w:p>
    <w:p>
      <w:pPr>
        <w:spacing w:after="180" w:before="0" w:line="290"/>
        <w:jc w:val="both"/>
      </w:pPr>
      <w:r>
        <w:rPr>
          <w:color w:val="1B1917"/>
          <w:sz w:val="21"/>
          <w:szCs w:val="21"/>
        </w:rPr>
        <w:t xml:space="preserve">Une règle vise un </w:t>
      </w:r>
      <w:r>
        <w:rPr>
          <w:b/>
          <w:bCs/>
          <w:color w:val="1B1917"/>
          <w:sz w:val="21"/>
          <w:szCs w:val="21"/>
        </w:rPr>
        <w:t xml:space="preserve">type d'opération</w:t>
      </w:r>
      <w:r>
        <w:rPr>
          <w:color w:val="1B1917"/>
          <w:sz w:val="21"/>
          <w:szCs w:val="21"/>
        </w:rPr>
        <w:t xml:space="preserve">, un </w:t>
      </w:r>
      <w:r>
        <w:rPr>
          <w:b/>
          <w:bCs/>
          <w:color w:val="1B1917"/>
          <w:sz w:val="21"/>
          <w:szCs w:val="21"/>
        </w:rPr>
        <w:t xml:space="preserve">sens</w:t>
      </w:r>
      <w:r>
        <w:rPr>
          <w:color w:val="1B1917"/>
          <w:sz w:val="21"/>
          <w:szCs w:val="21"/>
        </w:rPr>
        <w:t xml:space="preserve"> et éventuellement un </w:t>
      </w:r>
      <w:r>
        <w:rPr>
          <w:b/>
          <w:bCs/>
          <w:color w:val="1B1917"/>
          <w:sz w:val="21"/>
          <w:szCs w:val="21"/>
        </w:rPr>
        <w:t xml:space="preserve">canal</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Le sens compte.</w:t>
      </w:r>
      <w:r>
        <w:rPr>
          <w:color w:val="1B1917"/>
          <w:sz w:val="21"/>
          <w:szCs w:val="21"/>
        </w:rPr>
        <w:t xml:space="preserve"> Les conditions de banque décalent rarement le débit et le crédit de la même façon, et c'est précisément cette asymétrie qui se facture.</w:t>
      </w:r>
    </w:p>
    <w:p>
      <w:pPr>
        <w:spacing w:after="180" w:before="0" w:line="290"/>
        <w:jc w:val="both"/>
      </w:pPr>
      <w:r>
        <w:rPr>
          <w:color w:val="1B1917"/>
          <w:sz w:val="21"/>
          <w:szCs w:val="21"/>
        </w:rPr>
        <w:t xml:space="preserve">Le décalage se compte en jours ouvrés ou calendaires ; la </w:t>
      </w:r>
      <w:r>
        <w:rPr>
          <w:b/>
          <w:bCs/>
          <w:color w:val="1B1917"/>
          <w:sz w:val="21"/>
          <w:szCs w:val="21"/>
        </w:rPr>
        <w:t xml:space="preserve">convention</w:t>
      </w:r>
      <w:r>
        <w:rPr>
          <w:color w:val="1B1917"/>
          <w:sz w:val="21"/>
          <w:szCs w:val="21"/>
        </w:rPr>
        <w:t xml:space="preserve"> dit ce qui se passe quand la date tombe un jour chômé — reporter au jour ouvré suivant, au précédent, ou ne rien ajuster.</w:t>
      </w:r>
    </w:p>
    <w:p>
      <w:pPr>
        <w:spacing w:after="180" w:before="0" w:line="290"/>
        <w:jc w:val="both"/>
      </w:pPr>
      <w:r>
        <w:rPr>
          <w:color w:val="1B1917"/>
          <w:sz w:val="21"/>
          <w:szCs w:val="21"/>
        </w:rPr>
        <w:t xml:space="preserve">Une règle déplace des intérêts : un jour de valeur sur un solde, c'est un jour d'intérêts gagné ou perdu, sur tous les comptes concernés. Elle se valide donc </w:t>
      </w:r>
      <w:r>
        <w:rPr>
          <w:b/>
          <w:bCs/>
          <w:color w:val="1B1917"/>
          <w:sz w:val="21"/>
          <w:szCs w:val="21"/>
        </w:rPr>
        <w:t xml:space="preserve">à deux</w:t>
      </w:r>
      <w:r>
        <w:rPr>
          <w:color w:val="1B1917"/>
          <w:sz w:val="21"/>
          <w:szCs w:val="21"/>
        </w:rPr>
        <w:t xml:space="preserve">.</w:t>
      </w:r>
    </w:p>
    <w:p>
      <w:pPr>
        <w:pStyle w:val="Heading2"/>
        <w:spacing w:after="140" w:before="320"/>
      </w:pPr>
      <w:r>
        <w:rPr>
          <w:b/>
          <w:bCs/>
          <w:color w:val="1B1917"/>
          <w:sz w:val="23"/>
          <w:szCs w:val="23"/>
        </w:rPr>
        <w:t xml:space="preserve">Heures limites</w:t>
      </w:r>
    </w:p>
    <w:p>
      <w:pPr>
        <w:spacing w:after="180" w:before="0" w:line="290"/>
        <w:jc w:val="both"/>
      </w:pPr>
      <w:r>
        <w:rPr>
          <w:color w:val="1B1917"/>
          <w:sz w:val="21"/>
          <w:szCs w:val="21"/>
        </w:rPr>
        <w:t xml:space="preserve">Au-delà de l'heure limite, l'opération prend la date de valeur du </w:t>
      </w:r>
      <w:r>
        <w:rPr>
          <w:b/>
          <w:bCs/>
          <w:color w:val="1B1917"/>
          <w:sz w:val="21"/>
          <w:szCs w:val="21"/>
        </w:rPr>
        <w:t xml:space="preserve">jour ouvré suivant</w:t>
      </w:r>
      <w:r>
        <w:rPr>
          <w:color w:val="1B1917"/>
          <w:sz w:val="21"/>
          <w:szCs w:val="21"/>
        </w:rPr>
        <w:t xml:space="preserve">. Une heure limite peut aussi </w:t>
      </w:r>
      <w:r>
        <w:rPr>
          <w:b/>
          <w:bCs/>
          <w:color w:val="1B1917"/>
          <w:sz w:val="21"/>
          <w:szCs w:val="21"/>
        </w:rPr>
        <w:t xml:space="preserve">fermer le canal</w:t>
      </w:r>
      <w:r>
        <w:rPr>
          <w:color w:val="1B1917"/>
          <w:sz w:val="21"/>
          <w:szCs w:val="21"/>
        </w:rPr>
        <w:t xml:space="preserve"> : l'opération est alors refusée, et non reportée.</w:t>
      </w:r>
    </w:p>
    <w:p>
      <w:pPr>
        <w:pBdr>
          <w:left w:val="single" w:color="1F4E46" w:sz="18" w:space="10"/>
        </w:pBdr>
        <w:shd w:fill="F6F3EC" w:color="auto" w:val="clear"/>
        <w:spacing w:after="200" w:before="160"/>
        <w:ind w:left="240" w:right="200"/>
      </w:pPr>
      <w:r>
        <w:rPr>
          <w:b/>
          <w:bCs/>
          <w:color w:val="1B1917"/>
          <w:sz w:val="21"/>
          <w:szCs w:val="21"/>
        </w:rPr>
        <w:t xml:space="preserve">Deux heures limites de même portée ne peuvent pas se chevaucher.</w:t>
      </w:r>
      <w:r>
        <w:rPr>
          <w:color w:val="1B1917"/>
          <w:sz w:val="21"/>
          <w:szCs w:val="21"/>
        </w:rPr>
        <w:t xml:space="preserve"> La date de valeur dépendrait de l'ordre de lecture. L'écran refuse le chevauchement à la saisie — le système central le refuserait aussi, mais après le second regard.</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42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 puis un quatrième écran qui part d'un compte : les </w:t>
      </w:r>
      <w:r>
        <w:rPr>
          <w:b/>
          <w:bCs/>
          <w:color w:val="1B1917"/>
          <w:sz w:val="21"/>
          <w:szCs w:val="21"/>
        </w:rPr>
        <w:t xml:space="preserve">chèques et mandats d'un compte</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43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Le compte à débiter se </w:t>
      </w:r>
      <w:r>
        <w:rPr>
          <w:b/>
          <w:bCs/>
          <w:color w:val="1B1917"/>
          <w:sz w:val="21"/>
          <w:szCs w:val="21"/>
        </w:rPr>
        <w:t xml:space="preserve">cherche</w:t>
      </w:r>
      <w:r>
        <w:rPr>
          <w:color w:val="1B1917"/>
          <w:sz w:val="21"/>
          <w:szCs w:val="21"/>
        </w:rPr>
        <w:t xml:space="preserve"> — par son numéro, par le nom du client ou par sa référence — puis s'affiche en clair : numéro, titulaire, agence, devise. Relisez-le avant d'envoyer : c'est ce compte-là qui sera débité.</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44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 cherché par numéro, par nom ou par référence, puis affiché en clair —,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45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chèques et les mandats d'un compte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46 — Les moyens de paiement d'un compte : chéquiers, chèques, incidents, mandats.</w:t>
      </w:r>
    </w:p>
    <w:p>
      <w:pPr>
        <w:spacing w:after="180" w:before="0" w:line="290"/>
        <w:jc w:val="both"/>
      </w:pPr>
      <w:r>
        <w:rPr>
          <w:color w:val="1B1917"/>
          <w:sz w:val="21"/>
          <w:szCs w:val="21"/>
        </w:rPr>
        <w:t xml:space="preserve">Les trois écrans précédents sont des </w:t>
      </w:r>
      <w:r>
        <w:rPr>
          <w:b/>
          <w:bCs/>
          <w:color w:val="1B1917"/>
          <w:sz w:val="21"/>
          <w:szCs w:val="21"/>
        </w:rPr>
        <w:t xml:space="preserve">files</w:t>
      </w:r>
      <w:r>
        <w:rPr>
          <w:color w:val="1B1917"/>
          <w:sz w:val="21"/>
          <w:szCs w:val="21"/>
        </w:rPr>
        <w:t xml:space="preserve"> : on y regarde ce qui attend, tous comptes confondus. Celui-ci part d'un </w:t>
      </w:r>
      <w:r>
        <w:rPr>
          <w:b/>
          <w:bCs/>
          <w:color w:val="1B1917"/>
          <w:sz w:val="21"/>
          <w:szCs w:val="21"/>
        </w:rPr>
        <w:t xml:space="preserve">compte</w:t>
      </w:r>
      <w:r>
        <w:rPr>
          <w:color w:val="1B1917"/>
          <w:sz w:val="21"/>
          <w:szCs w:val="21"/>
        </w:rPr>
        <w:t xml:space="preserve">, parce que ce qu'il porte n'a de sens que sur un compte nommé : un chéquier appartient à un compte, une opposition porte sur un numéro, un mandat est signé par un titulaire.</w:t>
      </w:r>
    </w:p>
    <w:p>
      <w:pPr>
        <w:spacing w:after="180" w:before="0" w:line="290"/>
        <w:jc w:val="both"/>
      </w:pPr>
      <w:r>
        <w:rPr>
          <w:color w:val="1B1917"/>
          <w:sz w:val="21"/>
          <w:szCs w:val="21"/>
        </w:rPr>
        <w:t xml:space="preserve">Vous arrivez ici de deux façons : par la barre de l'espace, en cherchant le compte par son numéro, le nom ou la référence du client ; ou depuis le </w:t>
      </w:r>
      <w:r>
        <w:rPr>
          <w:b/>
          <w:bCs/>
          <w:color w:val="1B1917"/>
          <w:sz w:val="21"/>
          <w:szCs w:val="21"/>
        </w:rPr>
        <w:t xml:space="preserve">dossier client</w:t>
      </w:r>
      <w:r>
        <w:rPr>
          <w:color w:val="1B1917"/>
          <w:sz w:val="21"/>
          <w:szCs w:val="21"/>
        </w:rPr>
        <w:t xml:space="preserve">, en cliquant </w:t>
      </w:r>
      <w:r>
        <w:rPr>
          <w:i/>
          <w:iCs/>
          <w:color w:val="1B1917"/>
          <w:sz w:val="21"/>
          <w:szCs w:val="21"/>
        </w:rPr>
        <w:t xml:space="preserve">Chèques et mandats</w:t>
      </w:r>
      <w:r>
        <w:rPr>
          <w:color w:val="1B1917"/>
          <w:sz w:val="21"/>
          <w:szCs w:val="21"/>
        </w:rPr>
        <w:t xml:space="preserve"> sur la ligne d'un compte — le compte est alors déjà désigné.</w:t>
      </w:r>
    </w:p>
    <w:p>
      <w:pPr>
        <w:pStyle w:val="Heading2"/>
        <w:spacing w:after="140" w:before="320"/>
      </w:pPr>
      <w:r>
        <w:rPr>
          <w:b/>
          <w:bCs/>
          <w:color w:val="1B1917"/>
          <w:sz w:val="23"/>
          <w:szCs w:val="23"/>
        </w:rPr>
        <w:t xml:space="preserve">Chéquiers</w:t>
      </w:r>
    </w:p>
    <w:p>
      <w:pPr>
        <w:spacing w:after="180" w:before="0" w:line="290"/>
        <w:jc w:val="both"/>
      </w:pPr>
      <w:r>
        <w:rPr>
          <w:color w:val="1B1917"/>
          <w:sz w:val="21"/>
          <w:szCs w:val="21"/>
        </w:rPr>
        <w:t xml:space="preserve">La liste des carnets délivrés : les numéros du premier au dernier, la date, les frais, l'état.</w:t>
      </w:r>
    </w:p>
    <w:p>
      <w:pPr>
        <w:spacing w:after="180" w:before="0" w:line="290"/>
        <w:jc w:val="both"/>
      </w:pPr>
      <w:r>
        <w:rPr>
          <w:color w:val="1B1917"/>
          <w:sz w:val="21"/>
          <w:szCs w:val="21"/>
        </w:rPr>
        <w:t xml:space="preserve">Pour en délivrer un, </w:t>
      </w:r>
      <w:r>
        <w:rPr>
          <w:i/>
          <w:iCs/>
          <w:color w:val="1B1917"/>
          <w:sz w:val="21"/>
          <w:szCs w:val="21"/>
        </w:rPr>
        <w:t xml:space="preserve">Délivrer un chéquier</w:t>
      </w:r>
      <w:r>
        <w:rPr>
          <w:color w:val="1B1917"/>
          <w:sz w:val="21"/>
          <w:szCs w:val="21"/>
        </w:rPr>
        <w:t xml:space="preserve">, puis le nombre de chèques — </w:t>
      </w:r>
      <w:r>
        <w:rPr>
          <w:b/>
          <w:bCs/>
          <w:color w:val="1B1917"/>
          <w:sz w:val="21"/>
          <w:szCs w:val="21"/>
        </w:rPr>
        <w:t xml:space="preserve">de 1 à 200</w:t>
      </w:r>
      <w:r>
        <w:rPr>
          <w:color w:val="1B1917"/>
          <w:sz w:val="21"/>
          <w:szCs w:val="21"/>
        </w:rPr>
        <w:t xml:space="preserve">. En deçà il n'y a pas de carnet ; au-delà, une opposition sur perte porterait sur un carnet qu'aucun client n'a pu suivre.</w:t>
      </w:r>
    </w:p>
    <w:p>
      <w:pPr>
        <w:pBdr>
          <w:left w:val="single" w:color="1F4E46" w:sz="18" w:space="10"/>
        </w:pBdr>
        <w:shd w:fill="F6F3EC" w:color="auto" w:val="clear"/>
        <w:spacing w:after="200" w:before="160"/>
        <w:ind w:left="240" w:right="200"/>
      </w:pPr>
      <w:r>
        <w:rPr>
          <w:b/>
          <w:bCs/>
          <w:color w:val="1B1917"/>
          <w:sz w:val="21"/>
          <w:szCs w:val="21"/>
        </w:rPr>
        <w:t xml:space="preserve">Le carnet n'est pas délivré quand vous validez.</w:t>
      </w:r>
      <w:r>
        <w:rPr>
          <w:color w:val="1B1917"/>
          <w:sz w:val="21"/>
          <w:szCs w:val="21"/>
        </w:rPr>
        <w:t xml:space="preserve"> Un chéquier </w:t>
      </w:r>
      <w:r>
        <w:rPr>
          <w:b/>
          <w:bCs/>
          <w:color w:val="1B1917"/>
          <w:sz w:val="21"/>
          <w:szCs w:val="21"/>
        </w:rPr>
        <w:t xml:space="preserve">se délivre à deux</w:t>
      </w:r>
      <w:r>
        <w:rPr>
          <w:color w:val="1B1917"/>
          <w:sz w:val="21"/>
          <w:szCs w:val="21"/>
        </w:rPr>
        <w:t xml:space="preserve"> : votre demande part à la file de validation, et </w:t>
      </w:r>
      <w:r>
        <w:rPr>
          <w:b/>
          <w:bCs/>
          <w:color w:val="1B1917"/>
          <w:sz w:val="21"/>
          <w:szCs w:val="21"/>
        </w:rPr>
        <w:t xml:space="preserve">les numéros sont attribués à ce moment-là</w:t>
      </w:r>
      <w:r>
        <w:rPr>
          <w:color w:val="1B1917"/>
          <w:sz w:val="21"/>
          <w:szCs w:val="21"/>
        </w:rPr>
        <w:t xml:space="preserve">. Dites-le au client plutôt que de le faire attendre au guichet.</w:t>
      </w:r>
    </w:p>
    <w:p>
      <w:pPr>
        <w:pStyle w:val="Heading2"/>
        <w:spacing w:after="140" w:before="320"/>
      </w:pPr>
      <w:r>
        <w:rPr>
          <w:b/>
          <w:bCs/>
          <w:color w:val="1B1917"/>
          <w:sz w:val="23"/>
          <w:szCs w:val="23"/>
        </w:rPr>
        <w:t xml:space="preserve">Chèques</w:t>
      </w:r>
    </w:p>
    <w:p>
      <w:pPr>
        <w:spacing w:after="180" w:before="0" w:line="290"/>
        <w:jc w:val="both"/>
      </w:pPr>
      <w:r>
        <w:rPr>
          <w:color w:val="1B1917"/>
          <w:sz w:val="21"/>
          <w:szCs w:val="21"/>
        </w:rPr>
        <w:t xml:space="preserve">Les chèques du compte, filtrables par état. Chaque état dit ce qu'il attend, au présent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93"/>
        <w:gridCol w:w="8218"/>
      </w:tblGrid>
      <w:tr>
        <w:trPr>
          <w:tblHeader/>
        </w:trPr>
        <w:tc>
          <w:tcPr>
            <w:tcW w:type="dxa" w:w="119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218"/>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En circulation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Délivré au client, jamais présenté. Il peut l'être demain : ce numéro engage encore le compte.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Payé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Payé et comptabilisé. Un chèque payé ne se reprend pas.</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Opposition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Sous opposition. Aucun paiement ne passera sur ce numéro.</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Présenté sans provision suffisante. L'incident est au dossier, et il se déclare.</w:t>
            </w:r>
          </w:p>
        </w:tc>
      </w:tr>
    </w:tbl>
    <w:p>
      <w:pPr>
        <w:spacing w:after="220"/>
      </w:pPr>
    </w:p>
    <w:p>
      <w:pPr>
        <w:spacing w:after="180" w:before="0" w:line="290"/>
        <w:jc w:val="both"/>
      </w:pPr>
      <w:r>
        <w:rPr>
          <w:b/>
          <w:bCs/>
          <w:color w:val="1B1917"/>
          <w:sz w:val="21"/>
          <w:szCs w:val="21"/>
        </w:rPr>
        <w:t xml:space="preserve">Seul un chèque en circulation</w:t>
      </w:r>
      <w:r>
        <w:rPr>
          <w:color w:val="1B1917"/>
          <w:sz w:val="21"/>
          <w:szCs w:val="21"/>
        </w:rPr>
        <w:t xml:space="preserve"> se paie ou se frappe d'opposition. Sur les trois autres, aucun bouton : ce n'est pas un oubli, c'est qu'il n'y a plus rien à faire.</w:t>
      </w:r>
    </w:p>
    <w:p>
      <w:pPr>
        <w:pStyle w:val="Heading3"/>
        <w:spacing w:after="140" w:before="320"/>
      </w:pPr>
      <w:r>
        <w:rPr>
          <w:b/>
          <w:bCs/>
          <w:color w:val="1B1917"/>
          <w:sz w:val="23"/>
          <w:szCs w:val="23"/>
        </w:rPr>
        <w:t xml:space="preserve">Payer un chèque</w:t>
      </w:r>
    </w:p>
    <w:p>
      <w:pPr>
        <w:spacing w:after="180" w:before="0" w:line="290"/>
        <w:jc w:val="both"/>
      </w:pPr>
      <w:r>
        <w:rPr>
          <w:color w:val="1B1917"/>
          <w:sz w:val="21"/>
          <w:szCs w:val="21"/>
        </w:rPr>
        <w:t xml:space="preserve">Le montant, le porteur, et </w:t>
      </w:r>
      <w:r>
        <w:rPr>
          <w:b/>
          <w:bCs/>
          <w:color w:val="1B1917"/>
          <w:sz w:val="21"/>
          <w:szCs w:val="21"/>
        </w:rPr>
        <w:t xml:space="preserve">comment le chèque est payé</w:t>
      </w:r>
      <w:r>
        <w:rPr>
          <w:color w:val="1B1917"/>
          <w:sz w:val="21"/>
          <w:szCs w:val="21"/>
        </w:rPr>
        <w:t xml:space="preserve"> :</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 sur </w:t>
      </w:r>
      <w:r>
        <w:rPr>
          <w:b/>
          <w:bCs/>
          <w:color w:val="1B1917"/>
          <w:sz w:val="21"/>
          <w:szCs w:val="21"/>
        </w:rPr>
        <w:t xml:space="preserve">votre caisse</w:t>
      </w:r>
      <w:r>
        <w:rPr>
          <w:color w:val="1B1917"/>
          <w:sz w:val="21"/>
          <w:szCs w:val="21"/>
        </w:rPr>
        <w:t xml:space="preserve">. Elle vient de votre profil : elle ne se choisit pas, et l'écran ne vous la demande pas ;</w:t>
      </w:r>
    </w:p>
    <w:p>
      <w:pPr>
        <w:pStyle w:val="ListParagraph"/>
        <w:numPr>
          <w:ilvl w:val="0"/>
          <w:numId w:val="2"/>
        </w:numPr>
        <w:spacing w:after="80" w:before="40"/>
      </w:pPr>
      <w:r>
        <w:rPr>
          <w:b/>
          <w:bCs/>
          <w:color w:val="1B1917"/>
          <w:sz w:val="21"/>
          <w:szCs w:val="21"/>
        </w:rPr>
        <w:t xml:space="preserve">par compensation</w:t>
      </w:r>
      <w:r>
        <w:rPr>
          <w:color w:val="1B1917"/>
          <w:sz w:val="21"/>
          <w:szCs w:val="21"/>
        </w:rPr>
        <w:t xml:space="preserve"> — sur un compte </w:t>
      </w:r>
      <w:r>
        <w:rPr>
          <w:b/>
          <w:bCs/>
          <w:color w:val="1B1917"/>
          <w:sz w:val="21"/>
          <w:szCs w:val="21"/>
        </w:rPr>
        <w:t xml:space="preserve">nostro</w:t>
      </w:r>
      <w:r>
        <w:rPr>
          <w:color w:val="1B1917"/>
          <w:sz w:val="21"/>
          <w:szCs w:val="21"/>
        </w:rPr>
        <w:t xml:space="preserve">, que vous désignez.</w:t>
      </w:r>
    </w:p>
    <w:p>
      <w:pPr>
        <w:spacing w:after="180" w:before="0" w:line="290"/>
        <w:jc w:val="both"/>
      </w:pPr>
      <w:r>
        <w:rPr>
          <w:color w:val="1B1917"/>
          <w:sz w:val="21"/>
          <w:szCs w:val="21"/>
        </w:rPr>
        <w:t xml:space="preserve">Le compte est débité à l'instant. </w:t>
      </w:r>
      <w:r>
        <w:rPr>
          <w:b/>
          <w:bCs/>
          <w:color w:val="1B1917"/>
          <w:sz w:val="21"/>
          <w:szCs w:val="21"/>
        </w:rPr>
        <w:t xml:space="preserve">Sans provision, le socle refuse et l'incident reste au dossier</w:t>
      </w:r>
      <w:r>
        <w:rPr>
          <w:color w:val="1B1917"/>
          <w:sz w:val="21"/>
          <w:szCs w:val="21"/>
        </w:rPr>
        <w:t xml:space="preserve"> : il est daté, il se déclare, et il suit le client.</w:t>
      </w:r>
    </w:p>
    <w:p>
      <w:pPr>
        <w:pBdr>
          <w:left w:val="single" w:color="1F4E46" w:sz="18" w:space="10"/>
        </w:pBdr>
        <w:shd w:fill="F6F3EC" w:color="auto" w:val="clear"/>
        <w:spacing w:after="200" w:before="160"/>
        <w:ind w:left="240" w:right="200"/>
      </w:pPr>
      <w:r>
        <w:rPr>
          <w:b/>
          <w:bCs/>
          <w:color w:val="1B1917"/>
          <w:sz w:val="21"/>
          <w:szCs w:val="21"/>
        </w:rPr>
        <w:t xml:space="preserve">Le porteur.</w:t>
      </w:r>
      <w:r>
        <w:rPr>
          <w:color w:val="1B1917"/>
          <w:sz w:val="21"/>
          <w:szCs w:val="21"/>
        </w:rPr>
        <w:t xml:space="preserve"> Au guichet, il est obligatoire : celui qui présente le chèque est devant vous, et c'est lui que le chèque paie. En compensation, il vient de la banque présentatrice — le poste ne l'invente pas.</w:t>
      </w:r>
    </w:p>
    <w:p>
      <w:pPr>
        <w:spacing w:after="180" w:before="0" w:line="290"/>
        <w:jc w:val="both"/>
      </w:pPr>
      <w:r>
        <w:rPr>
          <w:color w:val="1B1917"/>
          <w:sz w:val="21"/>
          <w:szCs w:val="21"/>
        </w:rPr>
        <w:t xml:space="preserve">Votre </w:t>
      </w:r>
      <w:r>
        <w:rPr>
          <w:b/>
          <w:bCs/>
          <w:color w:val="1B1917"/>
          <w:sz w:val="21"/>
          <w:szCs w:val="21"/>
        </w:rPr>
        <w:t xml:space="preserve">plafond</w:t>
      </w:r>
      <w:r>
        <w:rPr>
          <w:color w:val="1B1917"/>
          <w:sz w:val="21"/>
          <w:szCs w:val="21"/>
        </w:rPr>
        <w:t xml:space="preserve"> sur le paiement d'un chèque est écrit au-dessus du champ, et l'écran vous avertit dès que le montant le dépasse : mieux vaut le savoir avant de compter.</w:t>
      </w:r>
    </w:p>
    <w:p>
      <w:pPr>
        <w:pStyle w:val="Heading3"/>
        <w:spacing w:after="140" w:before="320"/>
      </w:pPr>
      <w:r>
        <w:rPr>
          <w:b/>
          <w:bCs/>
          <w:color w:val="1B1917"/>
          <w:sz w:val="23"/>
          <w:szCs w:val="23"/>
        </w:rPr>
        <w:t xml:space="preserve">Faire opposition</w:t>
      </w:r>
    </w:p>
    <w:p>
      <w:pPr>
        <w:spacing w:after="180" w:before="0" w:line="290"/>
        <w:jc w:val="both"/>
      </w:pPr>
      <w:r>
        <w:rPr>
          <w:color w:val="1B1917"/>
          <w:sz w:val="21"/>
          <w:szCs w:val="21"/>
        </w:rPr>
        <w:t xml:space="preserve">Quatre motifs, et </w:t>
      </w:r>
      <w:r>
        <w:rPr>
          <w:b/>
          <w:bCs/>
          <w:color w:val="1B1917"/>
          <w:sz w:val="21"/>
          <w:szCs w:val="21"/>
        </w:rPr>
        <w:t xml:space="preserve">ce sont les seuls</w:t>
      </w:r>
      <w:r>
        <w:rPr>
          <w:color w:val="1B1917"/>
          <w:sz w:val="21"/>
          <w:szCs w:val="21"/>
        </w:rPr>
        <w:t xml:space="preserve"> : perte, vol, utilisation frauduleuse, redressement ou liquidation du porteur.</w:t>
      </w:r>
    </w:p>
    <w:p>
      <w:pPr>
        <w:pBdr>
          <w:left w:val="single" w:color="1F4E46" w:sz="18" w:space="10"/>
        </w:pBdr>
        <w:shd w:fill="F6F3EC" w:color="auto" w:val="clear"/>
        <w:spacing w:after="200" w:before="160"/>
        <w:ind w:left="240" w:right="200"/>
      </w:pPr>
      <w:r>
        <w:rPr>
          <w:color w:val="1B1917"/>
          <w:sz w:val="21"/>
          <w:szCs w:val="21"/>
        </w:rPr>
        <w:t xml:space="preserve">L'opposition sur chèque n'est pas libre : la loi uniforme l'enferme dans ces cas. Une opposition hors de ces motifs — un client mécontent de sa livraison — </w:t>
      </w:r>
      <w:r>
        <w:rPr>
          <w:b/>
          <w:bCs/>
          <w:color w:val="1B1917"/>
          <w:sz w:val="21"/>
          <w:szCs w:val="21"/>
        </w:rPr>
        <w:t xml:space="preserve">engage la banque, et vous</w:t>
      </w:r>
      <w:r>
        <w:rPr>
          <w:color w:val="1B1917"/>
          <w:sz w:val="21"/>
          <w:szCs w:val="21"/>
        </w:rPr>
        <w:t xml:space="preserve">. C'est pourquoi l'écran n'offre pas de champ libre.</w:t>
      </w:r>
    </w:p>
    <w:p>
      <w:pPr>
        <w:spacing w:after="180" w:before="0" w:line="290"/>
        <w:jc w:val="both"/>
      </w:pPr>
      <w:r>
        <w:rPr>
          <w:color w:val="1B1917"/>
          <w:sz w:val="21"/>
          <w:szCs w:val="21"/>
        </w:rPr>
        <w:t xml:space="preserve">Une fois enregistrée, aucun paiement ne passera plus sur ce numéro.</w:t>
      </w:r>
    </w:p>
    <w:p>
      <w:pPr>
        <w:pStyle w:val="Heading2"/>
        <w:spacing w:after="140" w:before="320"/>
      </w:pPr>
      <w:r>
        <w:rPr>
          <w:b/>
          <w:bCs/>
          <w:color w:val="1B1917"/>
          <w:sz w:val="23"/>
          <w:szCs w:val="23"/>
        </w:rPr>
        <w:t xml:space="preserve">Incidents de paiement</w:t>
      </w:r>
    </w:p>
    <w:p>
      <w:pPr>
        <w:spacing w:after="180" w:before="0" w:line="290"/>
        <w:jc w:val="both"/>
      </w:pPr>
      <w:r>
        <w:rPr>
          <w:color w:val="1B1917"/>
          <w:sz w:val="21"/>
          <w:szCs w:val="21"/>
        </w:rPr>
        <w:t xml:space="preserve">En lecture seule : le chèque, le montant, la date, le motif, qui l'a présenté.</w:t>
      </w:r>
    </w:p>
    <w:p>
      <w:pPr>
        <w:pBdr>
          <w:left w:val="single" w:color="1F4E46" w:sz="18" w:space="10"/>
        </w:pBdr>
        <w:shd w:fill="F6F3EC" w:color="auto" w:val="clear"/>
        <w:spacing w:after="200" w:before="160"/>
        <w:ind w:left="240" w:right="200"/>
      </w:pPr>
      <w:r>
        <w:rPr>
          <w:color w:val="1B1917"/>
          <w:sz w:val="21"/>
          <w:szCs w:val="21"/>
        </w:rPr>
        <w:t xml:space="preserve">Un incident </w:t>
      </w:r>
      <w:r>
        <w:rPr>
          <w:b/>
          <w:bCs/>
          <w:color w:val="1B1917"/>
          <w:sz w:val="21"/>
          <w:szCs w:val="21"/>
        </w:rPr>
        <w:t xml:space="preserve">ne se corrige pas</w:t>
      </w:r>
      <w:r>
        <w:rPr>
          <w:color w:val="1B1917"/>
          <w:sz w:val="21"/>
          <w:szCs w:val="21"/>
        </w:rPr>
        <w:t xml:space="preserve">. Il est daté, il se déclare à la Centrale des incidents de paiement, et il suit le client.</w:t>
      </w:r>
    </w:p>
    <w:p>
      <w:pPr>
        <w:pStyle w:val="Heading2"/>
        <w:spacing w:after="140" w:before="320"/>
      </w:pPr>
      <w:r>
        <w:rPr>
          <w:b/>
          <w:bCs/>
          <w:color w:val="1B1917"/>
          <w:sz w:val="23"/>
          <w:szCs w:val="23"/>
        </w:rPr>
        <w:t xml:space="preserve">Mandats</w:t>
      </w:r>
    </w:p>
    <w:p>
      <w:pPr>
        <w:spacing w:after="180" w:before="0" w:line="290"/>
        <w:jc w:val="both"/>
      </w:pPr>
      <w:r>
        <w:rPr>
          <w:color w:val="1B1917"/>
          <w:sz w:val="21"/>
          <w:szCs w:val="21"/>
        </w:rPr>
        <w:t xml:space="preserve">Les autorisations de prélèvement sur ce compte : référence, créancier, plafond, validité, état.</w:t>
      </w:r>
    </w:p>
    <w:p>
      <w:pPr>
        <w:spacing w:after="180" w:before="0" w:line="290"/>
        <w:jc w:val="both"/>
      </w:pPr>
      <w:r>
        <w:rPr>
          <w:color w:val="1B1917"/>
          <w:sz w:val="21"/>
          <w:szCs w:val="21"/>
        </w:rPr>
        <w:t xml:space="preserve">Pour en enregistrer un, </w:t>
      </w:r>
      <w:r>
        <w:rPr>
          <w:i/>
          <w:iCs/>
          <w:color w:val="1B1917"/>
          <w:sz w:val="21"/>
          <w:szCs w:val="21"/>
        </w:rPr>
        <w:t xml:space="preserve">Enregistrer un mandat</w:t>
      </w:r>
      <w:r>
        <w:rPr>
          <w:color w:val="1B1917"/>
          <w:sz w:val="21"/>
          <w:szCs w:val="21"/>
        </w:rPr>
        <w:t xml:space="preserve">. Ce qu'il faut, et pourquoi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08"/>
        <w:gridCol w:w="7503"/>
      </w:tblGrid>
      <w:tr>
        <w:trPr>
          <w:tblHeader/>
        </w:trPr>
        <w:tc>
          <w:tcPr>
            <w:tcW w:type="dxa" w:w="1908"/>
            <w:shd w:fill="EFEBE2" w:color="auto" w:val="clear"/>
            <w:tcMar>
              <w:top w:type="dxa" w:w="70"/>
              <w:left w:type="dxa" w:w="110"/>
              <w:bottom w:type="dxa" w:w="70"/>
              <w:right w:type="dxa" w:w="110"/>
            </w:tcMar>
          </w:tcPr>
          <w:p>
            <w:pPr>
              <w:spacing w:after="0" w:before="0"/>
            </w:pPr>
            <w:r>
              <w:rPr>
                <w:b/>
                <w:bCs/>
                <w:color w:val="1B1917"/>
                <w:sz w:val="19"/>
                <w:szCs w:val="19"/>
              </w:rPr>
              <w:t xml:space="preserve">Ce qu'on saisit</w:t>
            </w:r>
          </w:p>
        </w:tc>
        <w:tc>
          <w:tcPr>
            <w:tcW w:type="dxa" w:w="7503"/>
            <w:shd w:fill="EFEBE2" w:color="auto" w:val="clear"/>
            <w:tcMar>
              <w:top w:type="dxa" w:w="70"/>
              <w:left w:type="dxa" w:w="110"/>
              <w:bottom w:type="dxa" w:w="70"/>
              <w:right w:type="dxa" w:w="110"/>
            </w:tcMar>
          </w:tcPr>
          <w:p>
            <w:pPr>
              <w:spacing w:after="0" w:before="0"/>
            </w:pPr>
            <w:r>
              <w:rPr>
                <w:b/>
                <w:bCs/>
                <w:color w:val="1B1917"/>
                <w:sz w:val="19"/>
                <w:szCs w:val="19"/>
              </w:rPr>
              <w:t xml:space="preserve">Pourquoi</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Référence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Celle que le créancier citera à chaque prélèvement : sans elle, aucun rapprochement.</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Identifiant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 qui identifie le préleveur sur chaque présentation, quand son nom ne fait que le désigner.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Nom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Celui qui prélèvera.</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Où il tient son compte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Chez vous</w:t>
            </w:r>
            <w:r>
              <w:rPr>
                <w:b w:val="false"/>
                <w:bCs w:val="false"/>
                <w:color w:val="1B1917"/>
                <w:sz w:val="19"/>
                <w:szCs w:val="19"/>
              </w:rPr>
              <w:t xml:space="preserve">, et vous désignez le compte ; </w:t>
            </w:r>
            <w:r>
              <w:rPr>
                <w:b w:val="false"/>
                <w:bCs w:val="false"/>
                <w:color w:val="1B1917"/>
                <w:sz w:val="19"/>
                <w:szCs w:val="19"/>
              </w:rPr>
              <w:t xml:space="preserve">ailleurs</w:t>
            </w:r>
            <w:r>
              <w:rPr>
                <w:b w:val="false"/>
                <w:bCs w:val="false"/>
                <w:color w:val="1B1917"/>
                <w:sz w:val="19"/>
                <w:szCs w:val="19"/>
              </w:rPr>
              <w:t xml:space="preserve">, et vous donnez la banque et le compte. L'un </w:t>
            </w:r>
            <w:r>
              <w:rPr>
                <w:b w:val="false"/>
                <w:bCs w:val="false"/>
                <w:color w:val="1B1917"/>
                <w:sz w:val="19"/>
                <w:szCs w:val="19"/>
              </w:rPr>
              <w:t xml:space="preserve">ou</w:t>
            </w:r>
            <w:r>
              <w:rPr>
                <w:b w:val="false"/>
                <w:bCs w:val="false"/>
                <w:color w:val="1B1917"/>
                <w:sz w:val="19"/>
                <w:szCs w:val="19"/>
              </w:rPr>
              <w:t xml:space="preserve"> l'autre — jamais les deux.</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Signé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La date que le client a portée sur le mandat : elle fait foi si le prélèvement est contesté.</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Prend effet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À partir de quand le créancier peut prélever.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Jusqu'au</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vide, le mandat n'a pas de terme.</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Plafond</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mais </w:t>
            </w:r>
            <w:r>
              <w:rPr>
                <w:b w:val="false"/>
                <w:bCs w:val="false"/>
                <w:color w:val="1B1917"/>
                <w:sz w:val="19"/>
                <w:szCs w:val="19"/>
              </w:rPr>
              <w:t xml:space="preserve">sans plafond, le créancier prélève ce qu'il veut</w:t>
            </w:r>
            <w:r>
              <w:rPr>
                <w:b w:val="false"/>
                <w:bCs w:val="false"/>
                <w:color w:val="1B1917"/>
                <w:sz w:val="19"/>
                <w:szCs w:val="19"/>
              </w:rPr>
              <w:t xml:space="preserve">. C'est légal, et c'est au client de le savoir avant de signer.</w:t>
            </w:r>
          </w:p>
        </w:tc>
      </w:tr>
    </w:tbl>
    <w:p>
      <w:pPr>
        <w:spacing w:after="220"/>
      </w:pPr>
    </w:p>
    <w:p>
      <w:pPr>
        <w:spacing w:after="180" w:before="0" w:line="290"/>
        <w:jc w:val="both"/>
      </w:pPr>
      <w:r>
        <w:rPr>
          <w:color w:val="1B1917"/>
          <w:sz w:val="21"/>
          <w:szCs w:val="21"/>
        </w:rPr>
        <w:t xml:space="preserve">Comme le chéquier, un mandat </w:t>
      </w:r>
      <w:r>
        <w:rPr>
          <w:b/>
          <w:bCs/>
          <w:color w:val="1B1917"/>
          <w:sz w:val="21"/>
          <w:szCs w:val="21"/>
        </w:rPr>
        <w:t xml:space="preserve">s'enregistre à deux</w:t>
      </w:r>
      <w:r>
        <w:rPr>
          <w:color w:val="1B1917"/>
          <w:sz w:val="21"/>
          <w:szCs w:val="21"/>
        </w:rPr>
        <w:t xml:space="preserve"> : il n'autorisera aucun prélèvement tant qu'un second ne l'aura pas validé.</w:t>
      </w:r>
    </w:p>
    <w:p>
      <w:pPr>
        <w:pStyle w:val="Heading3"/>
        <w:spacing w:after="140" w:before="320"/>
      </w:pPr>
      <w:r>
        <w:rPr>
          <w:b/>
          <w:bCs/>
          <w:color w:val="1B1917"/>
          <w:sz w:val="23"/>
          <w:szCs w:val="23"/>
        </w:rPr>
        <w:t xml:space="preserve">Révoquer</w:t>
      </w:r>
    </w:p>
    <w:p>
      <w:pPr>
        <w:spacing w:after="180" w:before="0" w:line="290"/>
        <w:jc w:val="both"/>
      </w:pPr>
      <w:r>
        <w:rPr>
          <w:color w:val="1B1917"/>
          <w:sz w:val="21"/>
          <w:szCs w:val="21"/>
        </w:rPr>
        <w:t xml:space="preserve">Un mandat actif se révoque sur motif. La révocation </w:t>
      </w:r>
      <w:r>
        <w:rPr>
          <w:b/>
          <w:bCs/>
          <w:color w:val="1B1917"/>
          <w:sz w:val="21"/>
          <w:szCs w:val="21"/>
        </w:rPr>
        <w:t xml:space="preserve">prend effet tout de suite</w:t>
      </w:r>
      <w:r>
        <w:rPr>
          <w:color w:val="1B1917"/>
          <w:sz w:val="21"/>
          <w:szCs w:val="21"/>
        </w:rPr>
        <w:t xml:space="preserve"> : une présentation du créancier sera désormais rejetée.</w:t>
      </w:r>
    </w:p>
    <w:p>
      <w:pPr>
        <w:spacing w:after="180" w:before="0" w:line="290"/>
        <w:jc w:val="both"/>
      </w:pPr>
      <w:r>
        <w:rPr>
          <w:color w:val="1B1917"/>
          <w:sz w:val="21"/>
          <w:szCs w:val="21"/>
        </w:rPr>
        <w:t xml:space="preserve">Un mandat révoqué ne se révoque pas deux fois. Pour autoriser à nouveau ce créancier, enregistrez un </w:t>
      </w:r>
      <w:r>
        <w:rPr>
          <w:b/>
          <w:bCs/>
          <w:color w:val="1B1917"/>
          <w:sz w:val="21"/>
          <w:szCs w:val="21"/>
        </w:rPr>
        <w:t xml:space="preserve">nouveau mandat</w:t>
      </w:r>
      <w:r>
        <w:rPr>
          <w:color w:val="1B1917"/>
          <w:sz w:val="21"/>
          <w:szCs w:val="21"/>
        </w:rPr>
        <w:t xml:space="preserve"> — c'est une nouvelle signature du client.</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ab04deb5bcf805dae455cb99b50d6de8fc5ab871.png"/><Relationship Id="rId36" Type="http://schemas.openxmlformats.org/officeDocument/2006/relationships/image" Target="media/5229fb2a3d7be1b40b41a7ae8c9660437e87ab90.png"/><Relationship Id="rId37" Type="http://schemas.openxmlformats.org/officeDocument/2006/relationships/image" Target="media/a5420bc717f37a5b298219a1d2d79ac24f582c0e.png"/><Relationship Id="rId38" Type="http://schemas.openxmlformats.org/officeDocument/2006/relationships/image" Target="media/d3e3d0ffb6e8b42e2c939cc6680a0b0200323a32.png"/><Relationship Id="rId39" Type="http://schemas.openxmlformats.org/officeDocument/2006/relationships/image" Target="media/61ab0123a9f19642223a577731d9ec69a9fb5cd0.png"/><Relationship Id="rId40" Type="http://schemas.openxmlformats.org/officeDocument/2006/relationships/image" Target="media/2ab226d86393286e6b90df968f9bf495ce52aa4b.png"/><Relationship Id="rId41" Type="http://schemas.openxmlformats.org/officeDocument/2006/relationships/image" Target="media/6f5a362e025f97f978a4708c107c44fafc914de5.png"/><Relationship Id="rId42" Type="http://schemas.openxmlformats.org/officeDocument/2006/relationships/image" Target="media/24620f5b9c31e056ed43dab95460a697e0e463a2.png"/><Relationship Id="rId43" Type="http://schemas.openxmlformats.org/officeDocument/2006/relationships/image" Target="media/cf78393aac723cddae5bcde6472c321007f4299d.png"/><Relationship Id="rId44" Type="http://schemas.openxmlformats.org/officeDocument/2006/relationships/image" Target="media/191f52fcfcb0f5d479999a23ff914287b4b302db.png"/><Relationship Id="rId45" Type="http://schemas.openxmlformats.org/officeDocument/2006/relationships/image" Target="media/cd545b1cdd29c7fe4ebdd5238144402306b8e565.png"/><Relationship Id="rId46" Type="http://schemas.openxmlformats.org/officeDocument/2006/relationships/image" Target="media/bc94ef66c088b7fb992556cf9f8ca4b952594c2e.png"/><Relationship Id="rId47" Type="http://schemas.openxmlformats.org/officeDocument/2006/relationships/image" Target="media/a0a3efd84bd292b991003f8dbd7a2732015ea6c4.png"/><Relationship Id="rId48" Type="http://schemas.openxmlformats.org/officeDocument/2006/relationships/image" Target="media/244af31a44b16addb4fd0d2296bad74c8b0f2b79.png"/><Relationship Id="rId49" Type="http://schemas.openxmlformats.org/officeDocument/2006/relationships/image" Target="media/c6fb639be709bba4713d30a0d24e888f9cce38d6.png"/><Relationship Id="rId50" Type="http://schemas.openxmlformats.org/officeDocument/2006/relationships/image" Target="media/c53d642cac99b34d5b6a16268d35f7ba4a38f089.png"/><Relationship Id="rId51" Type="http://schemas.openxmlformats.org/officeDocument/2006/relationships/image" Target="media/f741d49dfae7c6ee352a90bfe9abc010d9051f6c.png"/><Relationship Id="rId52" Type="http://schemas.openxmlformats.org/officeDocument/2006/relationships/image" Target="media/0306a655e660b1eebea64a22339fb3739d2684fe.png"/><Relationship Id="rId53" Type="http://schemas.openxmlformats.org/officeDocument/2006/relationships/image" Target="media/2acfa11030aa980b7271edfcba2a7d353a48b6d3.png"/><Relationship Id="rId54" Type="http://schemas.openxmlformats.org/officeDocument/2006/relationships/image" Target="media/3ea439435b7f7ee7f271b6581aeb063e932b54c6.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2026-09-19T00:08:06.518Z</dcterms:created>
  <dcterms:modified xsi:type="dcterms:W3CDTF">2026-09-19T00:08:06.518Z</dcterms:modified>
</cp:coreProperties>
</file>

<file path=docProps/custom.xml><?xml version="1.0" encoding="utf-8"?>
<Properties xmlns="http://schemas.openxmlformats.org/officeDocument/2006/custom-properties" xmlns:vt="http://schemas.openxmlformats.org/officeDocument/2006/docPropsVTypes"/>
</file>