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35"/>
        <w:gridCol w:w="2735"/>
        <w:gridCol w:w="4741"/>
      </w:tblGrid>
      <w:tr>
        <w:trPr>
          <w:tblHeader/>
        </w:trPr>
        <w:tc>
          <w:tcPr>
            <w:tcW w:type="dxa" w:w="1935"/>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35"/>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741"/>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41"/>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41"/>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41"/>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41"/>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41"/>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41"/>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1935"/>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35"/>
            <w:tcMar>
              <w:top w:type="dxa" w:w="70"/>
              <w:left w:type="dxa" w:w="110"/>
              <w:bottom w:type="dxa" w:w="70"/>
              <w:right w:type="dxa" w:w="110"/>
            </w:tcMar>
          </w:tcPr>
          <w:p>
            <w:pPr>
              <w:spacing w:after="0" w:before="0"/>
            </w:pPr>
            <w:r>
              <w:rPr>
                <w:b w:val="false"/>
                <w:bCs w:val="false"/>
                <w:color w:val="1F4E46"/>
                <w:sz w:val="19"/>
                <w:szCs w:val="19"/>
                <w:u w:val="single"/>
              </w:rPr>
              <w:t xml:space="preserve">10. Messages, refus et états</w:t>
            </w:r>
          </w:p>
        </w:tc>
        <w:tc>
          <w:tcPr>
            <w:tcW w:type="dxa" w:w="4741"/>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10</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reporting réglementaire</w:t>
      </w:r>
      <w:r>
        <w:rPr>
          <w:color w:val="1B1917"/>
          <w:sz w:val="21"/>
          <w:szCs w:val="21"/>
        </w:rPr>
        <w:t xml:space="preserve"> (états BCEAO, échéances, fiscalité),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 alertes, déclarations de soupçon, scénarios de surveillance — l'est désormais : voir le </w:t>
      </w:r>
      <w:r>
        <w:rPr>
          <w:color w:val="1F4E46"/>
          <w:sz w:val="21"/>
          <w:szCs w:val="21"/>
          <w:u w:val="single"/>
        </w:rPr>
        <w:t xml:space="preserve">chapitre 9</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3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5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6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10</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7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8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9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keepNext/>
        <w:spacing w:after="60" w:before="200"/>
        <w:jc w:val="center"/>
      </w:pPr>
      <w:r>
        <w:drawing>
          <wp:inline distT="0" distB="0" distL="0" distR="0">
            <wp:extent cx="597217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771900"/>
                    </a:xfrm>
                    <a:prstGeom prst="rect">
                      <a:avLst/>
                    </a:prstGeom>
                  </pic:spPr>
                </pic:pic>
              </a:graphicData>
            </a:graphic>
          </wp:inline>
        </w:drawing>
      </w:r>
    </w:p>
    <w:p>
      <w:pPr>
        <w:spacing w:after="280"/>
        <w:jc w:val="center"/>
      </w:pPr>
      <w:r>
        <w:rPr>
          <w:i/>
          <w:iCs/>
          <w:color w:val="4A4540"/>
          <w:sz w:val="17"/>
          <w:szCs w:val="17"/>
        </w:rPr>
        <w:t xml:space="preserve">Figure 10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trois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11 — Le refus d'auto-approbation : le second regard est quelqu'un d'autre, sans exception.</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12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13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14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15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16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17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18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19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20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et balance</w:t>
      </w:r>
    </w:p>
    <w:p>
      <w:pPr>
        <w:spacing w:after="180" w:before="0" w:line="290"/>
        <w:jc w:val="both"/>
      </w:pPr>
      <w:r>
        <w:rPr>
          <w:color w:val="1B1917"/>
          <w:sz w:val="21"/>
          <w:szCs w:val="21"/>
        </w:rPr>
        <w:t xml:space="preserve">Deux écrans, réservés aux profils d'exploitation comptable : </w:t>
      </w:r>
      <w:r>
        <w:rPr>
          <w:b/>
          <w:bCs/>
          <w:color w:val="1B1917"/>
          <w:sz w:val="21"/>
          <w:szCs w:val="21"/>
        </w:rPr>
        <w:t xml:space="preserve">Exploitation</w:t>
      </w:r>
      <w:r>
        <w:rPr>
          <w:color w:val="1B1917"/>
          <w:sz w:val="21"/>
          <w:szCs w:val="21"/>
        </w:rPr>
        <w:t xml:space="preserve"> (le traitement de fin de journée) et </w:t>
      </w:r>
      <w:r>
        <w:rPr>
          <w:b/>
          <w:bCs/>
          <w:color w:val="1B1917"/>
          <w:sz w:val="21"/>
          <w:szCs w:val="21"/>
        </w:rPr>
        <w:t xml:space="preserve">Balance générale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21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22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23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24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26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 </w:t>
      </w:r>
      <w:r>
        <w:rPr>
          <w:b/>
          <w:bCs/>
          <w:color w:val="1B1917"/>
          <w:sz w:val="21"/>
          <w:szCs w:val="21"/>
        </w:rPr>
        <w:t xml:space="preserve">reporting réglementaire</w:t>
      </w:r>
      <w:r>
        <w:rPr>
          <w:color w:val="1B1917"/>
          <w:sz w:val="21"/>
          <w:szCs w:val="21"/>
        </w:rPr>
        <w:t xml:space="preserve"> (états BCEAO, échéances, fiscalité) et les </w:t>
      </w:r>
      <w:r>
        <w:rPr>
          <w:b/>
          <w:bCs/>
          <w:color w:val="1B1917"/>
          <w:sz w:val="21"/>
          <w:szCs w:val="21"/>
        </w:rPr>
        <w:t xml:space="preserve">sûretés</w:t>
      </w:r>
      <w:r>
        <w:rPr>
          <w:color w:val="1B1917"/>
          <w:sz w:val="21"/>
          <w:szCs w:val="21"/>
        </w:rPr>
        <w:t xml:space="preserve"> non plus.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51"/>
        <w:gridCol w:w="5260"/>
      </w:tblGrid>
      <w:tr>
        <w:trPr>
          <w:tblHeader/>
        </w:trPr>
        <w:tc>
          <w:tcPr>
            <w:tcW w:type="dxa" w:w="4151"/>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0"/>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51"/>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0"/>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4aa72e7153f00c84e7caa3999ef1053a77dab0b9.png"/><Relationship Id="rId12" Type="http://schemas.openxmlformats.org/officeDocument/2006/relationships/image" Target="media/08807f9045840f983a405068a4e3ab9aa99540c0.png"/><Relationship Id="rId13" Type="http://schemas.openxmlformats.org/officeDocument/2006/relationships/image" Target="media/f4585b2b5f2d1e6c0a14b66bca1f3ca27fbcd3c2.png"/><Relationship Id="rId14" Type="http://schemas.openxmlformats.org/officeDocument/2006/relationships/image" Target="media/80b42c929c7a9006c0282b57cd817026fbe4dcd2.png"/><Relationship Id="rId15" Type="http://schemas.openxmlformats.org/officeDocument/2006/relationships/image" Target="media/fb289dfba507e55c7c95a6fdc29853fe5e44024a.png"/><Relationship Id="rId16" Type="http://schemas.openxmlformats.org/officeDocument/2006/relationships/image" Target="media/96c42a470806220699fe2bfe6cf04308f83a6878.png"/><Relationship Id="rId17" Type="http://schemas.openxmlformats.org/officeDocument/2006/relationships/image" Target="media/e9b47f91c2bc1b2496a713d761b78e598d799934.png"/><Relationship Id="rId18" Type="http://schemas.openxmlformats.org/officeDocument/2006/relationships/image" Target="media/e2dd0bda85f2894cfb17bebece56741329c97402.png"/><Relationship Id="rId19" Type="http://schemas.openxmlformats.org/officeDocument/2006/relationships/image" Target="media/8164058de21ba37c4cbf080369ddaa1f0fda4e97.png"/><Relationship Id="rId20" Type="http://schemas.openxmlformats.org/officeDocument/2006/relationships/image" Target="media/f9e2b87085562b3bdd8fec566839a66e2ded52d7.png"/><Relationship Id="rId21" Type="http://schemas.openxmlformats.org/officeDocument/2006/relationships/image" Target="media/7b7f3c1897bba46648677ae588d4c68d42a185d9.png"/><Relationship Id="rId22" Type="http://schemas.openxmlformats.org/officeDocument/2006/relationships/image" Target="media/b7700b424f1f33d87621108d46fc629309bb1bf4.png"/><Relationship Id="rId23" Type="http://schemas.openxmlformats.org/officeDocument/2006/relationships/image" Target="media/aa701c86056175e4afc2295a5873321536051d70.png"/><Relationship Id="rId24" Type="http://schemas.openxmlformats.org/officeDocument/2006/relationships/image" Target="media/d76bff37ba6d7d469e81808e9223de8c04463826.png"/><Relationship Id="rId25" Type="http://schemas.openxmlformats.org/officeDocument/2006/relationships/image" Target="media/07c53bf5fc7de076e368bf96faccb153a52247b7.png"/><Relationship Id="rId26" Type="http://schemas.openxmlformats.org/officeDocument/2006/relationships/image" Target="media/15dae5fcfd8d8ccdadba1d3e949bebbb9b7e0228.png"/><Relationship Id="rId27" Type="http://schemas.openxmlformats.org/officeDocument/2006/relationships/image" Target="media/30bf082863f9c3664c277e3422254bd048e4412b.png"/><Relationship Id="rId28" Type="http://schemas.openxmlformats.org/officeDocument/2006/relationships/image" Target="media/58b40f4a4f404e3e603fa79fa97c8746faf3a29b.png"/><Relationship Id="rId29" Type="http://schemas.openxmlformats.org/officeDocument/2006/relationships/image" Target="media/50ab0c6db98adea81ad9a0f6c0c939a2545e4dfe.png"/><Relationship Id="rId30" Type="http://schemas.openxmlformats.org/officeDocument/2006/relationships/image" Target="media/f8bc14e67a8260d2558e5458509a2938e0974b18.png"/><Relationship Id="rId31" Type="http://schemas.openxmlformats.org/officeDocument/2006/relationships/image" Target="media/8d24e7d36136e4509d8e89e723860fa6ae7adaba.png"/><Relationship Id="rId32" Type="http://schemas.openxmlformats.org/officeDocument/2006/relationships/image" Target="media/61ab0123a9f19642223a577731d9ec69a9fb5cd0.png"/><Relationship Id="rId33" Type="http://schemas.openxmlformats.org/officeDocument/2006/relationships/image" Target="media/2ab226d86393286e6b90df968f9bf495ce52aa4b.png"/><Relationship Id="rId34" Type="http://schemas.openxmlformats.org/officeDocument/2006/relationships/image" Target="media/6f5a362e025f97f978a4708c107c44fafc914de5.png"/><Relationship Id="rId35" Type="http://schemas.openxmlformats.org/officeDocument/2006/relationships/image" Target="media/24620f5b9c31e056ed43dab95460a697e0e463a2.png"/><Relationship Id="rId36" Type="http://schemas.openxmlformats.org/officeDocument/2006/relationships/image" Target="media/cf78393aac723cddae5bcde6472c321007f4299d.png"/><Relationship Id="rId37" Type="http://schemas.openxmlformats.org/officeDocument/2006/relationships/image" Target="media/191f52fcfcb0f5d479999a23ff914287b4b302db.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2026-09-18T10:43:46.323Z</dcterms:created>
  <dcterms:modified xsi:type="dcterms:W3CDTF">2026-09-18T10:43:46.323Z</dcterms:modified>
</cp:coreProperties>
</file>

<file path=docProps/custom.xml><?xml version="1.0" encoding="utf-8"?>
<Properties xmlns="http://schemas.openxmlformats.org/officeDocument/2006/custom-properties" xmlns:vt="http://schemas.openxmlformats.org/officeDocument/2006/docPropsVTypes"/>
</file>