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001"/>
        <w:gridCol w:w="2723"/>
        <w:gridCol w:w="4687"/>
      </w:tblGrid>
      <w:tr>
        <w:trPr>
          <w:tblHeader/>
        </w:trPr>
        <w:tc>
          <w:tcPr>
            <w:tcW w:type="dxa" w:w="200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3"/>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687"/>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Service des moyens de paiement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11. Les moyens de paiement</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12. Messages, refus et états</w:t>
            </w:r>
          </w:p>
        </w:tc>
        <w:tc>
          <w:tcPr>
            <w:tcW w:type="dxa" w:w="4687"/>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12</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12</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L'écran vous le rappelle sous le message d'absence : </w:t>
      </w:r>
      <w:r>
        <w:rPr>
          <w:b/>
          <w:bCs/>
          <w:color w:val="1B1917"/>
          <w:sz w:val="21"/>
          <w:szCs w:val="21"/>
        </w:rPr>
        <w:t xml:space="preserve">cherchez sur la référence ou sur la pièce d'identité avant de créer</w:t>
      </w:r>
      <w:r>
        <w:rPr>
          <w:color w:val="1B1917"/>
          <w:sz w:val="21"/>
          <w:szCs w:val="21"/>
        </w:rPr>
        <w:t xml:space="preserve">. La recherche porte sur le nom tel qu'il a été saisi — une lettre de différence, un prénom inversé, un nom d'épouse, et le dossier existant ne remonte pas. Le créer à nouveau ferait un second dossier pour la même personne, avec sa propre connaissance client et son propre risque, et personne ne le rattrapera.</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2"/>
        <w:spacing w:after="140" w:before="320"/>
      </w:pPr>
      <w:r>
        <w:rPr>
          <w:b/>
          <w:bCs/>
          <w:color w:val="1B1917"/>
          <w:sz w:val="23"/>
          <w:szCs w:val="23"/>
        </w:rPr>
        <w:t xml:space="preserve">Ses comptes</w:t>
      </w:r>
    </w:p>
    <w:p>
      <w:pPr>
        <w:spacing w:after="180" w:before="0" w:line="290"/>
        <w:jc w:val="both"/>
      </w:pPr>
      <w:r>
        <w:rPr>
          <w:color w:val="1B1917"/>
          <w:sz w:val="21"/>
          <w:szCs w:val="21"/>
        </w:rPr>
        <w:t xml:space="preserve">Le dossier liste les comptes du client : numéro, produit, agence, devise, date d'ouverture et état. Un compte </w:t>
      </w:r>
      <w:r>
        <w:rPr>
          <w:b/>
          <w:bCs/>
          <w:color w:val="1B1917"/>
          <w:sz w:val="21"/>
          <w:szCs w:val="21"/>
        </w:rPr>
        <w:t xml:space="preserve">clos</w:t>
      </w:r>
      <w:r>
        <w:rPr>
          <w:color w:val="1B1917"/>
          <w:sz w:val="21"/>
          <w:szCs w:val="21"/>
        </w:rPr>
        <w:t xml:space="preserve"> y reste, en retrait — le faire disparaître ferait croire qu'il n'a jamais existé, et un client s'en souvient.</w:t>
      </w:r>
    </w:p>
    <w:p>
      <w:pPr>
        <w:pBdr>
          <w:left w:val="single" w:color="1F4E46" w:sz="18" w:space="10"/>
        </w:pBdr>
        <w:shd w:fill="F6F3EC" w:color="auto" w:val="clear"/>
        <w:spacing w:after="200" w:before="160"/>
        <w:ind w:left="240" w:right="200"/>
      </w:pPr>
      <w:r>
        <w:rPr>
          <w:b/>
          <w:bCs/>
          <w:color w:val="1B1917"/>
          <w:sz w:val="21"/>
          <w:szCs w:val="21"/>
        </w:rPr>
        <w:t xml:space="preserve">Les soldes n'y sont pas.</w:t>
      </w:r>
      <w:r>
        <w:rPr>
          <w:color w:val="1B1917"/>
          <w:sz w:val="21"/>
          <w:szCs w:val="21"/>
        </w:rPr>
        <w:t xml:space="preserve"> Un solde se lit compte par compte, au guichet, et cette lecture laisse une trace. Une liste qui les afficherait tracerait cinquante consultations que personne n'a demandées.</w:t>
      </w:r>
    </w:p>
    <w:p>
      <w:pPr>
        <w:spacing w:after="180" w:before="0" w:line="290"/>
        <w:jc w:val="both"/>
      </w:pPr>
      <w:r>
        <w:rPr>
          <w:color w:val="1B1917"/>
          <w:sz w:val="21"/>
          <w:szCs w:val="21"/>
        </w:rPr>
        <w:t xml:space="preserve">Un client </w:t>
      </w:r>
      <w:r>
        <w:rPr>
          <w:b/>
          <w:bCs/>
          <w:color w:val="1B1917"/>
          <w:sz w:val="21"/>
          <w:szCs w:val="21"/>
        </w:rPr>
        <w:t xml:space="preserve">sans compte</w:t>
      </w:r>
      <w:r>
        <w:rPr>
          <w:color w:val="1B1917"/>
          <w:sz w:val="21"/>
          <w:szCs w:val="21"/>
        </w:rPr>
        <w:t xml:space="preserve"> n'est pas une anomalie : il peut porter un crédit, ou n'être qu'un bénéficiaire effectif.</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Quatre écrans, réservés aux profils d'exploitation comptable.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Deux servent au paramétrage de l'établissement : </w:t>
      </w:r>
      <w:r>
        <w:rPr>
          <w:b/>
          <w:bCs/>
          <w:color w:val="1B1917"/>
          <w:sz w:val="21"/>
          <w:szCs w:val="21"/>
        </w:rPr>
        <w:t xml:space="preserve">Établissement</w:t>
      </w:r>
      <w:r>
        <w:rPr>
          <w:color w:val="1B1917"/>
          <w:sz w:val="21"/>
          <w:szCs w:val="21"/>
        </w:rPr>
        <w:t xml:space="preserve"> — la fiche de la banque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Les moyens de paiement</w:t>
      </w:r>
    </w:p>
    <w:p>
      <w:pPr>
        <w:spacing w:after="180" w:before="0" w:line="290"/>
        <w:jc w:val="both"/>
      </w:pPr>
      <w:r>
        <w:rPr>
          <w:color w:val="1B1917"/>
          <w:sz w:val="21"/>
          <w:szCs w:val="21"/>
        </w:rPr>
        <w:t xml:space="preserve">L'espace </w:t>
      </w:r>
      <w:r>
        <w:rPr>
          <w:b/>
          <w:bCs/>
          <w:color w:val="1B1917"/>
          <w:sz w:val="21"/>
          <w:szCs w:val="21"/>
        </w:rPr>
        <w:t xml:space="preserve">Paiements</w:t>
      </w:r>
      <w:r>
        <w:rPr>
          <w:color w:val="1B1917"/>
          <w:sz w:val="21"/>
          <w:szCs w:val="21"/>
        </w:rPr>
        <w:t xml:space="preserve"> porte trois files de travail : les </w:t>
      </w:r>
      <w:r>
        <w:rPr>
          <w:b/>
          <w:bCs/>
          <w:color w:val="1B1917"/>
          <w:sz w:val="21"/>
          <w:szCs w:val="21"/>
        </w:rPr>
        <w:t xml:space="preserve">virements émis</w:t>
      </w:r>
      <w:r>
        <w:rPr>
          <w:color w:val="1B1917"/>
          <w:sz w:val="21"/>
          <w:szCs w:val="21"/>
        </w:rPr>
        <w:t xml:space="preserve">, les </w:t>
      </w:r>
      <w:r>
        <w:rPr>
          <w:b/>
          <w:bCs/>
          <w:color w:val="1B1917"/>
          <w:sz w:val="21"/>
          <w:szCs w:val="21"/>
        </w:rPr>
        <w:t xml:space="preserve">remises de chèques</w:t>
      </w:r>
      <w:r>
        <w:rPr>
          <w:color w:val="1B1917"/>
          <w:sz w:val="21"/>
          <w:szCs w:val="21"/>
        </w:rPr>
        <w:t xml:space="preserve"> et les </w:t>
      </w:r>
      <w:r>
        <w:rPr>
          <w:b/>
          <w:bCs/>
          <w:color w:val="1B1917"/>
          <w:sz w:val="21"/>
          <w:szCs w:val="21"/>
        </w:rPr>
        <w:t xml:space="preserve">prélèvements</w:t>
      </w:r>
      <w:r>
        <w:rPr>
          <w:color w:val="1B1917"/>
          <w:sz w:val="21"/>
          <w:szCs w:val="21"/>
        </w:rPr>
        <w:t xml:space="preserve">. C'est le poste du service des moyens de paiement — celui qui dénoue ce que le guichet a engagé.</w:t>
      </w:r>
    </w:p>
    <w:p>
      <w:pPr>
        <w:spacing w:after="180" w:before="0" w:line="290"/>
        <w:jc w:val="both"/>
      </w:pPr>
      <w:r>
        <w:rPr>
          <w:color w:val="1B1917"/>
          <w:sz w:val="21"/>
          <w:szCs w:val="21"/>
        </w:rPr>
        <w:t xml:space="preserve">Toutes trois ont la même forme, parce qu'elles disent la même chose : la banque a débité, crédité ou bloqué, et elle </w:t>
      </w:r>
      <w:r>
        <w:rPr>
          <w:b/>
          <w:bCs/>
          <w:color w:val="1B1917"/>
          <w:sz w:val="21"/>
          <w:szCs w:val="21"/>
        </w:rPr>
        <w:t xml:space="preserve">attend le correspondant</w:t>
      </w:r>
      <w:r>
        <w:rPr>
          <w:color w:val="1B1917"/>
          <w:sz w:val="21"/>
          <w:szCs w:val="21"/>
        </w:rPr>
        <w:t xml:space="preserve">. Ce qui les distingue est ce qu'on peut encore faire.</w:t>
      </w:r>
    </w:p>
    <w:p>
      <w:pPr>
        <w:pBdr>
          <w:left w:val="single" w:color="1F4E46" w:sz="18" w:space="10"/>
        </w:pBdr>
        <w:shd w:fill="F6F3EC" w:color="auto" w:val="clear"/>
        <w:spacing w:after="200" w:before="160"/>
        <w:ind w:left="240" w:right="200"/>
      </w:pPr>
      <w:r>
        <w:rPr>
          <w:b/>
          <w:bCs/>
          <w:color w:val="1B1917"/>
          <w:sz w:val="21"/>
          <w:szCs w:val="21"/>
        </w:rPr>
        <w:t xml:space="preserve">Une règle qui vaut pour les trois.</w:t>
      </w:r>
      <w:r>
        <w:rPr>
          <w:color w:val="1B1917"/>
          <w:sz w:val="21"/>
          <w:szCs w:val="21"/>
        </w:rPr>
        <w:t xml:space="preserve"> Quand une opération revient impayée, le montant est rendu au client mais </w:t>
      </w:r>
      <w:r>
        <w:rPr>
          <w:b/>
          <w:bCs/>
          <w:color w:val="1B1917"/>
          <w:sz w:val="21"/>
          <w:szCs w:val="21"/>
        </w:rPr>
        <w:t xml:space="preserve">les frais restent acquis à la banque</w:t>
      </w:r>
      <w:r>
        <w:rPr>
          <w:color w:val="1B1917"/>
          <w:sz w:val="21"/>
          <w:szCs w:val="21"/>
        </w:rPr>
        <w:t xml:space="preserve"> : le service a été rendu. Le client le découvrira sur son relevé. Le motif que vous écrivez est ce qui le lui explique.</w:t>
      </w:r>
    </w:p>
    <w:p>
      <w:pPr>
        <w:pStyle w:val="Heading1"/>
        <w:pBdr>
          <w:bottom w:val="single" w:color="D8D2C6" w:sz="3" w:space="8"/>
        </w:pBdr>
        <w:spacing w:after="140" w:before="420"/>
      </w:pPr>
      <w:r>
        <w:rPr>
          <w:b/>
          <w:bCs/>
          <w:color w:val="1B1917"/>
          <w:sz w:val="27"/>
          <w:szCs w:val="27"/>
        </w:rPr>
        <w:t xml:space="preserve">Les virements émis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39 — La file des virements émis. Chaque état dit ce qu'il attend, au présent.</w:t>
      </w:r>
    </w:p>
    <w:p>
      <w:pPr>
        <w:pStyle w:val="Heading2"/>
        <w:spacing w:after="140" w:before="320"/>
      </w:pPr>
      <w:r>
        <w:rPr>
          <w:b/>
          <w:bCs/>
          <w:color w:val="1B1917"/>
          <w:sz w:val="23"/>
          <w:szCs w:val="23"/>
        </w:rPr>
        <w:t xml:space="preserve">Ce qu'un ordre est, avant d'être parti</w:t>
      </w:r>
    </w:p>
    <w:p>
      <w:pPr>
        <w:spacing w:after="180" w:before="0" w:line="290"/>
        <w:jc w:val="both"/>
      </w:pPr>
      <w:r>
        <w:rPr>
          <w:color w:val="1B1917"/>
          <w:sz w:val="21"/>
          <w:szCs w:val="21"/>
        </w:rPr>
        <w:t xml:space="preserve">Un ordre enregistré a </w:t>
      </w:r>
      <w:r>
        <w:rPr>
          <w:b/>
          <w:bCs/>
          <w:color w:val="1B1917"/>
          <w:sz w:val="21"/>
          <w:szCs w:val="21"/>
        </w:rPr>
        <w:t xml:space="preserve">déjà débité le compte du client</w:t>
      </w:r>
      <w:r>
        <w:rPr>
          <w:color w:val="1B1917"/>
          <w:sz w:val="21"/>
          <w:szCs w:val="21"/>
        </w:rPr>
        <w:t xml:space="preserve">, frais et taxe compris. Le montant attend sur un compte de règlement sortant. </w:t>
      </w:r>
      <w:r>
        <w:rPr>
          <w:b/>
          <w:bCs/>
          <w:color w:val="1B1917"/>
          <w:sz w:val="21"/>
          <w:szCs w:val="21"/>
        </w:rPr>
        <w:t xml:space="preserve">Rien n'est parti.</w:t>
      </w:r>
    </w:p>
    <w:p>
      <w:pPr>
        <w:spacing w:after="180" w:before="0" w:line="290"/>
        <w:jc w:val="both"/>
      </w:pPr>
      <w:r>
        <w:rPr>
          <w:color w:val="1B1917"/>
          <w:sz w:val="21"/>
          <w:szCs w:val="21"/>
        </w:rPr>
        <w:t xml:space="preserve">C'est ce qui rend l'annulation possible — et seulement à ce moment-là.</w:t>
      </w:r>
    </w:p>
    <w:p>
      <w:pPr>
        <w:pStyle w:val="Heading2"/>
        <w:spacing w:after="140" w:before="320"/>
      </w:pPr>
      <w:r>
        <w:rPr>
          <w:b/>
          <w:bCs/>
          <w:color w:val="1B1917"/>
          <w:sz w:val="23"/>
          <w:szCs w:val="23"/>
        </w:rPr>
        <w:t xml:space="preserve">Les quatre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837"/>
        <w:gridCol w:w="4271"/>
        <w:gridCol w:w="3303"/>
      </w:tblGrid>
      <w:tr>
        <w:trPr>
          <w:tblHeader/>
        </w:trPr>
        <w:tc>
          <w:tcPr>
            <w:tcW w:type="dxa" w:w="183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27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3303"/>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Enregistré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Débité du compte, pas encore parti</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Envoyer</w:t>
            </w:r>
            <w:r>
              <w:rPr>
                <w:b w:val="false"/>
                <w:bCs w:val="false"/>
                <w:color w:val="1B1917"/>
                <w:sz w:val="19"/>
                <w:szCs w:val="19"/>
              </w:rPr>
              <w:t xml:space="preserve"> ou </w:t>
            </w:r>
            <w:r>
              <w:rPr>
                <w:b w:val="false"/>
                <w:bCs w:val="false"/>
                <w:color w:val="1B1917"/>
                <w:sz w:val="19"/>
                <w:szCs w:val="19"/>
              </w:rPr>
              <w:t xml:space="preserve">Annuler</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Envoyé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Parti au système de paiement</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Le correspondant a payé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Annulé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Dénoué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Un ordre envoyé ne s'annule plus.</w:t>
      </w:r>
      <w:r>
        <w:rPr>
          <w:color w:val="1B1917"/>
          <w:sz w:val="21"/>
          <w:szCs w:val="21"/>
        </w:rPr>
        <w:t xml:space="preserve"> Il est parti ; la banque ne décide plus seule. Il se règle, ou il revient. L'écran ne propose pas « Annuler » sur un ordre envoyé, et ce n'est pas un oubli : proposer le bouton ferait espérer l'impossible au client qui est devant vous.</w:t>
      </w:r>
    </w:p>
    <w:p>
      <w:pPr>
        <w:pStyle w:val="Heading2"/>
        <w:spacing w:after="140" w:before="320"/>
      </w:pPr>
      <w:r>
        <w:rPr>
          <w:b/>
          <w:bCs/>
          <w:color w:val="1B1917"/>
          <w:sz w:val="23"/>
          <w:szCs w:val="23"/>
        </w:rPr>
        <w:t xml:space="preserve">Enregistrer un ordre</w:t>
      </w:r>
    </w:p>
    <w:p>
      <w:pPr>
        <w:spacing w:after="180" w:before="0" w:line="290"/>
        <w:jc w:val="both"/>
      </w:pPr>
      <w:r>
        <w:rPr>
          <w:b/>
          <w:bCs/>
          <w:color w:val="1B1917"/>
          <w:sz w:val="21"/>
          <w:szCs w:val="21"/>
        </w:rPr>
        <w:t xml:space="preserve">Nouvel ordre</w:t>
      </w:r>
      <w:r>
        <w:rPr>
          <w:color w:val="1B1917"/>
          <w:sz w:val="21"/>
          <w:szCs w:val="21"/>
        </w:rPr>
        <w:t xml:space="preserve"> demande le compte à débiter, le montant, et le </w:t>
      </w:r>
      <w:r>
        <w:rPr>
          <w:b/>
          <w:bCs/>
          <w:color w:val="1B1917"/>
          <w:sz w:val="21"/>
          <w:szCs w:val="21"/>
        </w:rPr>
        <w:t xml:space="preserve">bénéficiaire complet</w:t>
      </w:r>
      <w:r>
        <w:rPr>
          <w:color w:val="1B1917"/>
          <w:sz w:val="21"/>
          <w:szCs w:val="21"/>
        </w:rPr>
        <w:t xml:space="preserve"> : nom, banque, compte. Les trois sont obligatoires.</w:t>
      </w:r>
    </w:p>
    <w:p>
      <w:pPr>
        <w:spacing w:after="180" w:before="0" w:line="290"/>
        <w:jc w:val="both"/>
      </w:pPr>
      <w:r>
        <w:rPr>
          <w:color w:val="1B1917"/>
          <w:sz w:val="21"/>
          <w:szCs w:val="21"/>
        </w:rPr>
        <w:t xml:space="preserve">Le compte à débiter se </w:t>
      </w:r>
      <w:r>
        <w:rPr>
          <w:b/>
          <w:bCs/>
          <w:color w:val="1B1917"/>
          <w:sz w:val="21"/>
          <w:szCs w:val="21"/>
        </w:rPr>
        <w:t xml:space="preserve">cherche</w:t>
      </w:r>
      <w:r>
        <w:rPr>
          <w:color w:val="1B1917"/>
          <w:sz w:val="21"/>
          <w:szCs w:val="21"/>
        </w:rPr>
        <w:t xml:space="preserve"> — par son numéro, par le nom du client ou par sa référence — puis s'affiche en clair : numéro, titulaire, agence, devise. Relisez-le avant d'envoyer : c'est ce compte-là qui sera débité.</w:t>
      </w:r>
    </w:p>
    <w:p>
      <w:pPr>
        <w:spacing w:after="180" w:before="0" w:line="290"/>
        <w:jc w:val="both"/>
      </w:pPr>
      <w:r>
        <w:rPr>
          <w:color w:val="1B1917"/>
          <w:sz w:val="21"/>
          <w:szCs w:val="21"/>
        </w:rPr>
        <w:t xml:space="preserve">Un virement mal adressé ne se perd pas tout de suite : il part, il cherche, et il revient des semaines plus tard. Entre-temps le client a cru son fournisseur payé.</w:t>
      </w:r>
    </w:p>
    <w:p>
      <w:pPr>
        <w:pStyle w:val="Heading2"/>
        <w:spacing w:after="140" w:before="320"/>
      </w:pPr>
      <w:r>
        <w:rPr>
          <w:b/>
          <w:bCs/>
          <w:color w:val="1B1917"/>
          <w:sz w:val="23"/>
          <w:szCs w:val="23"/>
        </w:rPr>
        <w:t xml:space="preserve">Régler</w:t>
      </w:r>
    </w:p>
    <w:p>
      <w:pPr>
        <w:spacing w:after="180" w:before="0" w:line="290"/>
        <w:jc w:val="both"/>
      </w:pPr>
      <w:r>
        <w:rPr>
          <w:b/>
          <w:bCs/>
          <w:color w:val="1B1917"/>
          <w:sz w:val="21"/>
          <w:szCs w:val="21"/>
        </w:rPr>
        <w:t xml:space="preserve">Régler</w:t>
      </w:r>
      <w:r>
        <w:rPr>
          <w:color w:val="1B1917"/>
          <w:sz w:val="21"/>
          <w:szCs w:val="21"/>
        </w:rPr>
        <w:t xml:space="preserve"> demande le </w:t>
      </w:r>
      <w:r>
        <w:rPr>
          <w:b/>
          <w:bCs/>
          <w:color w:val="1B1917"/>
          <w:sz w:val="21"/>
          <w:szCs w:val="21"/>
        </w:rPr>
        <w:t xml:space="preserve">compte nostro</w:t>
      </w:r>
      <w:r>
        <w:rPr>
          <w:color w:val="1B1917"/>
          <w:sz w:val="21"/>
          <w:szCs w:val="21"/>
        </w:rPr>
        <w:t xml:space="preserve"> : le compte de correspondant sur lequel le règlement est reçu, dans la devise de l'ordre. Le compte de règlement sortant s'y solde.</w:t>
      </w:r>
    </w:p>
    <w:p>
      <w:pPr>
        <w:pStyle w:val="Heading1"/>
        <w:pBdr>
          <w:bottom w:val="single" w:color="D8D2C6" w:sz="3" w:space="8"/>
        </w:pBdr>
        <w:spacing w:after="140" w:before="420"/>
      </w:pPr>
      <w:r>
        <w:rPr>
          <w:b/>
          <w:bCs/>
          <w:color w:val="1B1917"/>
          <w:sz w:val="27"/>
          <w:szCs w:val="27"/>
        </w:rPr>
        <w:t xml:space="preserve">Les remises de chèques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40 — La file des remises. Le crédit sauf bonne fin est annoncé dès la tête de file.</w:t>
      </w:r>
    </w:p>
    <w:p>
      <w:pPr>
        <w:pStyle w:val="Heading2"/>
        <w:spacing w:after="140" w:before="320"/>
      </w:pPr>
      <w:r>
        <w:rPr>
          <w:b/>
          <w:bCs/>
          <w:color w:val="1B1917"/>
          <w:sz w:val="23"/>
          <w:szCs w:val="23"/>
        </w:rPr>
        <w:t xml:space="preserve">Créditée sauf bonne fin</w:t>
      </w:r>
    </w:p>
    <w:p>
      <w:pPr>
        <w:spacing w:after="180" w:before="0" w:line="290"/>
        <w:jc w:val="both"/>
      </w:pPr>
      <w:r>
        <w:rPr>
          <w:color w:val="1B1917"/>
          <w:sz w:val="21"/>
          <w:szCs w:val="21"/>
        </w:rPr>
        <w:t xml:space="preserve">C'est la phrase à retenir, et c'est la question que tous les clients posent.</w:t>
      </w:r>
    </w:p>
    <w:p>
      <w:pPr>
        <w:spacing w:after="180" w:before="0" w:line="290"/>
        <w:jc w:val="both"/>
      </w:pPr>
      <w:r>
        <w:rPr>
          <w:color w:val="1B1917"/>
          <w:sz w:val="21"/>
          <w:szCs w:val="21"/>
        </w:rPr>
        <w:t xml:space="preserve">Quand vous enregistrez une remise, le compte du client est </w:t>
      </w:r>
      <w:r>
        <w:rPr>
          <w:b/>
          <w:bCs/>
          <w:color w:val="1B1917"/>
          <w:sz w:val="21"/>
          <w:szCs w:val="21"/>
        </w:rPr>
        <w:t xml:space="preserve">crédité tout de suite</w:t>
      </w:r>
      <w:r>
        <w:rPr>
          <w:color w:val="1B1917"/>
          <w:sz w:val="21"/>
          <w:szCs w:val="21"/>
        </w:rPr>
        <w:t xml:space="preserve"> — son solde monte — et le montant est </w:t>
      </w:r>
      <w:r>
        <w:rPr>
          <w:b/>
          <w:bCs/>
          <w:color w:val="1B1917"/>
          <w:sz w:val="21"/>
          <w:szCs w:val="21"/>
        </w:rPr>
        <w:t xml:space="preserve">bloqué</w:t>
      </w:r>
      <w:r>
        <w:rPr>
          <w:color w:val="1B1917"/>
          <w:sz w:val="21"/>
          <w:szCs w:val="21"/>
        </w:rPr>
        <w:t xml:space="preserve"> jusqu'à ce que la banque tirée règle : </w:t>
      </w:r>
      <w:r>
        <w:rPr>
          <w:b/>
          <w:bCs/>
          <w:color w:val="1B1917"/>
          <w:sz w:val="21"/>
          <w:szCs w:val="21"/>
        </w:rPr>
        <w:t xml:space="preserve">son disponible ne monte pas</w:t>
      </w:r>
      <w:r>
        <w:rPr>
          <w:color w:val="1B1917"/>
          <w:sz w:val="21"/>
          <w:szCs w:val="21"/>
        </w:rPr>
        <w:t xml:space="preserve">.</w:t>
      </w:r>
    </w:p>
    <w:p>
      <w:pPr>
        <w:spacing w:after="180" w:before="0" w:line="290"/>
        <w:jc w:val="both"/>
      </w:pPr>
      <w:r>
        <w:rPr>
          <w:color w:val="1B1917"/>
          <w:sz w:val="21"/>
          <w:szCs w:val="21"/>
        </w:rPr>
        <w:t xml:space="preserve">Un client qui voit son solde augmenter et son disponible immobile appellera. La réponse est là.</w:t>
      </w:r>
    </w:p>
    <w:p>
      <w:pPr>
        <w:pStyle w:val="Heading2"/>
        <w:spacing w:after="140" w:before="320"/>
      </w:pPr>
      <w:r>
        <w:rPr>
          <w:b/>
          <w:bCs/>
          <w:color w:val="1B1917"/>
          <w:sz w:val="23"/>
          <w:szCs w:val="23"/>
        </w:rPr>
        <w:t xml:space="preserve">Les trois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14"/>
        <w:gridCol w:w="5111"/>
        <w:gridCol w:w="2686"/>
      </w:tblGrid>
      <w:tr>
        <w:trPr>
          <w:tblHeader/>
        </w:trPr>
        <w:tc>
          <w:tcPr>
            <w:tcW w:type="dxa" w:w="1614"/>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511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2686"/>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À l'encaissement</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Créditée sauf bonne fin, montant bloqué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Réglée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La banque tirée a payé, le blocage est levé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Impayée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Le crédit a été contre-passé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Style w:val="Heading2"/>
        <w:spacing w:after="140" w:before="320"/>
      </w:pPr>
      <w:r>
        <w:rPr>
          <w:b/>
          <w:bCs/>
          <w:color w:val="1B1917"/>
          <w:sz w:val="23"/>
          <w:szCs w:val="23"/>
        </w:rPr>
        <w:t xml:space="preserve">Enregistrer une remise</w:t>
      </w:r>
    </w:p>
    <w:p>
      <w:pPr>
        <w:spacing w:after="180" w:before="0" w:line="290"/>
        <w:jc w:val="both"/>
      </w:pPr>
      <w:r>
        <w:rPr>
          <w:color w:val="1B1917"/>
          <w:sz w:val="21"/>
          <w:szCs w:val="21"/>
        </w:rPr>
        <w:t xml:space="preserve">Le compte à créditer — cherché par numéro, par nom ou par référence, puis affiché en clair —, le montant, la </w:t>
      </w:r>
      <w:r>
        <w:rPr>
          <w:b/>
          <w:bCs/>
          <w:color w:val="1B1917"/>
          <w:sz w:val="21"/>
          <w:szCs w:val="21"/>
        </w:rPr>
        <w:t xml:space="preserve">banque tirée</w:t>
      </w:r>
      <w:r>
        <w:rPr>
          <w:color w:val="1B1917"/>
          <w:sz w:val="21"/>
          <w:szCs w:val="21"/>
        </w:rPr>
        <w:t xml:space="preserve"> — celle qui paiera — et le </w:t>
      </w:r>
      <w:r>
        <w:rPr>
          <w:b/>
          <w:bCs/>
          <w:color w:val="1B1917"/>
          <w:sz w:val="21"/>
          <w:szCs w:val="21"/>
        </w:rPr>
        <w:t xml:space="preserve">numéro du chèque</w:t>
      </w:r>
      <w:r>
        <w:rPr>
          <w:color w:val="1B1917"/>
          <w:sz w:val="21"/>
          <w:szCs w:val="21"/>
        </w:rPr>
        <w:t xml:space="preserve">. Ce numéro est ce qui distingue deux remises du même montant : sans lui, une recherche d'impayé devient un travail d'enquête.</w:t>
      </w:r>
    </w:p>
    <w:p>
      <w:pPr>
        <w:pStyle w:val="Heading2"/>
        <w:spacing w:after="140" w:before="320"/>
      </w:pPr>
      <w:r>
        <w:rPr>
          <w:b/>
          <w:bCs/>
          <w:color w:val="1B1917"/>
          <w:sz w:val="23"/>
          <w:szCs w:val="23"/>
        </w:rPr>
        <w:t xml:space="preserve">Retourner impayée</w:t>
      </w:r>
    </w:p>
    <w:p>
      <w:pPr>
        <w:spacing w:after="180" w:before="0" w:line="290"/>
        <w:jc w:val="both"/>
      </w:pPr>
      <w:r>
        <w:rPr>
          <w:color w:val="1B1917"/>
          <w:sz w:val="21"/>
          <w:szCs w:val="21"/>
        </w:rPr>
        <w:t xml:space="preserve">Le crédit est </w:t>
      </w:r>
      <w:r>
        <w:rPr>
          <w:b/>
          <w:bCs/>
          <w:color w:val="1B1917"/>
          <w:sz w:val="21"/>
          <w:szCs w:val="21"/>
        </w:rPr>
        <w:t xml:space="preserve">contre-passé</w:t>
      </w:r>
      <w:r>
        <w:rPr>
          <w:color w:val="1B1917"/>
          <w:sz w:val="21"/>
          <w:szCs w:val="21"/>
        </w:rPr>
        <w:t xml:space="preserve"> et le blocage levé : le client retrouve le solde qu'il avait avant la remise. Le motif est obligatoire — c'est ce que le client lira.</w:t>
      </w:r>
    </w:p>
    <w:p>
      <w:pPr>
        <w:spacing w:after="180" w:before="0" w:line="290"/>
        <w:jc w:val="both"/>
      </w:pPr>
      <w:r>
        <w:rPr>
          <w:color w:val="1B1917"/>
          <w:sz w:val="21"/>
          <w:szCs w:val="21"/>
        </w:rPr>
        <w:t xml:space="preserve">Un chèque revenu impayé se </w:t>
      </w:r>
      <w:r>
        <w:rPr>
          <w:b/>
          <w:bCs/>
          <w:color w:val="1B1917"/>
          <w:sz w:val="21"/>
          <w:szCs w:val="21"/>
        </w:rPr>
        <w:t xml:space="preserve">represente par une nouvelle remise</w:t>
      </w:r>
      <w:r>
        <w:rPr>
          <w:color w:val="1B1917"/>
          <w:sz w:val="21"/>
          <w:szCs w:val="21"/>
        </w:rPr>
        <w:t xml:space="preserve">, jamais en rouvrant celle-ci.</w:t>
      </w:r>
    </w:p>
    <w:p>
      <w:pPr>
        <w:pStyle w:val="Heading1"/>
        <w:pBdr>
          <w:bottom w:val="single" w:color="D8D2C6" w:sz="3" w:space="8"/>
        </w:pBdr>
        <w:spacing w:after="140" w:before="420"/>
      </w:pPr>
      <w:r>
        <w:rPr>
          <w:b/>
          <w:bCs/>
          <w:color w:val="1B1917"/>
          <w:sz w:val="27"/>
          <w:szCs w:val="27"/>
        </w:rPr>
        <w:t xml:space="preserve">Les prélèvements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41 — La file des prélèvements. Le sens commande autant que l'état.</w:t>
      </w:r>
    </w:p>
    <w:p>
      <w:pPr>
        <w:pStyle w:val="Heading2"/>
        <w:spacing w:after="140" w:before="320"/>
      </w:pPr>
      <w:r>
        <w:rPr>
          <w:b/>
          <w:bCs/>
          <w:color w:val="1B1917"/>
          <w:sz w:val="23"/>
          <w:szCs w:val="23"/>
        </w:rPr>
        <w:t xml:space="preserve">Reçu ou émis : ce n'est pas la même chose</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reçu</w:t>
      </w:r>
      <w:r>
        <w:rPr>
          <w:color w:val="1B1917"/>
          <w:sz w:val="21"/>
          <w:szCs w:val="21"/>
        </w:rPr>
        <w:t xml:space="preserve"> est un créancier qui prélève sur un compte de la banque, sur un mandat signé par le débiteur ;</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émis</w:t>
      </w:r>
      <w:r>
        <w:rPr>
          <w:color w:val="1B1917"/>
          <w:sz w:val="21"/>
          <w:szCs w:val="21"/>
        </w:rPr>
        <w:t xml:space="preserve"> est un client de la banque qui prélève sur un compte d'ailleurs, et la banque le crédite sauf bonne fin.</w:t>
      </w:r>
    </w:p>
    <w:p>
      <w:pPr>
        <w:spacing w:after="180" w:before="0" w:line="290"/>
        <w:jc w:val="both"/>
      </w:pPr>
      <w:r>
        <w:rPr>
          <w:color w:val="1B1917"/>
          <w:sz w:val="21"/>
          <w:szCs w:val="21"/>
        </w:rPr>
        <w:t xml:space="preserve">Les deux ne se confondent pas, et l'écran ne les mélange pas. Un bouton de filtre sépare les sens.</w:t>
      </w:r>
    </w:p>
    <w:p>
      <w:pPr>
        <w:pStyle w:val="Heading2"/>
        <w:spacing w:after="140" w:before="320"/>
      </w:pPr>
      <w:r>
        <w:rPr>
          <w:b/>
          <w:bCs/>
          <w:color w:val="1B1917"/>
          <w:sz w:val="23"/>
          <w:szCs w:val="23"/>
        </w:rPr>
        <w:t xml:space="preserve">Le poste n'exécute pas</w:t>
      </w:r>
    </w:p>
    <w:p>
      <w:pPr>
        <w:pBdr>
          <w:left w:val="single" w:color="1F4E46" w:sz="18" w:space="10"/>
        </w:pBdr>
        <w:shd w:fill="F6F3EC" w:color="auto" w:val="clear"/>
        <w:spacing w:after="200" w:before="160"/>
        <w:ind w:left="240" w:right="200"/>
      </w:pPr>
      <w:r>
        <w:rPr>
          <w:color w:val="1B1917"/>
          <w:sz w:val="21"/>
          <w:szCs w:val="21"/>
        </w:rPr>
        <w:t xml:space="preserve">Le passage de </w:t>
      </w:r>
      <w:r>
        <w:rPr>
          <w:b/>
          <w:bCs/>
          <w:color w:val="1B1917"/>
          <w:sz w:val="21"/>
          <w:szCs w:val="21"/>
        </w:rPr>
        <w:t xml:space="preserve">en attente</w:t>
      </w:r>
      <w:r>
        <w:rPr>
          <w:color w:val="1B1917"/>
          <w:sz w:val="21"/>
          <w:szCs w:val="21"/>
        </w:rPr>
        <w:t xml:space="preserve"> à </w:t>
      </w:r>
      <w:r>
        <w:rPr>
          <w:b/>
          <w:bCs/>
          <w:color w:val="1B1917"/>
          <w:sz w:val="21"/>
          <w:szCs w:val="21"/>
        </w:rPr>
        <w:t xml:space="preserve">exécuté</w:t>
      </w:r>
      <w:r>
        <w:rPr>
          <w:color w:val="1B1917"/>
          <w:sz w:val="21"/>
          <w:szCs w:val="21"/>
        </w:rPr>
        <w:t xml:space="preserve"> est le travail du </w:t>
      </w:r>
      <w:r>
        <w:rPr>
          <w:b/>
          <w:bCs/>
          <w:color w:val="1B1917"/>
          <w:sz w:val="21"/>
          <w:szCs w:val="21"/>
        </w:rPr>
        <w:t xml:space="preserve">traitement de fin de journée</w:t>
      </w:r>
      <w:r>
        <w:rPr>
          <w:color w:val="1B1917"/>
          <w:sz w:val="21"/>
          <w:szCs w:val="21"/>
        </w:rPr>
        <w:t xml:space="preserve">, à l'échéance. Pas le vôtre.</w:t>
      </w:r>
    </w:p>
    <w:p>
      <w:pPr>
        <w:spacing w:after="180" w:before="0" w:line="290"/>
        <w:jc w:val="both"/>
      </w:pPr>
      <w:r>
        <w:rPr>
          <w:color w:val="1B1917"/>
          <w:sz w:val="21"/>
          <w:szCs w:val="21"/>
        </w:rPr>
        <w:t xml:space="preserve">C'est la première chose qu'un nouvel arrivant essaie de faire, et l'écran n'offre pas ce bouton : un prélèvement ne se force pas à la main, hors de l'arrêté. Ce qui se fait ici, c'est retirer, régler, retourner, rembourser.</w:t>
      </w:r>
    </w:p>
    <w:p>
      <w:pPr>
        <w:pStyle w:val="Heading2"/>
        <w:spacing w:after="140" w:before="320"/>
      </w:pPr>
      <w:r>
        <w:rPr>
          <w:b/>
          <w:bCs/>
          <w:color w:val="1B1917"/>
          <w:sz w:val="23"/>
          <w:szCs w:val="23"/>
        </w:rPr>
        <w:t xml:space="preserve">Ce qu'on peut faire, selon le sens et l'état</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096"/>
        <w:gridCol w:w="3474"/>
        <w:gridCol w:w="2841"/>
      </w:tblGrid>
      <w:tr>
        <w:trPr>
          <w:tblHeader/>
        </w:trPr>
        <w:tc>
          <w:tcPr>
            <w:tcW w:type="dxa" w:w="3096"/>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3474"/>
            <w:shd w:fill="EFEBE2" w:color="auto" w:val="clear"/>
            <w:tcMar>
              <w:top w:type="dxa" w:w="70"/>
              <w:left w:type="dxa" w:w="110"/>
              <w:bottom w:type="dxa" w:w="70"/>
              <w:right w:type="dxa" w:w="110"/>
            </w:tcMar>
          </w:tcPr>
          <w:p>
            <w:pPr>
              <w:spacing w:after="0" w:before="0"/>
            </w:pPr>
            <w:r>
              <w:rPr>
                <w:b/>
                <w:bCs/>
                <w:color w:val="1B1917"/>
                <w:sz w:val="19"/>
                <w:szCs w:val="19"/>
              </w:rPr>
              <w:t xml:space="preserve">Reçu</w:t>
            </w:r>
          </w:p>
        </w:tc>
        <w:tc>
          <w:tcPr>
            <w:tcW w:type="dxa" w:w="2841"/>
            <w:shd w:fill="EFEBE2" w:color="auto" w:val="clear"/>
            <w:tcMar>
              <w:top w:type="dxa" w:w="70"/>
              <w:left w:type="dxa" w:w="110"/>
              <w:bottom w:type="dxa" w:w="70"/>
              <w:right w:type="dxa" w:w="110"/>
            </w:tcMar>
          </w:tcPr>
          <w:p>
            <w:pPr>
              <w:spacing w:after="0" w:before="0"/>
            </w:pPr>
            <w:r>
              <w:rPr>
                <w:b/>
                <w:bCs/>
                <w:color w:val="1B1917"/>
                <w:sz w:val="19"/>
                <w:szCs w:val="19"/>
              </w:rPr>
              <w:t xml:space="preserve">Émis</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Exécuté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rappeler par annulation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Rembourser le débiteur</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Rejeté</w:t>
            </w:r>
            <w:r>
              <w:rPr>
                <w:b w:val="false"/>
                <w:bCs w:val="false"/>
                <w:color w:val="1B1917"/>
                <w:sz w:val="19"/>
                <w:szCs w:val="19"/>
              </w:rPr>
              <w:t xml:space="preserve">, </w:t>
            </w:r>
            <w:r>
              <w:rPr>
                <w:b w:val="false"/>
                <w:bCs w:val="false"/>
                <w:color w:val="1B1917"/>
                <w:sz w:val="19"/>
                <w:szCs w:val="19"/>
              </w:rPr>
              <w:t xml:space="preserve">Annulé</w:t>
            </w:r>
            <w:r>
              <w:rPr>
                <w:b w:val="false"/>
                <w:bCs w:val="false"/>
                <w:color w:val="1B1917"/>
                <w:sz w:val="19"/>
                <w:szCs w:val="19"/>
              </w:rPr>
              <w:t xml:space="preserve">, </w:t>
            </w: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Remboursé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rien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spacing w:after="180" w:before="0" w:line="290"/>
        <w:jc w:val="both"/>
      </w:pPr>
      <w:r>
        <w:rPr>
          <w:b/>
          <w:bCs/>
          <w:color w:val="1B1917"/>
          <w:sz w:val="21"/>
          <w:szCs w:val="21"/>
        </w:rPr>
        <w:t xml:space="preserve">Seul un prélèvement reçu se rembourse</w:t>
      </w:r>
      <w:r>
        <w:rPr>
          <w:color w:val="1B1917"/>
          <w:sz w:val="21"/>
          <w:szCs w:val="21"/>
        </w:rPr>
        <w:t xml:space="preserve"> : c'est le débiteur de la banque qui conteste, et c'est au créancier de se retourner vers lui. </w:t>
      </w:r>
      <w:r>
        <w:rPr>
          <w:b/>
          <w:bCs/>
          <w:color w:val="1B1917"/>
          <w:sz w:val="21"/>
          <w:szCs w:val="21"/>
        </w:rPr>
        <w:t xml:space="preserve">Seul un prélèvement émis revient impayé</w:t>
      </w:r>
      <w:r>
        <w:rPr>
          <w:color w:val="1B1917"/>
          <w:sz w:val="21"/>
          <w:szCs w:val="21"/>
        </w:rPr>
        <w:t xml:space="preserve"> : c'est le débiteur d'ailleurs qui n'a pas payé.</w:t>
      </w:r>
    </w:p>
    <w:p>
      <w:pPr>
        <w:pStyle w:val="Heading2"/>
        <w:spacing w:after="140" w:before="320"/>
      </w:pPr>
      <w:r>
        <w:rPr>
          <w:b/>
          <w:bCs/>
          <w:color w:val="1B1917"/>
          <w:sz w:val="23"/>
          <w:szCs w:val="23"/>
        </w:rPr>
        <w:t xml:space="preserve">Rejeté</w:t>
      </w:r>
    </w:p>
    <w:p>
      <w:pPr>
        <w:spacing w:after="180" w:before="0" w:line="290"/>
        <w:jc w:val="both"/>
      </w:pPr>
      <w:r>
        <w:rPr>
          <w:color w:val="1B1917"/>
          <w:sz w:val="21"/>
          <w:szCs w:val="21"/>
        </w:rPr>
        <w:t xml:space="preserve">Le traitement n'a pas pu exécuter : provision insuffisante à l'échéance, mandat révoqué, compte bloqué. Le motif est au dossier. Un créancier qui veut réessayer </w:t>
      </w:r>
      <w:r>
        <w:rPr>
          <w:b/>
          <w:bCs/>
          <w:color w:val="1B1917"/>
          <w:sz w:val="21"/>
          <w:szCs w:val="21"/>
        </w:rPr>
        <w:t xml:space="preserve">présente un nouveau prélèvement</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61ab0123a9f19642223a577731d9ec69a9fb5cd0.png"/><Relationship Id="rId36" Type="http://schemas.openxmlformats.org/officeDocument/2006/relationships/image" Target="media/2ab226d86393286e6b90df968f9bf495ce52aa4b.png"/><Relationship Id="rId37" Type="http://schemas.openxmlformats.org/officeDocument/2006/relationships/image" Target="media/6f5a362e025f97f978a4708c107c44fafc914de5.png"/><Relationship Id="rId38" Type="http://schemas.openxmlformats.org/officeDocument/2006/relationships/image" Target="media/24620f5b9c31e056ed43dab95460a697e0e463a2.png"/><Relationship Id="rId39" Type="http://schemas.openxmlformats.org/officeDocument/2006/relationships/image" Target="media/cf78393aac723cddae5bcde6472c321007f4299d.png"/><Relationship Id="rId40" Type="http://schemas.openxmlformats.org/officeDocument/2006/relationships/image" Target="media/191f52fcfcb0f5d479999a23ff914287b4b302db.png"/><Relationship Id="rId41" Type="http://schemas.openxmlformats.org/officeDocument/2006/relationships/image" Target="media/cd545b1cdd29c7fe4ebdd5238144402306b8e565.png"/><Relationship Id="rId42" Type="http://schemas.openxmlformats.org/officeDocument/2006/relationships/image" Target="media/bc94ef66c088b7fb992556cf9f8ca4b952594c2e.png"/><Relationship Id="rId43" Type="http://schemas.openxmlformats.org/officeDocument/2006/relationships/image" Target="media/a0a3efd84bd292b991003f8dbd7a2732015ea6c4.png"/><Relationship Id="rId44" Type="http://schemas.openxmlformats.org/officeDocument/2006/relationships/image" Target="media/244af31a44b16addb4fd0d2296bad74c8b0f2b79.png"/><Relationship Id="rId45" Type="http://schemas.openxmlformats.org/officeDocument/2006/relationships/image" Target="media/c6fb639be709bba4713d30a0d24e888f9cce38d6.png"/><Relationship Id="rId46" Type="http://schemas.openxmlformats.org/officeDocument/2006/relationships/image" Target="media/c53d642cac99b34d5b6a16268d35f7ba4a38f089.png"/><Relationship Id="rId47" Type="http://schemas.openxmlformats.org/officeDocument/2006/relationships/image" Target="media/f741d49dfae7c6ee352a90bfe9abc010d9051f6c.png"/><Relationship Id="rId48" Type="http://schemas.openxmlformats.org/officeDocument/2006/relationships/image" Target="media/0306a655e660b1eebea64a22339fb3739d2684fe.png"/><Relationship Id="rId49" Type="http://schemas.openxmlformats.org/officeDocument/2006/relationships/image" Target="media/2acfa11030aa980b7271edfcba2a7d353a48b6d3.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2026-09-18T21:18:48.334Z</dcterms:created>
  <dcterms:modified xsi:type="dcterms:W3CDTF">2026-09-18T21:18:48.334Z</dcterms:modified>
</cp:coreProperties>
</file>

<file path=docProps/custom.xml><?xml version="1.0" encoding="utf-8"?>
<Properties xmlns="http://schemas.openxmlformats.org/officeDocument/2006/custom-properties" xmlns:vt="http://schemas.openxmlformats.org/officeDocument/2006/docPropsVTypes"/>
</file>