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60"/>
        <w:gridCol w:w="2805"/>
        <w:gridCol w:w="4946"/>
      </w:tblGrid>
      <w:tr>
        <w:trPr>
          <w:tblHeader/>
        </w:trPr>
        <w:tc>
          <w:tcPr>
            <w:tcW w:type="dxa" w:w="1660"/>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805"/>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946"/>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660"/>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80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46"/>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660"/>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80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46"/>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1660"/>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80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46"/>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1660"/>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80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46"/>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660"/>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80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46"/>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1660"/>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805"/>
            <w:tcMar>
              <w:top w:type="dxa" w:w="70"/>
              <w:left w:type="dxa" w:w="110"/>
              <w:bottom w:type="dxa" w:w="70"/>
              <w:right w:type="dxa" w:w="110"/>
            </w:tcMar>
          </w:tcPr>
          <w:p>
            <w:pPr>
              <w:spacing w:after="0" w:before="0"/>
            </w:pPr>
            <w:r>
              <w:rPr>
                <w:b w:val="false"/>
                <w:bCs w:val="false"/>
                <w:color w:val="1F4E46"/>
                <w:sz w:val="19"/>
                <w:szCs w:val="19"/>
                <w:u w:val="single"/>
              </w:rPr>
              <w:t xml:space="preserve">9. Messages, refus et états</w:t>
            </w:r>
          </w:p>
        </w:tc>
        <w:tc>
          <w:tcPr>
            <w:tcW w:type="dxa" w:w="4946"/>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9</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la </w:t>
      </w:r>
      <w:r>
        <w:rPr>
          <w:b/>
          <w:bCs/>
          <w:color w:val="1B1917"/>
          <w:sz w:val="21"/>
          <w:szCs w:val="21"/>
        </w:rPr>
        <w:t xml:space="preserve">conformité</w:t>
      </w:r>
      <w:r>
        <w:rPr>
          <w:color w:val="1B1917"/>
          <w:sz w:val="21"/>
          <w:szCs w:val="21"/>
        </w:rPr>
        <w:t xml:space="preserve"> (alertes LCB-FT, déclarations réglementaires, fiscalité), le </w:t>
      </w:r>
      <w:r>
        <w:rPr>
          <w:b/>
          <w:bCs/>
          <w:color w:val="1B1917"/>
          <w:sz w:val="21"/>
          <w:szCs w:val="21"/>
        </w:rPr>
        <w:t xml:space="preserve">paramétrage produit</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3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5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6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9</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7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8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9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keepNext/>
        <w:spacing w:after="60" w:before="200"/>
        <w:jc w:val="center"/>
      </w:pPr>
      <w:r>
        <w:drawing>
          <wp:inline distT="0" distB="0" distL="0" distR="0">
            <wp:extent cx="597217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771900"/>
                    </a:xfrm>
                    <a:prstGeom prst="rect">
                      <a:avLst/>
                    </a:prstGeom>
                  </pic:spPr>
                </pic:pic>
              </a:graphicData>
            </a:graphic>
          </wp:inline>
        </w:drawing>
      </w:r>
    </w:p>
    <w:p>
      <w:pPr>
        <w:spacing w:after="280"/>
        <w:jc w:val="center"/>
      </w:pPr>
      <w:r>
        <w:rPr>
          <w:i/>
          <w:iCs/>
          <w:color w:val="4A4540"/>
          <w:sz w:val="17"/>
          <w:szCs w:val="17"/>
        </w:rPr>
        <w:t xml:space="preserve">Figure 10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trois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11 — Le refus d'auto-approbation : le second regard est quelqu'un d'autre, sans exception.</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12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13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14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15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16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17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18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19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20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et balance</w:t>
      </w:r>
    </w:p>
    <w:p>
      <w:pPr>
        <w:spacing w:after="180" w:before="0" w:line="290"/>
        <w:jc w:val="both"/>
      </w:pPr>
      <w:r>
        <w:rPr>
          <w:color w:val="1B1917"/>
          <w:sz w:val="21"/>
          <w:szCs w:val="21"/>
        </w:rPr>
        <w:t xml:space="preserve">Deux écrans, réservés aux profils d'exploitation comptable : </w:t>
      </w:r>
      <w:r>
        <w:rPr>
          <w:b/>
          <w:bCs/>
          <w:color w:val="1B1917"/>
          <w:sz w:val="21"/>
          <w:szCs w:val="21"/>
        </w:rPr>
        <w:t xml:space="preserve">Exploitation</w:t>
      </w:r>
      <w:r>
        <w:rPr>
          <w:color w:val="1B1917"/>
          <w:sz w:val="21"/>
          <w:szCs w:val="21"/>
        </w:rPr>
        <w:t xml:space="preserve"> (le traitement de fin de journée) et </w:t>
      </w:r>
      <w:r>
        <w:rPr>
          <w:b/>
          <w:bCs/>
          <w:color w:val="1B1917"/>
          <w:sz w:val="21"/>
          <w:szCs w:val="21"/>
        </w:rPr>
        <w:t xml:space="preserve">Balance générale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21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22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23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603"/>
        <w:gridCol w:w="4808"/>
      </w:tblGrid>
      <w:tr>
        <w:trPr>
          <w:tblHeader/>
        </w:trPr>
        <w:tc>
          <w:tcPr>
            <w:tcW w:type="dxa" w:w="4603"/>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4808"/>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4aa72e7153f00c84e7caa3999ef1053a77dab0b9.png"/><Relationship Id="rId12" Type="http://schemas.openxmlformats.org/officeDocument/2006/relationships/image" Target="media/08807f9045840f983a405068a4e3ab9aa99540c0.png"/><Relationship Id="rId13" Type="http://schemas.openxmlformats.org/officeDocument/2006/relationships/image" Target="media/f4585b2b5f2d1e6c0a14b66bca1f3ca27fbcd3c2.png"/><Relationship Id="rId14" Type="http://schemas.openxmlformats.org/officeDocument/2006/relationships/image" Target="media/80b42c929c7a9006c0282b57cd817026fbe4dcd2.png"/><Relationship Id="rId15" Type="http://schemas.openxmlformats.org/officeDocument/2006/relationships/image" Target="media/fb289dfba507e55c7c95a6fdc29853fe5e44024a.png"/><Relationship Id="rId16" Type="http://schemas.openxmlformats.org/officeDocument/2006/relationships/image" Target="media/96c42a470806220699fe2bfe6cf04308f83a6878.png"/><Relationship Id="rId17" Type="http://schemas.openxmlformats.org/officeDocument/2006/relationships/image" Target="media/e9b47f91c2bc1b2496a713d761b78e598d799934.png"/><Relationship Id="rId18" Type="http://schemas.openxmlformats.org/officeDocument/2006/relationships/image" Target="media/e2dd0bda85f2894cfb17bebece56741329c97402.png"/><Relationship Id="rId19" Type="http://schemas.openxmlformats.org/officeDocument/2006/relationships/image" Target="media/8164058de21ba37c4cbf080369ddaa1f0fda4e97.png"/><Relationship Id="rId20" Type="http://schemas.openxmlformats.org/officeDocument/2006/relationships/image" Target="media/f9e2b87085562b3bdd8fec566839a66e2ded52d7.png"/><Relationship Id="rId21" Type="http://schemas.openxmlformats.org/officeDocument/2006/relationships/image" Target="media/7b7f3c1897bba46648677ae588d4c68d42a185d9.png"/><Relationship Id="rId22" Type="http://schemas.openxmlformats.org/officeDocument/2006/relationships/image" Target="media/b7700b424f1f33d87621108d46fc629309bb1bf4.png"/><Relationship Id="rId23" Type="http://schemas.openxmlformats.org/officeDocument/2006/relationships/image" Target="media/aa701c86056175e4afc2295a5873321536051d70.png"/><Relationship Id="rId24" Type="http://schemas.openxmlformats.org/officeDocument/2006/relationships/image" Target="media/d76bff37ba6d7d469e81808e9223de8c04463826.png"/><Relationship Id="rId25" Type="http://schemas.openxmlformats.org/officeDocument/2006/relationships/image" Target="media/07c53bf5fc7de076e368bf96faccb153a52247b7.png"/><Relationship Id="rId26" Type="http://schemas.openxmlformats.org/officeDocument/2006/relationships/image" Target="media/15dae5fcfd8d8ccdadba1d3e949bebbb9b7e0228.png"/><Relationship Id="rId27" Type="http://schemas.openxmlformats.org/officeDocument/2006/relationships/image" Target="media/30bf082863f9c3664c277e3422254bd048e4412b.png"/><Relationship Id="rId28" Type="http://schemas.openxmlformats.org/officeDocument/2006/relationships/image" Target="media/58b40f4a4f404e3e603fa79fa97c8746faf3a29b.png"/><Relationship Id="rId29" Type="http://schemas.openxmlformats.org/officeDocument/2006/relationships/image" Target="media/50ab0c6db98adea81ad9a0f6c0c939a2545e4dfe.png"/><Relationship Id="rId30" Type="http://schemas.openxmlformats.org/officeDocument/2006/relationships/image" Target="media/f8bc14e67a8260d2558e5458509a2938e0974b18.png"/><Relationship Id="rId31" Type="http://schemas.openxmlformats.org/officeDocument/2006/relationships/image" Target="media/8d24e7d36136e4509d8e89e723860fa6ae7adaba.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2026-09-18T09:48:21.509Z</dcterms:created>
  <dcterms:modified xsi:type="dcterms:W3CDTF">2026-09-18T09:48:21.509Z</dcterms:modified>
</cp:coreProperties>
</file>

<file path=docProps/custom.xml><?xml version="1.0" encoding="utf-8"?>
<Properties xmlns="http://schemas.openxmlformats.org/officeDocument/2006/custom-properties" xmlns:vt="http://schemas.openxmlformats.org/officeDocument/2006/docPropsVTypes"/>
</file>