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5134B5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5134B5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5134B5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 w:rsidR="00C33C58">
        <w:rPr>
          <w:rFonts w:ascii="Times New Roman" w:hAnsi="Times New Roman" w:cs="Times New Roman" w:hint="eastAsia"/>
        </w:rPr>
        <w:t>了解</w:t>
      </w:r>
      <w:r w:rsidR="00C33C58">
        <w:rPr>
          <w:rFonts w:ascii="Times New Roman" w:hAnsi="Times New Roman" w:cs="Times New Roman"/>
        </w:rPr>
        <w:t>Hadoop/Hive/Spark</w:t>
      </w:r>
      <w:r w:rsidR="00C33C5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5134B5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>
        <w:rPr>
          <w:rFonts w:ascii="Times New Roman" w:hAnsi="Times New Roman" w:cs="Times New Roman" w:hint="eastAsia"/>
        </w:rPr>
        <w:t>线性判别分析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A76C99">
        <w:rPr>
          <w:rFonts w:ascii="Times New Roman" w:hAnsi="Times New Roman" w:cs="Times New Roman"/>
        </w:rPr>
        <w:t>Bagging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 w:rsidR="00514EF4"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/>
        </w:rPr>
        <w:t>排名</w:t>
      </w:r>
      <w:r w:rsidR="00514EF4">
        <w:rPr>
          <w:rFonts w:ascii="Times New Roman" w:hAnsi="Times New Roman" w:cs="Times New Roman" w:hint="eastAsia"/>
        </w:rPr>
        <w:t>约</w:t>
      </w:r>
      <w:r w:rsidR="00514EF4">
        <w:rPr>
          <w:rFonts w:ascii="Times New Roman" w:hAnsi="Times New Roman" w:cs="Times New Roman"/>
        </w:rPr>
        <w:t>钱</w:t>
      </w:r>
      <w:r w:rsidR="00514EF4">
        <w:rPr>
          <w:rFonts w:ascii="Times New Roman" w:hAnsi="Times New Roman" w:cs="Times New Roman" w:hint="eastAsia"/>
        </w:rPr>
        <w:t>25</w:t>
      </w:r>
      <w:r w:rsidR="00514EF4">
        <w:rPr>
          <w:rFonts w:ascii="Times New Roman" w:hAnsi="Times New Roman" w:cs="Times New Roman"/>
        </w:rPr>
        <w:t>%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5134B5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预测京东物流货物量，</w:t>
      </w:r>
      <w:bookmarkStart w:id="0" w:name="_GoBack"/>
      <w:bookmarkEnd w:id="0"/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5134B5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5134B5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4B5" w:rsidRDefault="005134B5" w:rsidP="000233B2">
      <w:r>
        <w:separator/>
      </w:r>
    </w:p>
  </w:endnote>
  <w:endnote w:type="continuationSeparator" w:id="0">
    <w:p w:rsidR="005134B5" w:rsidRDefault="005134B5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4B5" w:rsidRDefault="005134B5" w:rsidP="000233B2">
      <w:r>
        <w:separator/>
      </w:r>
    </w:p>
  </w:footnote>
  <w:footnote w:type="continuationSeparator" w:id="0">
    <w:p w:rsidR="005134B5" w:rsidRDefault="005134B5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65A7-64EA-4C2F-AD12-A4B5D11F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332</Words>
  <Characters>1899</Characters>
  <Application>Microsoft Office Word</Application>
  <DocSecurity>0</DocSecurity>
  <Lines>15</Lines>
  <Paragraphs>4</Paragraphs>
  <ScaleCrop>false</ScaleCrop>
  <Company>THU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93</cp:revision>
  <cp:lastPrinted>2017-07-23T11:54:00Z</cp:lastPrinted>
  <dcterms:created xsi:type="dcterms:W3CDTF">2017-07-23T11:57:00Z</dcterms:created>
  <dcterms:modified xsi:type="dcterms:W3CDTF">2017-09-05T14:49:00Z</dcterms:modified>
</cp:coreProperties>
</file>